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9B" w:rsidRPr="00EA5B53" w:rsidRDefault="00C3069B" w:rsidP="00C3069B">
      <w:pPr>
        <w:spacing w:before="240" w:after="0" w:line="240" w:lineRule="auto"/>
        <w:rPr>
          <w:rFonts w:ascii="Times New Roman" w:hAnsi="Times New Roman" w:cs="Times New Roman"/>
          <w:sz w:val="24"/>
          <w:szCs w:val="24"/>
        </w:rPr>
      </w:pPr>
    </w:p>
    <w:p w:rsidR="00C3069B" w:rsidRDefault="00C3069B" w:rsidP="00C3069B">
      <w:pPr>
        <w:spacing w:before="240" w:after="0" w:line="240" w:lineRule="auto"/>
        <w:jc w:val="center"/>
        <w:rPr>
          <w:rFonts w:ascii="Times New Roman" w:hAnsi="Times New Roman" w:cs="Times New Roman"/>
          <w:b/>
          <w:sz w:val="24"/>
          <w:szCs w:val="24"/>
        </w:rPr>
      </w:pPr>
      <w:r w:rsidRPr="0063172C">
        <w:rPr>
          <w:rFonts w:ascii="Times New Roman" w:hAnsi="Times New Roman" w:cs="Times New Roman"/>
          <w:b/>
          <w:sz w:val="24"/>
          <w:szCs w:val="24"/>
        </w:rPr>
        <w:t xml:space="preserve">Supporting Information </w:t>
      </w:r>
    </w:p>
    <w:p w:rsidR="00C3069B" w:rsidRPr="0063172C" w:rsidRDefault="00C3069B" w:rsidP="00C3069B">
      <w:pPr>
        <w:spacing w:before="240" w:after="0" w:line="240" w:lineRule="auto"/>
        <w:jc w:val="center"/>
        <w:rPr>
          <w:rFonts w:ascii="Times New Roman" w:hAnsi="Times New Roman" w:cs="Times New Roman"/>
          <w:b/>
          <w:sz w:val="24"/>
          <w:szCs w:val="24"/>
        </w:rPr>
      </w:pPr>
      <w:r w:rsidRPr="0063172C">
        <w:rPr>
          <w:rFonts w:ascii="Times New Roman" w:hAnsi="Times New Roman" w:cs="Times New Roman"/>
          <w:b/>
          <w:sz w:val="24"/>
          <w:szCs w:val="24"/>
        </w:rPr>
        <w:t>f</w:t>
      </w:r>
      <w:r>
        <w:rPr>
          <w:rFonts w:ascii="Times New Roman" w:hAnsi="Times New Roman" w:cs="Times New Roman"/>
          <w:b/>
          <w:sz w:val="24"/>
          <w:szCs w:val="24"/>
        </w:rPr>
        <w:t>or</w:t>
      </w:r>
    </w:p>
    <w:p w:rsidR="00C3069B" w:rsidRPr="00EA5B53" w:rsidRDefault="00C3069B" w:rsidP="00C3069B">
      <w:pPr>
        <w:spacing w:before="240" w:after="0" w:line="240" w:lineRule="auto"/>
        <w:rPr>
          <w:rFonts w:ascii="Times New Roman" w:hAnsi="Times New Roman" w:cs="Times New Roman"/>
          <w:sz w:val="24"/>
          <w:szCs w:val="24"/>
        </w:rPr>
      </w:pPr>
    </w:p>
    <w:p w:rsidR="00C3069B" w:rsidRPr="00985A99" w:rsidRDefault="00C3069B" w:rsidP="00C3069B">
      <w:pPr>
        <w:pStyle w:val="BATitle"/>
        <w:jc w:val="left"/>
        <w:rPr>
          <w:b/>
          <w:caps/>
          <w:sz w:val="24"/>
          <w:szCs w:val="24"/>
        </w:rPr>
      </w:pPr>
      <w:r>
        <w:rPr>
          <w:b/>
          <w:sz w:val="24"/>
          <w:szCs w:val="24"/>
        </w:rPr>
        <w:t>Evaluation of metabolomics profiles of grain from maize hybrids derived from near-isogenic GM positive and negative segregant inbreds demonstrates that observed differences cannot be attributed unequivocally to the GM trait</w:t>
      </w:r>
    </w:p>
    <w:p w:rsidR="00C3069B" w:rsidRPr="00065D36" w:rsidRDefault="00C3069B" w:rsidP="00C3069B">
      <w:pPr>
        <w:spacing w:after="0" w:line="360" w:lineRule="auto"/>
        <w:rPr>
          <w:rFonts w:ascii="Times New Roman" w:hAnsi="Times New Roman" w:cs="Times New Roman"/>
          <w:sz w:val="24"/>
          <w:szCs w:val="24"/>
        </w:rPr>
      </w:pPr>
    </w:p>
    <w:p w:rsidR="00C3069B" w:rsidRPr="00065D36" w:rsidRDefault="00C3069B" w:rsidP="00C3069B">
      <w:pPr>
        <w:pStyle w:val="Heading2"/>
        <w:rPr>
          <w:rFonts w:ascii="Times New Roman" w:hAnsi="Times New Roman" w:cs="Times New Roman"/>
          <w:i/>
          <w:color w:val="auto"/>
          <w:sz w:val="24"/>
          <w:szCs w:val="24"/>
        </w:rPr>
      </w:pPr>
      <w:r w:rsidRPr="00065D36">
        <w:rPr>
          <w:rFonts w:ascii="Times New Roman" w:hAnsi="Times New Roman" w:cs="Times New Roman"/>
          <w:i/>
          <w:color w:val="auto"/>
          <w:sz w:val="24"/>
          <w:szCs w:val="24"/>
        </w:rPr>
        <w:t>George G. Harrigan</w:t>
      </w:r>
      <w:r w:rsidRPr="00065D36">
        <w:rPr>
          <w:rFonts w:ascii="Times New Roman" w:hAnsi="Times New Roman" w:cs="Times New Roman"/>
          <w:i/>
          <w:color w:val="auto"/>
          <w:sz w:val="24"/>
          <w:szCs w:val="24"/>
          <w:vertAlign w:val="superscript"/>
        </w:rPr>
        <w:t>1,*</w:t>
      </w:r>
      <w:r w:rsidRPr="00065D36">
        <w:rPr>
          <w:rFonts w:ascii="Times New Roman" w:hAnsi="Times New Roman" w:cs="Times New Roman"/>
          <w:i/>
          <w:color w:val="auto"/>
          <w:sz w:val="24"/>
          <w:szCs w:val="24"/>
        </w:rPr>
        <w:t>, Tyamagondlu V. Venkatesh</w:t>
      </w:r>
      <w:r w:rsidRPr="00065D36">
        <w:rPr>
          <w:rFonts w:ascii="Times New Roman" w:hAnsi="Times New Roman" w:cs="Times New Roman"/>
          <w:i/>
          <w:color w:val="auto"/>
          <w:sz w:val="24"/>
          <w:szCs w:val="24"/>
          <w:vertAlign w:val="superscript"/>
        </w:rPr>
        <w:t>1</w:t>
      </w:r>
      <w:r w:rsidRPr="00065D36">
        <w:rPr>
          <w:rFonts w:ascii="Times New Roman" w:hAnsi="Times New Roman" w:cs="Times New Roman"/>
          <w:i/>
          <w:color w:val="auto"/>
          <w:sz w:val="24"/>
          <w:szCs w:val="24"/>
        </w:rPr>
        <w:t>, Mark Leibman</w:t>
      </w:r>
      <w:r w:rsidRPr="00065D36">
        <w:rPr>
          <w:rFonts w:ascii="Times New Roman" w:hAnsi="Times New Roman" w:cs="Times New Roman"/>
          <w:i/>
          <w:color w:val="auto"/>
          <w:sz w:val="24"/>
          <w:szCs w:val="24"/>
          <w:vertAlign w:val="superscript"/>
        </w:rPr>
        <w:t>2</w:t>
      </w:r>
      <w:r w:rsidRPr="00065D36">
        <w:rPr>
          <w:rFonts w:ascii="Times New Roman" w:hAnsi="Times New Roman" w:cs="Times New Roman"/>
          <w:i/>
          <w:color w:val="auto"/>
          <w:sz w:val="24"/>
          <w:szCs w:val="24"/>
        </w:rPr>
        <w:t xml:space="preserve">, </w:t>
      </w:r>
      <w:r>
        <w:rPr>
          <w:rFonts w:ascii="Times New Roman" w:hAnsi="Times New Roman" w:cs="Times New Roman"/>
          <w:i/>
          <w:color w:val="auto"/>
          <w:sz w:val="24"/>
          <w:szCs w:val="24"/>
        </w:rPr>
        <w:t>Jonathan Blankenship</w:t>
      </w:r>
      <w:r w:rsidRPr="000B2318">
        <w:rPr>
          <w:rFonts w:ascii="Times New Roman" w:hAnsi="Times New Roman" w:cs="Times New Roman"/>
          <w:i/>
          <w:color w:val="auto"/>
          <w:sz w:val="24"/>
          <w:szCs w:val="24"/>
          <w:vertAlign w:val="superscript"/>
        </w:rPr>
        <w:t>3</w:t>
      </w:r>
      <w:r>
        <w:rPr>
          <w:rFonts w:ascii="Times New Roman" w:hAnsi="Times New Roman" w:cs="Times New Roman"/>
          <w:i/>
          <w:color w:val="auto"/>
          <w:sz w:val="24"/>
          <w:szCs w:val="24"/>
        </w:rPr>
        <w:t xml:space="preserve">, </w:t>
      </w:r>
      <w:r w:rsidRPr="00065D36">
        <w:rPr>
          <w:rFonts w:ascii="Times New Roman" w:hAnsi="Times New Roman" w:cs="Times New Roman"/>
          <w:i/>
          <w:color w:val="auto"/>
          <w:sz w:val="24"/>
          <w:szCs w:val="24"/>
        </w:rPr>
        <w:t>Timothy Perez</w:t>
      </w:r>
      <w:r w:rsidRPr="00065D36">
        <w:rPr>
          <w:rFonts w:ascii="Times New Roman" w:hAnsi="Times New Roman" w:cs="Times New Roman"/>
          <w:i/>
          <w:color w:val="auto"/>
          <w:sz w:val="24"/>
          <w:szCs w:val="24"/>
          <w:vertAlign w:val="superscript"/>
        </w:rPr>
        <w:t>3</w:t>
      </w:r>
      <w:r w:rsidRPr="00065D36">
        <w:rPr>
          <w:rFonts w:ascii="Times New Roman" w:hAnsi="Times New Roman" w:cs="Times New Roman"/>
          <w:i/>
          <w:color w:val="auto"/>
          <w:sz w:val="24"/>
          <w:szCs w:val="24"/>
        </w:rPr>
        <w:t>, Steven Halls</w:t>
      </w:r>
      <w:r w:rsidRPr="00065D36">
        <w:rPr>
          <w:rFonts w:ascii="Times New Roman" w:hAnsi="Times New Roman" w:cs="Times New Roman"/>
          <w:i/>
          <w:color w:val="auto"/>
          <w:sz w:val="24"/>
          <w:szCs w:val="24"/>
          <w:vertAlign w:val="superscript"/>
        </w:rPr>
        <w:t>4</w:t>
      </w:r>
      <w:r w:rsidRPr="00065D36">
        <w:rPr>
          <w:rFonts w:ascii="Times New Roman" w:hAnsi="Times New Roman" w:cs="Times New Roman"/>
          <w:i/>
          <w:color w:val="auto"/>
          <w:sz w:val="24"/>
          <w:szCs w:val="24"/>
        </w:rPr>
        <w:t>, Alex</w:t>
      </w:r>
      <w:r>
        <w:rPr>
          <w:rFonts w:ascii="Times New Roman" w:hAnsi="Times New Roman" w:cs="Times New Roman"/>
          <w:i/>
          <w:color w:val="auto"/>
          <w:sz w:val="24"/>
          <w:szCs w:val="24"/>
        </w:rPr>
        <w:t>ander W.</w:t>
      </w:r>
      <w:r w:rsidRPr="00065D36">
        <w:rPr>
          <w:rFonts w:ascii="Times New Roman" w:hAnsi="Times New Roman" w:cs="Times New Roman"/>
          <w:i/>
          <w:color w:val="auto"/>
          <w:sz w:val="24"/>
          <w:szCs w:val="24"/>
        </w:rPr>
        <w:t xml:space="preserve"> Chassy</w:t>
      </w:r>
      <w:r w:rsidRPr="00065D36">
        <w:rPr>
          <w:rFonts w:ascii="Times New Roman" w:hAnsi="Times New Roman" w:cs="Times New Roman"/>
          <w:i/>
          <w:color w:val="auto"/>
          <w:sz w:val="24"/>
          <w:szCs w:val="24"/>
          <w:vertAlign w:val="superscript"/>
        </w:rPr>
        <w:t>5</w:t>
      </w:r>
      <w:r w:rsidRPr="00065D36">
        <w:rPr>
          <w:rFonts w:ascii="Times New Roman" w:hAnsi="Times New Roman" w:cs="Times New Roman"/>
          <w:i/>
          <w:color w:val="auto"/>
          <w:sz w:val="24"/>
          <w:szCs w:val="24"/>
        </w:rPr>
        <w:t>, Oliver Fiehn</w:t>
      </w:r>
      <w:r w:rsidRPr="00065D36">
        <w:rPr>
          <w:rFonts w:ascii="Times New Roman" w:hAnsi="Times New Roman" w:cs="Times New Roman"/>
          <w:i/>
          <w:color w:val="auto"/>
          <w:sz w:val="24"/>
          <w:szCs w:val="24"/>
          <w:vertAlign w:val="superscript"/>
        </w:rPr>
        <w:t>5</w:t>
      </w:r>
      <w:r w:rsidRPr="00065D36">
        <w:rPr>
          <w:rFonts w:ascii="Times New Roman" w:hAnsi="Times New Roman" w:cs="Times New Roman"/>
          <w:i/>
          <w:color w:val="auto"/>
          <w:sz w:val="24"/>
          <w:szCs w:val="24"/>
        </w:rPr>
        <w:t>, Yun Xu</w:t>
      </w:r>
      <w:r w:rsidRPr="00065D36">
        <w:rPr>
          <w:rFonts w:ascii="Times New Roman" w:hAnsi="Times New Roman" w:cs="Times New Roman"/>
          <w:i/>
          <w:color w:val="auto"/>
          <w:sz w:val="24"/>
          <w:szCs w:val="24"/>
          <w:vertAlign w:val="superscript"/>
        </w:rPr>
        <w:t>6</w:t>
      </w:r>
      <w:r w:rsidRPr="00065D36">
        <w:rPr>
          <w:rFonts w:ascii="Times New Roman" w:hAnsi="Times New Roman" w:cs="Times New Roman"/>
          <w:i/>
          <w:color w:val="auto"/>
          <w:sz w:val="24"/>
          <w:szCs w:val="24"/>
        </w:rPr>
        <w:t>, Royston Goodacre</w:t>
      </w:r>
      <w:r w:rsidRPr="00065D36">
        <w:rPr>
          <w:rFonts w:ascii="Times New Roman" w:hAnsi="Times New Roman" w:cs="Times New Roman"/>
          <w:i/>
          <w:color w:val="auto"/>
          <w:sz w:val="24"/>
          <w:szCs w:val="24"/>
          <w:vertAlign w:val="superscript"/>
        </w:rPr>
        <w:t>6</w:t>
      </w:r>
      <w:r w:rsidRPr="00065D36">
        <w:rPr>
          <w:rFonts w:ascii="Times New Roman" w:hAnsi="Times New Roman" w:cs="Times New Roman"/>
          <w:i/>
          <w:color w:val="auto"/>
          <w:sz w:val="24"/>
          <w:szCs w:val="24"/>
        </w:rPr>
        <w:t xml:space="preserve"> </w:t>
      </w:r>
    </w:p>
    <w:p w:rsidR="00C3069B" w:rsidRPr="00065D36" w:rsidRDefault="00C3069B" w:rsidP="00C3069B">
      <w:pPr>
        <w:pStyle w:val="Heading2"/>
        <w:rPr>
          <w:rFonts w:ascii="Times New Roman" w:hAnsi="Times New Roman" w:cs="Times New Roman"/>
          <w:b w:val="0"/>
          <w:color w:val="auto"/>
          <w:sz w:val="24"/>
          <w:szCs w:val="24"/>
        </w:rPr>
      </w:pPr>
      <w:r w:rsidRPr="00065D36">
        <w:rPr>
          <w:rFonts w:ascii="Times New Roman" w:hAnsi="Times New Roman" w:cs="Times New Roman"/>
          <w:b w:val="0"/>
          <w:color w:val="auto"/>
          <w:sz w:val="24"/>
          <w:szCs w:val="24"/>
          <w:vertAlign w:val="superscript"/>
        </w:rPr>
        <w:t>1</w:t>
      </w:r>
      <w:r w:rsidRPr="00065D36">
        <w:rPr>
          <w:rFonts w:ascii="Times New Roman" w:hAnsi="Times New Roman" w:cs="Times New Roman"/>
          <w:b w:val="0"/>
          <w:color w:val="auto"/>
          <w:sz w:val="24"/>
          <w:szCs w:val="24"/>
        </w:rPr>
        <w:t>Compositional Biology Center, Monsanto Company, St. Louis, MO, USA</w:t>
      </w:r>
    </w:p>
    <w:p w:rsidR="00C3069B" w:rsidRPr="00065D36" w:rsidRDefault="00C3069B" w:rsidP="00C3069B">
      <w:pPr>
        <w:pStyle w:val="Heading2"/>
        <w:rPr>
          <w:rFonts w:ascii="Times New Roman" w:hAnsi="Times New Roman" w:cs="Times New Roman"/>
          <w:b w:val="0"/>
          <w:color w:val="auto"/>
          <w:sz w:val="24"/>
          <w:szCs w:val="24"/>
        </w:rPr>
      </w:pPr>
      <w:r w:rsidRPr="00065D36">
        <w:rPr>
          <w:rFonts w:ascii="Times New Roman" w:hAnsi="Times New Roman" w:cs="Times New Roman"/>
          <w:b w:val="0"/>
          <w:color w:val="auto"/>
          <w:sz w:val="24"/>
          <w:szCs w:val="24"/>
          <w:vertAlign w:val="superscript"/>
        </w:rPr>
        <w:t>2</w:t>
      </w:r>
      <w:r w:rsidRPr="00065D36">
        <w:rPr>
          <w:rFonts w:ascii="Times New Roman" w:hAnsi="Times New Roman" w:cs="Times New Roman"/>
          <w:b w:val="0"/>
          <w:color w:val="auto"/>
          <w:sz w:val="24"/>
          <w:szCs w:val="24"/>
        </w:rPr>
        <w:t>Regulatory Affairs, Monsanto Company, St. Louis, MO, USA</w:t>
      </w:r>
    </w:p>
    <w:p w:rsidR="00C3069B" w:rsidRPr="00065D36" w:rsidRDefault="00C3069B" w:rsidP="00C3069B">
      <w:pPr>
        <w:pStyle w:val="Heading2"/>
        <w:rPr>
          <w:rFonts w:ascii="Times New Roman" w:hAnsi="Times New Roman" w:cs="Times New Roman"/>
          <w:b w:val="0"/>
          <w:color w:val="auto"/>
          <w:sz w:val="24"/>
          <w:szCs w:val="24"/>
        </w:rPr>
      </w:pPr>
      <w:r w:rsidRPr="00065D36">
        <w:rPr>
          <w:rFonts w:ascii="Times New Roman" w:hAnsi="Times New Roman" w:cs="Times New Roman"/>
          <w:b w:val="0"/>
          <w:color w:val="auto"/>
          <w:sz w:val="24"/>
          <w:szCs w:val="24"/>
          <w:vertAlign w:val="superscript"/>
        </w:rPr>
        <w:t>3</w:t>
      </w:r>
      <w:r w:rsidRPr="00065D36">
        <w:rPr>
          <w:rFonts w:ascii="Times New Roman" w:hAnsi="Times New Roman" w:cs="Times New Roman"/>
          <w:b w:val="0"/>
          <w:color w:val="auto"/>
          <w:sz w:val="24"/>
          <w:szCs w:val="24"/>
        </w:rPr>
        <w:t>Statistics Technology Center, Monsanto Company, St. Louis, MO, USA</w:t>
      </w:r>
    </w:p>
    <w:p w:rsidR="00C3069B" w:rsidRPr="00065D36" w:rsidRDefault="00C3069B" w:rsidP="00C3069B">
      <w:pPr>
        <w:pStyle w:val="Heading2"/>
        <w:spacing w:after="240"/>
        <w:rPr>
          <w:rFonts w:ascii="Times New Roman" w:hAnsi="Times New Roman" w:cs="Times New Roman"/>
          <w:b w:val="0"/>
          <w:color w:val="auto"/>
          <w:sz w:val="24"/>
          <w:szCs w:val="24"/>
        </w:rPr>
      </w:pPr>
      <w:r w:rsidRPr="00065D36">
        <w:rPr>
          <w:rFonts w:ascii="Times New Roman" w:hAnsi="Times New Roman" w:cs="Times New Roman"/>
          <w:b w:val="0"/>
          <w:color w:val="auto"/>
          <w:sz w:val="24"/>
          <w:szCs w:val="24"/>
          <w:vertAlign w:val="superscript"/>
        </w:rPr>
        <w:t>4</w:t>
      </w:r>
      <w:r>
        <w:rPr>
          <w:rFonts w:ascii="Times New Roman" w:hAnsi="Times New Roman" w:cs="Times New Roman"/>
          <w:b w:val="0"/>
          <w:color w:val="auto"/>
          <w:sz w:val="24"/>
          <w:szCs w:val="24"/>
        </w:rPr>
        <w:t>Chemistry Technology</w:t>
      </w:r>
      <w:r w:rsidRPr="00065D36">
        <w:rPr>
          <w:rFonts w:ascii="Times New Roman" w:hAnsi="Times New Roman" w:cs="Times New Roman"/>
          <w:b w:val="0"/>
          <w:color w:val="auto"/>
          <w:sz w:val="24"/>
          <w:szCs w:val="24"/>
        </w:rPr>
        <w:t>, Monsanto Company, St. Louis, MO, USA</w:t>
      </w:r>
    </w:p>
    <w:p w:rsidR="00C3069B" w:rsidRPr="00065D36" w:rsidRDefault="00C3069B" w:rsidP="00C3069B">
      <w:pPr>
        <w:spacing w:after="0" w:line="480" w:lineRule="auto"/>
        <w:rPr>
          <w:rFonts w:ascii="Times New Roman" w:hAnsi="Times New Roman" w:cs="Times New Roman"/>
          <w:sz w:val="24"/>
          <w:szCs w:val="24"/>
        </w:rPr>
      </w:pPr>
      <w:r w:rsidRPr="00065D36">
        <w:rPr>
          <w:rFonts w:ascii="Times New Roman" w:hAnsi="Times New Roman" w:cs="Times New Roman"/>
          <w:sz w:val="24"/>
          <w:szCs w:val="24"/>
          <w:vertAlign w:val="superscript"/>
        </w:rPr>
        <w:t>5</w:t>
      </w:r>
      <w:r w:rsidRPr="00065D36">
        <w:rPr>
          <w:rFonts w:ascii="Times New Roman" w:hAnsi="Times New Roman" w:cs="Times New Roman"/>
          <w:sz w:val="24"/>
          <w:szCs w:val="24"/>
        </w:rPr>
        <w:t>Genome Center - Metabolomics, University of California at Davis, Davis, CA, USA</w:t>
      </w:r>
    </w:p>
    <w:p w:rsidR="00C3069B" w:rsidRPr="00065D36" w:rsidRDefault="00C3069B" w:rsidP="00C3069B">
      <w:pPr>
        <w:spacing w:after="0" w:line="480" w:lineRule="auto"/>
        <w:rPr>
          <w:rFonts w:ascii="Times New Roman" w:hAnsi="Times New Roman" w:cs="Times New Roman"/>
          <w:sz w:val="24"/>
          <w:szCs w:val="24"/>
        </w:rPr>
      </w:pPr>
      <w:r w:rsidRPr="00065D36">
        <w:rPr>
          <w:rFonts w:ascii="Times New Roman" w:hAnsi="Times New Roman" w:cs="Times New Roman"/>
          <w:bCs/>
          <w:sz w:val="24"/>
          <w:szCs w:val="24"/>
          <w:vertAlign w:val="superscript"/>
        </w:rPr>
        <w:t>6</w:t>
      </w:r>
      <w:r w:rsidRPr="00065D36">
        <w:rPr>
          <w:rFonts w:ascii="Times New Roman" w:hAnsi="Times New Roman" w:cs="Times New Roman"/>
          <w:bCs/>
          <w:sz w:val="24"/>
          <w:szCs w:val="24"/>
        </w:rPr>
        <w:t>School of Chemistry, Manchester Institute of Biotechnology, University of Manchester, 131 Princess Street, Manchester M1 7ND, UK</w:t>
      </w:r>
    </w:p>
    <w:p w:rsidR="00C3069B" w:rsidRDefault="00C3069B" w:rsidP="00C3069B">
      <w:pPr>
        <w:spacing w:after="0" w:line="360" w:lineRule="auto"/>
        <w:rPr>
          <w:rFonts w:ascii="Times New Roman" w:hAnsi="Times New Roman" w:cs="Times New Roman"/>
          <w:sz w:val="24"/>
          <w:szCs w:val="24"/>
        </w:rPr>
      </w:pPr>
    </w:p>
    <w:p w:rsidR="00C3069B" w:rsidRDefault="00C3069B" w:rsidP="00C3069B">
      <w:pPr>
        <w:spacing w:after="0" w:line="360" w:lineRule="auto"/>
        <w:rPr>
          <w:rFonts w:ascii="Times New Roman" w:hAnsi="Times New Roman" w:cs="Times New Roman"/>
          <w:sz w:val="24"/>
          <w:szCs w:val="24"/>
        </w:rPr>
      </w:pPr>
    </w:p>
    <w:p w:rsidR="00C3069B" w:rsidRDefault="00C3069B" w:rsidP="00C3069B">
      <w:pPr>
        <w:spacing w:before="240" w:after="0" w:line="240" w:lineRule="auto"/>
        <w:rPr>
          <w:rFonts w:ascii="Times New Roman" w:hAnsi="Times New Roman" w:cs="Times New Roman"/>
          <w:sz w:val="24"/>
          <w:szCs w:val="24"/>
        </w:rPr>
      </w:pPr>
      <w:r w:rsidRPr="00EA5B53">
        <w:rPr>
          <w:rFonts w:ascii="Times New Roman" w:hAnsi="Times New Roman" w:cs="Times New Roman"/>
          <w:b/>
          <w:sz w:val="24"/>
          <w:szCs w:val="24"/>
        </w:rPr>
        <w:t xml:space="preserve">Keywords </w:t>
      </w:r>
      <w:r>
        <w:rPr>
          <w:rFonts w:ascii="Times New Roman" w:hAnsi="Times New Roman" w:cs="Times New Roman"/>
          <w:sz w:val="24"/>
          <w:szCs w:val="24"/>
        </w:rPr>
        <w:t xml:space="preserve"> </w:t>
      </w:r>
      <w:r w:rsidRPr="00E977E2">
        <w:rPr>
          <w:rFonts w:ascii="Times New Roman" w:hAnsi="Times New Roman"/>
          <w:szCs w:val="24"/>
        </w:rPr>
        <w:t>marker-assisted breeding | marker-assisted</w:t>
      </w:r>
      <w:r>
        <w:rPr>
          <w:rFonts w:ascii="Times New Roman" w:hAnsi="Times New Roman"/>
          <w:szCs w:val="24"/>
        </w:rPr>
        <w:t xml:space="preserve"> back crossing</w:t>
      </w:r>
      <w:r w:rsidRPr="00E977E2">
        <w:rPr>
          <w:rFonts w:ascii="Times New Roman" w:hAnsi="Times New Roman"/>
          <w:szCs w:val="24"/>
        </w:rPr>
        <w:t xml:space="preserve"> </w:t>
      </w:r>
      <w:r>
        <w:rPr>
          <w:rFonts w:ascii="Times New Roman" w:hAnsi="Times New Roman"/>
          <w:szCs w:val="24"/>
        </w:rPr>
        <w:t>| metabolomics</w:t>
      </w:r>
      <w:r w:rsidRPr="00E977E2">
        <w:rPr>
          <w:rFonts w:ascii="Times New Roman" w:hAnsi="Times New Roman"/>
          <w:szCs w:val="24"/>
        </w:rPr>
        <w:t xml:space="preserve"> | genetic modification | natural variability | Genetically Modified (GM) traits | Maize (</w:t>
      </w:r>
      <w:r w:rsidRPr="00E977E2">
        <w:rPr>
          <w:rFonts w:ascii="Times New Roman" w:hAnsi="Times New Roman"/>
          <w:i/>
          <w:szCs w:val="24"/>
        </w:rPr>
        <w:t>Zea mays</w:t>
      </w:r>
      <w:r w:rsidRPr="00E977E2">
        <w:rPr>
          <w:rFonts w:ascii="Times New Roman" w:hAnsi="Times New Roman"/>
          <w:szCs w:val="24"/>
        </w:rPr>
        <w:t>)</w:t>
      </w:r>
    </w:p>
    <w:p w:rsidR="00C3069B" w:rsidRDefault="00C3069B" w:rsidP="00C3069B">
      <w:pPr>
        <w:spacing w:before="240" w:after="0" w:line="240" w:lineRule="auto"/>
        <w:rPr>
          <w:rFonts w:ascii="Times New Roman" w:hAnsi="Times New Roman" w:cs="Times New Roman"/>
          <w:sz w:val="24"/>
          <w:szCs w:val="24"/>
        </w:rPr>
      </w:pPr>
    </w:p>
    <w:p w:rsidR="00C3069B" w:rsidRDefault="00C3069B" w:rsidP="00C3069B">
      <w:pPr>
        <w:spacing w:before="240" w:after="0" w:line="240" w:lineRule="auto"/>
        <w:rPr>
          <w:rFonts w:ascii="Times New Roman" w:hAnsi="Times New Roman" w:cs="Times New Roman"/>
          <w:sz w:val="24"/>
          <w:szCs w:val="24"/>
        </w:rPr>
      </w:pPr>
    </w:p>
    <w:p w:rsidR="00C3069B" w:rsidRPr="00CB0F74" w:rsidRDefault="00C3069B" w:rsidP="00C3069B">
      <w:pPr>
        <w:spacing w:before="240" w:after="0" w:line="240" w:lineRule="auto"/>
        <w:rPr>
          <w:rFonts w:ascii="Times New Roman" w:hAnsi="Times New Roman" w:cs="Times New Roman"/>
          <w:sz w:val="24"/>
          <w:szCs w:val="24"/>
        </w:rPr>
      </w:pPr>
      <w:r w:rsidRPr="00CB0F74">
        <w:rPr>
          <w:rFonts w:ascii="Times New Roman" w:hAnsi="Times New Roman" w:cs="Times New Roman"/>
          <w:b/>
          <w:sz w:val="24"/>
          <w:szCs w:val="24"/>
        </w:rPr>
        <w:t xml:space="preserve">Supporting Table </w:t>
      </w:r>
      <w:r>
        <w:rPr>
          <w:rFonts w:ascii="Times New Roman" w:hAnsi="Times New Roman" w:cs="Times New Roman"/>
          <w:b/>
          <w:sz w:val="24"/>
          <w:szCs w:val="24"/>
        </w:rPr>
        <w:t>S</w:t>
      </w:r>
      <w:r w:rsidRPr="00CB0F74">
        <w:rPr>
          <w:rFonts w:ascii="Times New Roman" w:hAnsi="Times New Roman" w:cs="Times New Roman"/>
          <w:b/>
          <w:sz w:val="24"/>
          <w:szCs w:val="24"/>
        </w:rPr>
        <w:t>1</w:t>
      </w:r>
      <w:r w:rsidRPr="00CB0F74">
        <w:rPr>
          <w:rFonts w:ascii="Times New Roman" w:hAnsi="Times New Roman" w:cs="Times New Roman"/>
          <w:sz w:val="24"/>
          <w:szCs w:val="24"/>
        </w:rPr>
        <w:t xml:space="preserve">. Genetic similarity of inbred variants used in hybrid formation relative to the recurrent parent </w:t>
      </w:r>
    </w:p>
    <w:p w:rsidR="00C3069B" w:rsidRPr="00CB0F74" w:rsidRDefault="00C3069B" w:rsidP="00C3069B">
      <w:pPr>
        <w:spacing w:before="240" w:after="0" w:line="240" w:lineRule="auto"/>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2"/>
        <w:gridCol w:w="1518"/>
      </w:tblGrid>
      <w:tr w:rsidR="00C3069B" w:rsidTr="00E76A3A">
        <w:trPr>
          <w:jc w:val="center"/>
        </w:trPr>
        <w:tc>
          <w:tcPr>
            <w:tcW w:w="0" w:type="auto"/>
            <w:tcBorders>
              <w:top w:val="single" w:sz="4" w:space="0" w:color="auto"/>
              <w:bottom w:val="single" w:sz="12" w:space="0" w:color="auto"/>
            </w:tcBorders>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Entry</w:t>
            </w:r>
          </w:p>
        </w:tc>
        <w:tc>
          <w:tcPr>
            <w:tcW w:w="1518" w:type="dxa"/>
            <w:tcBorders>
              <w:top w:val="single" w:sz="4" w:space="0" w:color="auto"/>
              <w:bottom w:val="single" w:sz="12" w:space="0" w:color="auto"/>
            </w:tcBorders>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 Similarity</w:t>
            </w:r>
          </w:p>
        </w:tc>
      </w:tr>
      <w:tr w:rsidR="00C3069B" w:rsidTr="00E76A3A">
        <w:trPr>
          <w:trHeight w:val="259"/>
          <w:jc w:val="center"/>
        </w:trPr>
        <w:tc>
          <w:tcPr>
            <w:tcW w:w="0" w:type="auto"/>
            <w:tcBorders>
              <w:top w:val="single" w:sz="12" w:space="0" w:color="auto"/>
            </w:tcBorders>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NEG A1</w:t>
            </w:r>
          </w:p>
        </w:tc>
        <w:tc>
          <w:tcPr>
            <w:tcW w:w="1518" w:type="dxa"/>
            <w:tcBorders>
              <w:top w:val="single" w:sz="12" w:space="0" w:color="auto"/>
            </w:tcBorders>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99.91</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NEG A2</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99.91</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NEG B1</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97.61</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NEG B2</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94.05</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Pr>
                <w:rFonts w:ascii="Times New Roman" w:hAnsi="Times New Roman" w:cs="Times New Roman"/>
                <w:sz w:val="20"/>
                <w:szCs w:val="20"/>
              </w:rPr>
              <w:t xml:space="preserve">POS </w:t>
            </w:r>
            <w:r w:rsidRPr="00326C11">
              <w:rPr>
                <w:rFonts w:ascii="Times New Roman" w:hAnsi="Times New Roman" w:cs="Times New Roman"/>
                <w:sz w:val="20"/>
                <w:szCs w:val="20"/>
              </w:rPr>
              <w:t>A1</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99.84</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Pr>
                <w:rFonts w:ascii="Times New Roman" w:hAnsi="Times New Roman" w:cs="Times New Roman"/>
                <w:sz w:val="20"/>
                <w:szCs w:val="20"/>
              </w:rPr>
              <w:t xml:space="preserve">POS </w:t>
            </w:r>
            <w:r w:rsidRPr="00326C11">
              <w:rPr>
                <w:rFonts w:ascii="Times New Roman" w:hAnsi="Times New Roman" w:cs="Times New Roman"/>
                <w:sz w:val="20"/>
                <w:szCs w:val="20"/>
              </w:rPr>
              <w:t>A2</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99.75</w:t>
            </w:r>
          </w:p>
        </w:tc>
      </w:tr>
      <w:tr w:rsidR="00C3069B" w:rsidTr="00E76A3A">
        <w:trPr>
          <w:trHeight w:val="259"/>
          <w:jc w:val="center"/>
        </w:trPr>
        <w:tc>
          <w:tcPr>
            <w:tcW w:w="0" w:type="auto"/>
          </w:tcPr>
          <w:p w:rsidR="00C3069B" w:rsidRPr="00326C11" w:rsidRDefault="00C3069B" w:rsidP="00E76A3A">
            <w:pPr>
              <w:jc w:val="center"/>
              <w:rPr>
                <w:rFonts w:ascii="Times New Roman" w:hAnsi="Times New Roman" w:cs="Times New Roman"/>
                <w:sz w:val="20"/>
                <w:szCs w:val="20"/>
              </w:rPr>
            </w:pPr>
            <w:r>
              <w:rPr>
                <w:rFonts w:ascii="Times New Roman" w:hAnsi="Times New Roman" w:cs="Times New Roman"/>
                <w:sz w:val="20"/>
                <w:szCs w:val="20"/>
              </w:rPr>
              <w:t xml:space="preserve">POS </w:t>
            </w:r>
            <w:r w:rsidRPr="00326C11">
              <w:rPr>
                <w:rFonts w:ascii="Times New Roman" w:hAnsi="Times New Roman" w:cs="Times New Roman"/>
                <w:sz w:val="20"/>
                <w:szCs w:val="20"/>
              </w:rPr>
              <w:t>B1</w:t>
            </w:r>
          </w:p>
        </w:tc>
        <w:tc>
          <w:tcPr>
            <w:tcW w:w="1518" w:type="dxa"/>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98.32</w:t>
            </w:r>
          </w:p>
        </w:tc>
      </w:tr>
      <w:tr w:rsidR="00C3069B" w:rsidTr="00E76A3A">
        <w:trPr>
          <w:trHeight w:val="259"/>
          <w:jc w:val="center"/>
        </w:trPr>
        <w:tc>
          <w:tcPr>
            <w:tcW w:w="0" w:type="auto"/>
            <w:tcBorders>
              <w:bottom w:val="single" w:sz="4" w:space="0" w:color="auto"/>
            </w:tcBorders>
          </w:tcPr>
          <w:p w:rsidR="00C3069B" w:rsidRPr="00326C11" w:rsidRDefault="00C3069B" w:rsidP="00E76A3A">
            <w:pPr>
              <w:jc w:val="center"/>
              <w:rPr>
                <w:rFonts w:ascii="Times New Roman" w:hAnsi="Times New Roman" w:cs="Times New Roman"/>
                <w:sz w:val="20"/>
                <w:szCs w:val="20"/>
              </w:rPr>
            </w:pPr>
            <w:r>
              <w:rPr>
                <w:rFonts w:ascii="Times New Roman" w:hAnsi="Times New Roman" w:cs="Times New Roman"/>
                <w:sz w:val="20"/>
                <w:szCs w:val="20"/>
              </w:rPr>
              <w:t xml:space="preserve">POS </w:t>
            </w:r>
            <w:r w:rsidRPr="00326C11">
              <w:rPr>
                <w:rFonts w:ascii="Times New Roman" w:hAnsi="Times New Roman" w:cs="Times New Roman"/>
                <w:sz w:val="20"/>
                <w:szCs w:val="20"/>
              </w:rPr>
              <w:t>B1</w:t>
            </w:r>
          </w:p>
        </w:tc>
        <w:tc>
          <w:tcPr>
            <w:tcW w:w="1518" w:type="dxa"/>
            <w:tcBorders>
              <w:bottom w:val="single" w:sz="4" w:space="0" w:color="auto"/>
            </w:tcBorders>
          </w:tcPr>
          <w:p w:rsidR="00C3069B" w:rsidRPr="00326C11" w:rsidRDefault="00C3069B" w:rsidP="00E76A3A">
            <w:pPr>
              <w:jc w:val="center"/>
              <w:rPr>
                <w:rFonts w:ascii="Times New Roman" w:hAnsi="Times New Roman" w:cs="Times New Roman"/>
                <w:sz w:val="20"/>
                <w:szCs w:val="20"/>
              </w:rPr>
            </w:pPr>
            <w:r w:rsidRPr="00326C11">
              <w:rPr>
                <w:rFonts w:ascii="Times New Roman" w:hAnsi="Times New Roman" w:cs="Times New Roman"/>
                <w:sz w:val="20"/>
                <w:szCs w:val="20"/>
              </w:rPr>
              <w:t>96.9</w:t>
            </w:r>
          </w:p>
        </w:tc>
      </w:tr>
    </w:tbl>
    <w:p w:rsidR="00C3069B" w:rsidRDefault="00C3069B" w:rsidP="00C3069B">
      <w:pPr>
        <w:spacing w:before="240" w:after="0" w:line="240" w:lineRule="auto"/>
        <w:rPr>
          <w:rFonts w:ascii="Times New Roman" w:hAnsi="Times New Roman" w:cs="Times New Roman"/>
          <w:sz w:val="24"/>
          <w:szCs w:val="24"/>
        </w:rPr>
        <w:sectPr w:rsidR="00C3069B" w:rsidSect="0028776E">
          <w:pgSz w:w="12240" w:h="15840"/>
          <w:pgMar w:top="1440" w:right="1440" w:bottom="1440" w:left="1440" w:header="720" w:footer="720" w:gutter="0"/>
          <w:cols w:space="720"/>
          <w:docGrid w:linePitch="360"/>
        </w:sectPr>
      </w:pPr>
    </w:p>
    <w:p w:rsidR="00C3069B" w:rsidRDefault="00C3069B" w:rsidP="00C3069B">
      <w:pPr>
        <w:spacing w:before="240" w:after="0" w:line="240" w:lineRule="auto"/>
        <w:rPr>
          <w:rFonts w:ascii="Times New Roman" w:hAnsi="Times New Roman" w:cs="Times New Roman"/>
          <w:sz w:val="24"/>
          <w:szCs w:val="24"/>
        </w:rPr>
      </w:pPr>
    </w:p>
    <w:p w:rsidR="00C3069B" w:rsidRDefault="00C3069B" w:rsidP="00C3069B">
      <w:pPr>
        <w:spacing w:before="240" w:after="0" w:line="240" w:lineRule="auto"/>
        <w:rPr>
          <w:rFonts w:ascii="Times New Roman" w:hAnsi="Times New Roman" w:cs="Times New Roman"/>
          <w:sz w:val="24"/>
          <w:szCs w:val="24"/>
        </w:rPr>
      </w:pPr>
    </w:p>
    <w:p w:rsidR="00C3069B" w:rsidRPr="00CB0F74" w:rsidRDefault="00C3069B" w:rsidP="00C3069B">
      <w:pPr>
        <w:spacing w:before="240" w:after="0" w:line="240" w:lineRule="auto"/>
        <w:rPr>
          <w:rFonts w:ascii="Times New Roman" w:hAnsi="Times New Roman" w:cs="Times New Roman"/>
          <w:noProof/>
          <w:sz w:val="24"/>
          <w:szCs w:val="24"/>
        </w:rPr>
      </w:pPr>
      <w:r w:rsidRPr="002E4598">
        <w:rPr>
          <w:rFonts w:ascii="Times New Roman" w:hAnsi="Times New Roman" w:cs="Times New Roman"/>
          <w:b/>
        </w:rPr>
        <w:t>Supporting Fig. S1.</w:t>
      </w:r>
      <w:r w:rsidRPr="002E4598">
        <w:rPr>
          <w:rFonts w:ascii="Times New Roman" w:hAnsi="Times New Roman" w:cs="Times New Roman"/>
          <w:b/>
          <w:noProof/>
        </w:rPr>
        <w:drawing>
          <wp:anchor distT="0" distB="0" distL="114300" distR="114300" simplePos="0" relativeHeight="251663360" behindDoc="0" locked="0" layoutInCell="1" allowOverlap="1">
            <wp:simplePos x="0" y="0"/>
            <wp:positionH relativeFrom="column">
              <wp:posOffset>19050</wp:posOffset>
            </wp:positionH>
            <wp:positionV relativeFrom="paragraph">
              <wp:posOffset>0</wp:posOffset>
            </wp:positionV>
            <wp:extent cx="5945022" cy="3998794"/>
            <wp:effectExtent l="19050" t="0" r="0" b="0"/>
            <wp:wrapTopAndBottom/>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945022" cy="3998794"/>
                    </a:xfrm>
                    <a:prstGeom prst="rect">
                      <a:avLst/>
                    </a:prstGeom>
                    <a:noFill/>
                    <a:ln w="9525">
                      <a:noFill/>
                      <a:miter lim="800000"/>
                      <a:headEnd/>
                      <a:tailEnd/>
                    </a:ln>
                  </pic:spPr>
                </pic:pic>
              </a:graphicData>
            </a:graphic>
          </wp:anchor>
        </w:drawing>
      </w:r>
      <w:r w:rsidRPr="002E4598">
        <w:rPr>
          <w:rFonts w:ascii="Times New Roman" w:hAnsi="Times New Roman" w:cs="Times New Roman"/>
        </w:rPr>
        <w:t xml:space="preserve"> Schematic of breeding, including marker-assisted backcrossing, and testing used to develop the positive (POS) and negative (NEG) segregants during the inbred conversions</w:t>
      </w:r>
      <w:r>
        <w:rPr>
          <w:rFonts w:ascii="Times New Roman" w:hAnsi="Times New Roman" w:cs="Times New Roman"/>
          <w:sz w:val="24"/>
          <w:szCs w:val="24"/>
        </w:rPr>
        <w:t>.</w:t>
      </w:r>
    </w:p>
    <w:p w:rsidR="00C3069B" w:rsidRDefault="00C3069B" w:rsidP="00C3069B">
      <w:pPr>
        <w:spacing w:before="240" w:after="0" w:line="240" w:lineRule="auto"/>
        <w:rPr>
          <w:rFonts w:ascii="Times New Roman" w:hAnsi="Times New Roman" w:cs="Times New Roman"/>
          <w:sz w:val="24"/>
          <w:szCs w:val="24"/>
        </w:rPr>
      </w:pPr>
    </w:p>
    <w:p w:rsidR="00C3069B" w:rsidRDefault="00C3069B" w:rsidP="00C3069B">
      <w:pPr>
        <w:spacing w:after="0" w:line="480" w:lineRule="auto"/>
        <w:rPr>
          <w:rFonts w:ascii="Times New Roman" w:hAnsi="Times New Roman" w:cs="Times New Roman"/>
          <w:sz w:val="24"/>
          <w:szCs w:val="24"/>
        </w:rPr>
      </w:pPr>
    </w:p>
    <w:p w:rsidR="00C3069B" w:rsidRDefault="00C3069B" w:rsidP="00C3069B">
      <w:pPr>
        <w:spacing w:after="0" w:line="480" w:lineRule="auto"/>
        <w:rPr>
          <w:rFonts w:ascii="Times New Roman" w:hAnsi="Times New Roman" w:cs="Times New Roman"/>
          <w:sz w:val="24"/>
          <w:szCs w:val="24"/>
        </w:rPr>
      </w:pPr>
      <w:r w:rsidRPr="006765D1">
        <w:rPr>
          <w:noProof/>
        </w:rPr>
        <w:drawing>
          <wp:anchor distT="0" distB="0" distL="114300" distR="114300" simplePos="0" relativeHeight="251659264" behindDoc="0" locked="0" layoutInCell="1" allowOverlap="1">
            <wp:simplePos x="0" y="0"/>
            <wp:positionH relativeFrom="column">
              <wp:posOffset>1276066</wp:posOffset>
            </wp:positionH>
            <wp:positionV relativeFrom="paragraph">
              <wp:posOffset>-1365</wp:posOffset>
            </wp:positionV>
            <wp:extent cx="3391468" cy="3282287"/>
            <wp:effectExtent l="0" t="0" r="0" b="0"/>
            <wp:wrapTopAndBottom/>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391468" cy="3282287"/>
                    </a:xfrm>
                    <a:prstGeom prst="rect">
                      <a:avLst/>
                    </a:prstGeom>
                    <a:noFill/>
                    <a:ln w="9525">
                      <a:noFill/>
                      <a:miter lim="800000"/>
                      <a:headEnd/>
                      <a:tailEnd/>
                    </a:ln>
                  </pic:spPr>
                </pic:pic>
              </a:graphicData>
            </a:graphic>
          </wp:anchor>
        </w:drawing>
      </w:r>
    </w:p>
    <w:p w:rsidR="00C3069B" w:rsidRPr="00A65383" w:rsidRDefault="00C3069B" w:rsidP="00C3069B">
      <w:pPr>
        <w:spacing w:after="0" w:line="240" w:lineRule="auto"/>
        <w:rPr>
          <w:rFonts w:ascii="Times New Roman" w:hAnsi="Times New Roman" w:cs="Times New Roman"/>
          <w:sz w:val="20"/>
          <w:szCs w:val="20"/>
        </w:rPr>
      </w:pPr>
      <w:r>
        <w:rPr>
          <w:rFonts w:ascii="Times New Roman" w:hAnsi="Times New Roman" w:cs="Times New Roman"/>
          <w:b/>
          <w:sz w:val="20"/>
          <w:szCs w:val="20"/>
        </w:rPr>
        <w:t>Supporting Fig.</w:t>
      </w:r>
      <w:r w:rsidRPr="009D7969">
        <w:rPr>
          <w:rFonts w:ascii="Times New Roman" w:hAnsi="Times New Roman" w:cs="Times New Roman"/>
          <w:b/>
          <w:sz w:val="20"/>
          <w:szCs w:val="20"/>
        </w:rPr>
        <w:t xml:space="preserve"> </w:t>
      </w:r>
      <w:r>
        <w:rPr>
          <w:rFonts w:ascii="Times New Roman" w:hAnsi="Times New Roman" w:cs="Times New Roman"/>
          <w:b/>
          <w:sz w:val="20"/>
          <w:szCs w:val="20"/>
        </w:rPr>
        <w:t>S2</w:t>
      </w:r>
      <w:r w:rsidRPr="009D7969">
        <w:rPr>
          <w:rFonts w:ascii="Times New Roman" w:hAnsi="Times New Roman" w:cs="Times New Roman"/>
          <w:b/>
          <w:sz w:val="20"/>
          <w:szCs w:val="20"/>
        </w:rPr>
        <w:t>.</w:t>
      </w:r>
      <w:r w:rsidRPr="009D7969">
        <w:rPr>
          <w:rFonts w:ascii="Times New Roman" w:hAnsi="Times New Roman" w:cs="Times New Roman"/>
          <w:sz w:val="20"/>
          <w:szCs w:val="20"/>
        </w:rPr>
        <w:t xml:space="preserve"> Schematic of “Comparison 1”.  The combined-site mean of the control hybrid (i.e the hybrid derived from the recurrent parent [RP]) was compared to th</w:t>
      </w:r>
      <w:r>
        <w:rPr>
          <w:rFonts w:ascii="Times New Roman" w:hAnsi="Times New Roman" w:cs="Times New Roman"/>
          <w:sz w:val="20"/>
          <w:szCs w:val="20"/>
        </w:rPr>
        <w:t>e combined-site mean of all the</w:t>
      </w:r>
      <w:r w:rsidRPr="009D7969">
        <w:rPr>
          <w:rFonts w:ascii="Times New Roman" w:hAnsi="Times New Roman" w:cs="Times New Roman"/>
          <w:sz w:val="20"/>
          <w:szCs w:val="20"/>
        </w:rPr>
        <w:t xml:space="preserve"> hybrids derived from each of the the negative and positive segregant inbreds. </w:t>
      </w:r>
    </w:p>
    <w:p w:rsidR="00C3069B" w:rsidRDefault="00C3069B" w:rsidP="00C3069B">
      <w:pPr>
        <w:spacing w:after="0" w:line="480" w:lineRule="auto"/>
        <w:rPr>
          <w:rFonts w:ascii="Times New Roman" w:hAnsi="Times New Roman" w:cs="Times New Roman"/>
          <w:sz w:val="24"/>
          <w:szCs w:val="24"/>
        </w:rPr>
        <w:sectPr w:rsidR="00C3069B" w:rsidSect="0028776E">
          <w:pgSz w:w="12240" w:h="15840"/>
          <w:pgMar w:top="1440" w:right="1440" w:bottom="1440" w:left="1440" w:header="720" w:footer="720" w:gutter="0"/>
          <w:cols w:space="720"/>
          <w:docGrid w:linePitch="360"/>
        </w:sectPr>
      </w:pPr>
    </w:p>
    <w:p w:rsidR="00C3069B" w:rsidRDefault="00C3069B" w:rsidP="00C3069B">
      <w:pPr>
        <w:spacing w:after="0" w:line="480" w:lineRule="auto"/>
        <w:rPr>
          <w:rFonts w:ascii="Times New Roman" w:hAnsi="Times New Roman" w:cs="Times New Roman"/>
          <w:sz w:val="24"/>
          <w:szCs w:val="24"/>
        </w:rPr>
      </w:pPr>
    </w:p>
    <w:p w:rsidR="00C3069B" w:rsidRDefault="00C3069B" w:rsidP="00C3069B">
      <w:pPr>
        <w:spacing w:after="0" w:line="480" w:lineRule="auto"/>
        <w:jc w:val="center"/>
        <w:rPr>
          <w:rFonts w:ascii="Times New Roman" w:hAnsi="Times New Roman" w:cs="Times New Roman"/>
          <w:sz w:val="24"/>
          <w:szCs w:val="24"/>
        </w:rPr>
      </w:pPr>
      <w:r w:rsidRPr="006765D1">
        <w:rPr>
          <w:noProof/>
        </w:rPr>
        <w:drawing>
          <wp:anchor distT="0" distB="0" distL="114300" distR="114300" simplePos="0" relativeHeight="251660288" behindDoc="0" locked="0" layoutInCell="1" allowOverlap="1">
            <wp:simplePos x="0" y="0"/>
            <wp:positionH relativeFrom="column">
              <wp:posOffset>1337481</wp:posOffset>
            </wp:positionH>
            <wp:positionV relativeFrom="paragraph">
              <wp:posOffset>-2502</wp:posOffset>
            </wp:positionV>
            <wp:extent cx="3268638" cy="2169994"/>
            <wp:effectExtent l="0" t="0" r="0" b="0"/>
            <wp:wrapTopAndBottom/>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268638" cy="2169994"/>
                    </a:xfrm>
                    <a:prstGeom prst="rect">
                      <a:avLst/>
                    </a:prstGeom>
                    <a:noFill/>
                    <a:ln w="9525">
                      <a:noFill/>
                      <a:miter lim="800000"/>
                      <a:headEnd/>
                      <a:tailEnd/>
                    </a:ln>
                  </pic:spPr>
                </pic:pic>
              </a:graphicData>
            </a:graphic>
          </wp:anchor>
        </w:drawing>
      </w:r>
    </w:p>
    <w:p w:rsidR="00C3069B" w:rsidRPr="00A65383" w:rsidRDefault="00C3069B" w:rsidP="00C3069B">
      <w:pPr>
        <w:spacing w:after="0" w:line="240" w:lineRule="auto"/>
        <w:rPr>
          <w:rFonts w:ascii="Times New Roman" w:hAnsi="Times New Roman" w:cs="Times New Roman"/>
          <w:sz w:val="20"/>
          <w:szCs w:val="20"/>
        </w:rPr>
      </w:pPr>
      <w:r>
        <w:rPr>
          <w:rFonts w:ascii="Times New Roman" w:hAnsi="Times New Roman" w:cs="Times New Roman"/>
          <w:b/>
          <w:sz w:val="20"/>
          <w:szCs w:val="20"/>
        </w:rPr>
        <w:t>Supporting Fig.</w:t>
      </w:r>
      <w:r w:rsidRPr="009D7969">
        <w:rPr>
          <w:rFonts w:ascii="Times New Roman" w:hAnsi="Times New Roman" w:cs="Times New Roman"/>
          <w:b/>
          <w:sz w:val="20"/>
          <w:szCs w:val="20"/>
        </w:rPr>
        <w:t xml:space="preserve"> </w:t>
      </w:r>
      <w:r>
        <w:rPr>
          <w:rFonts w:ascii="Times New Roman" w:hAnsi="Times New Roman" w:cs="Times New Roman"/>
          <w:b/>
          <w:sz w:val="20"/>
          <w:szCs w:val="20"/>
        </w:rPr>
        <w:t>S3</w:t>
      </w:r>
      <w:r w:rsidRPr="009D7969">
        <w:rPr>
          <w:rFonts w:ascii="Times New Roman" w:hAnsi="Times New Roman" w:cs="Times New Roman"/>
          <w:b/>
          <w:sz w:val="20"/>
          <w:szCs w:val="20"/>
        </w:rPr>
        <w:t>.</w:t>
      </w:r>
      <w:r w:rsidRPr="009D7969">
        <w:rPr>
          <w:rFonts w:ascii="Times New Roman" w:hAnsi="Times New Roman" w:cs="Times New Roman"/>
          <w:sz w:val="20"/>
          <w:szCs w:val="20"/>
        </w:rPr>
        <w:t xml:space="preserve"> Schematic of “Comparison 2”.  The combined-site mean for each trait-positive hybrid wascompared to the paired neg</w:t>
      </w:r>
      <w:r>
        <w:rPr>
          <w:rFonts w:ascii="Times New Roman" w:hAnsi="Times New Roman" w:cs="Times New Roman"/>
          <w:sz w:val="20"/>
          <w:szCs w:val="20"/>
        </w:rPr>
        <w:t>ative segregant-derived hybrids</w:t>
      </w:r>
      <w:r w:rsidRPr="009D7969">
        <w:rPr>
          <w:rFonts w:ascii="Times New Roman" w:hAnsi="Times New Roman" w:cs="Times New Roman"/>
          <w:sz w:val="20"/>
          <w:szCs w:val="20"/>
        </w:rPr>
        <w:t xml:space="preserve"> i.e. POS A1 was compared to NEG A1, POS A2 was compared to NEG A2, and so on.</w:t>
      </w:r>
    </w:p>
    <w:p w:rsidR="00C3069B" w:rsidRDefault="00C3069B" w:rsidP="00C3069B">
      <w:pPr>
        <w:spacing w:after="0" w:line="480" w:lineRule="auto"/>
        <w:rPr>
          <w:rFonts w:ascii="Times New Roman" w:hAnsi="Times New Roman" w:cs="Times New Roman"/>
          <w:sz w:val="24"/>
          <w:szCs w:val="24"/>
        </w:rPr>
      </w:pPr>
    </w:p>
    <w:p w:rsidR="00C3069B" w:rsidRDefault="00053476" w:rsidP="00C3069B">
      <w:pPr>
        <w:spacing w:line="240" w:lineRule="auto"/>
        <w:rPr>
          <w:rFonts w:ascii="Times New Roman" w:hAnsi="Times New Roman" w:cs="Times New Roman"/>
          <w:b/>
          <w:sz w:val="24"/>
          <w:szCs w:val="24"/>
        </w:rPr>
      </w:pPr>
      <w:r w:rsidRPr="00053476">
        <w:rPr>
          <w:noProof/>
        </w:rPr>
        <w:drawing>
          <wp:inline distT="0" distB="0" distL="0" distR="0">
            <wp:extent cx="5943600" cy="21359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35981"/>
                    </a:xfrm>
                    <a:prstGeom prst="rect">
                      <a:avLst/>
                    </a:prstGeom>
                    <a:noFill/>
                    <a:ln>
                      <a:noFill/>
                    </a:ln>
                  </pic:spPr>
                </pic:pic>
              </a:graphicData>
            </a:graphic>
          </wp:inline>
        </w:drawing>
      </w:r>
      <w:bookmarkStart w:id="0" w:name="_GoBack"/>
      <w:bookmarkEnd w:id="0"/>
    </w:p>
    <w:p w:rsidR="00C3069B" w:rsidRPr="00A65383" w:rsidRDefault="00C3069B" w:rsidP="00C3069B">
      <w:pPr>
        <w:spacing w:line="240" w:lineRule="auto"/>
        <w:rPr>
          <w:rFonts w:ascii="Times New Roman" w:hAnsi="Times New Roman" w:cs="Times New Roman"/>
          <w:sz w:val="20"/>
          <w:szCs w:val="20"/>
        </w:rPr>
      </w:pPr>
      <w:r>
        <w:rPr>
          <w:rFonts w:ascii="Times New Roman" w:hAnsi="Times New Roman" w:cs="Times New Roman"/>
          <w:b/>
          <w:sz w:val="20"/>
          <w:szCs w:val="20"/>
        </w:rPr>
        <w:t>Supporting Fig.</w:t>
      </w:r>
      <w:r w:rsidRPr="009D7969">
        <w:rPr>
          <w:rFonts w:ascii="Times New Roman" w:hAnsi="Times New Roman" w:cs="Times New Roman"/>
          <w:b/>
          <w:sz w:val="20"/>
          <w:szCs w:val="20"/>
        </w:rPr>
        <w:t xml:space="preserve"> </w:t>
      </w:r>
      <w:r>
        <w:rPr>
          <w:rFonts w:ascii="Times New Roman" w:hAnsi="Times New Roman" w:cs="Times New Roman"/>
          <w:b/>
          <w:sz w:val="20"/>
          <w:szCs w:val="20"/>
        </w:rPr>
        <w:t>S4</w:t>
      </w:r>
      <w:r w:rsidRPr="009D7969">
        <w:rPr>
          <w:rFonts w:ascii="Times New Roman" w:hAnsi="Times New Roman" w:cs="Times New Roman"/>
          <w:sz w:val="20"/>
          <w:szCs w:val="20"/>
        </w:rPr>
        <w:t>. Schematic of “Comparison 3”.  The combined-site means for each trait-positive hybrid were compared to each other</w:t>
      </w:r>
      <w:r>
        <w:rPr>
          <w:rFonts w:ascii="Times New Roman" w:hAnsi="Times New Roman" w:cs="Times New Roman"/>
          <w:sz w:val="20"/>
          <w:szCs w:val="20"/>
        </w:rPr>
        <w:t>,</w:t>
      </w:r>
      <w:r w:rsidRPr="009D7969">
        <w:rPr>
          <w:rFonts w:ascii="Times New Roman" w:hAnsi="Times New Roman" w:cs="Times New Roman"/>
          <w:sz w:val="20"/>
          <w:szCs w:val="20"/>
        </w:rPr>
        <w:t xml:space="preserve"> i.e. POS A1 was compared to each of POS A2, POS B1 to POS B2, POS A2 was further compared to POS B1 and POS B2, and finally POS B1 was compared to POS B2.  This pairwise scheme was replicated for the hybrids generated from the </w:t>
      </w:r>
      <w:r>
        <w:rPr>
          <w:rFonts w:ascii="Times New Roman" w:hAnsi="Times New Roman" w:cs="Times New Roman"/>
          <w:sz w:val="20"/>
          <w:szCs w:val="20"/>
        </w:rPr>
        <w:t xml:space="preserve">negative segregant inbreds, </w:t>
      </w:r>
      <w:r w:rsidRPr="009D7969">
        <w:rPr>
          <w:rFonts w:ascii="Times New Roman" w:hAnsi="Times New Roman" w:cs="Times New Roman"/>
          <w:sz w:val="20"/>
          <w:szCs w:val="20"/>
        </w:rPr>
        <w:t>i.e. NEG A1 was compared to each of NEG A2, NEG B1 to NEG B2, NEG A2 was further compared to NEG B1 and NEG B2, and finally NEG B1 was compared to NEG B2.</w:t>
      </w:r>
    </w:p>
    <w:p w:rsidR="00C3069B" w:rsidRDefault="00C3069B" w:rsidP="00C3069B">
      <w:pPr>
        <w:spacing w:after="0" w:line="240" w:lineRule="auto"/>
        <w:rPr>
          <w:rFonts w:ascii="Times New Roman" w:hAnsi="Times New Roman" w:cs="Times New Roman"/>
          <w:b/>
          <w:sz w:val="24"/>
          <w:szCs w:val="24"/>
        </w:rPr>
      </w:pPr>
    </w:p>
    <w:p w:rsidR="00C3069B" w:rsidRDefault="00053476" w:rsidP="00C3069B">
      <w:pPr>
        <w:spacing w:after="0" w:line="240" w:lineRule="auto"/>
        <w:rPr>
          <w:rFonts w:ascii="Times New Roman" w:hAnsi="Times New Roman" w:cs="Times New Roman"/>
          <w:b/>
          <w:sz w:val="24"/>
          <w:szCs w:val="24"/>
        </w:rPr>
      </w:pPr>
      <w:r w:rsidRPr="00053476">
        <w:rPr>
          <w:noProof/>
        </w:rPr>
        <w:drawing>
          <wp:inline distT="0" distB="0" distL="0" distR="0">
            <wp:extent cx="5943600" cy="2135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35981"/>
                    </a:xfrm>
                    <a:prstGeom prst="rect">
                      <a:avLst/>
                    </a:prstGeom>
                    <a:noFill/>
                    <a:ln>
                      <a:noFill/>
                    </a:ln>
                  </pic:spPr>
                </pic:pic>
              </a:graphicData>
            </a:graphic>
          </wp:inline>
        </w:drawing>
      </w:r>
    </w:p>
    <w:p w:rsidR="00C3069B" w:rsidRDefault="00C3069B" w:rsidP="00C3069B">
      <w:pPr>
        <w:spacing w:after="0" w:line="240" w:lineRule="auto"/>
        <w:rPr>
          <w:rFonts w:ascii="Times New Roman" w:hAnsi="Times New Roman" w:cs="Times New Roman"/>
          <w:b/>
          <w:sz w:val="24"/>
          <w:szCs w:val="24"/>
        </w:rPr>
      </w:pPr>
    </w:p>
    <w:p w:rsidR="00C3069B" w:rsidRPr="00A65383" w:rsidRDefault="00C3069B" w:rsidP="00C3069B">
      <w:pPr>
        <w:spacing w:after="0" w:line="240" w:lineRule="auto"/>
        <w:rPr>
          <w:rFonts w:ascii="Times New Roman" w:hAnsi="Times New Roman" w:cs="Times New Roman"/>
          <w:sz w:val="20"/>
          <w:szCs w:val="20"/>
        </w:rPr>
      </w:pPr>
      <w:r>
        <w:rPr>
          <w:rFonts w:ascii="Times New Roman" w:hAnsi="Times New Roman" w:cs="Times New Roman"/>
          <w:b/>
          <w:sz w:val="20"/>
          <w:szCs w:val="20"/>
        </w:rPr>
        <w:t>Supporting Fig.</w:t>
      </w:r>
      <w:r w:rsidRPr="009D7969">
        <w:rPr>
          <w:rFonts w:ascii="Times New Roman" w:hAnsi="Times New Roman" w:cs="Times New Roman"/>
          <w:b/>
          <w:sz w:val="20"/>
          <w:szCs w:val="20"/>
        </w:rPr>
        <w:t xml:space="preserve"> </w:t>
      </w:r>
      <w:r>
        <w:rPr>
          <w:rFonts w:ascii="Times New Roman" w:hAnsi="Times New Roman" w:cs="Times New Roman"/>
          <w:b/>
          <w:sz w:val="20"/>
          <w:szCs w:val="20"/>
        </w:rPr>
        <w:t>S5</w:t>
      </w:r>
      <w:r w:rsidRPr="009D7969">
        <w:rPr>
          <w:rFonts w:ascii="Times New Roman" w:hAnsi="Times New Roman" w:cs="Times New Roman"/>
          <w:sz w:val="20"/>
          <w:szCs w:val="20"/>
        </w:rPr>
        <w:t>. Schematic of “Comparison 4”.  In addition to the paired POS-NEG comparisons of the combined-site means</w:t>
      </w:r>
      <w:r>
        <w:rPr>
          <w:rFonts w:ascii="Times New Roman" w:hAnsi="Times New Roman" w:cs="Times New Roman"/>
          <w:sz w:val="20"/>
          <w:szCs w:val="20"/>
        </w:rPr>
        <w:t>,</w:t>
      </w:r>
      <w:r w:rsidRPr="009D7969">
        <w:rPr>
          <w:rFonts w:ascii="Times New Roman" w:hAnsi="Times New Roman" w:cs="Times New Roman"/>
          <w:sz w:val="20"/>
          <w:szCs w:val="20"/>
        </w:rPr>
        <w:t xml:space="preserve"> i.</w:t>
      </w:r>
      <w:r>
        <w:rPr>
          <w:rFonts w:ascii="Times New Roman" w:hAnsi="Times New Roman" w:cs="Times New Roman"/>
          <w:sz w:val="20"/>
          <w:szCs w:val="20"/>
        </w:rPr>
        <w:t xml:space="preserve">e. POS A1 to NEG A1 and so on, </w:t>
      </w:r>
      <w:r w:rsidRPr="009D7969">
        <w:rPr>
          <w:rFonts w:ascii="Times New Roman" w:hAnsi="Times New Roman" w:cs="Times New Roman"/>
          <w:sz w:val="20"/>
          <w:szCs w:val="20"/>
        </w:rPr>
        <w:t>all  remainin</w:t>
      </w:r>
      <w:r>
        <w:rPr>
          <w:rFonts w:ascii="Times New Roman" w:hAnsi="Times New Roman" w:cs="Times New Roman"/>
          <w:sz w:val="20"/>
          <w:szCs w:val="20"/>
        </w:rPr>
        <w:t xml:space="preserve">g possible comparisons between </w:t>
      </w:r>
      <w:r w:rsidRPr="009D7969">
        <w:rPr>
          <w:rFonts w:ascii="Times New Roman" w:hAnsi="Times New Roman" w:cs="Times New Roman"/>
          <w:sz w:val="20"/>
          <w:szCs w:val="20"/>
        </w:rPr>
        <w:t>POS and NEG variants were made. In other words, POS A1 was compared to NEG A2, NEG B1, and NEG B2. POS A2 w</w:t>
      </w:r>
      <w:r>
        <w:rPr>
          <w:rFonts w:ascii="Times New Roman" w:hAnsi="Times New Roman" w:cs="Times New Roman"/>
          <w:sz w:val="20"/>
          <w:szCs w:val="20"/>
        </w:rPr>
        <w:t>a</w:t>
      </w:r>
      <w:r w:rsidRPr="009D7969">
        <w:rPr>
          <w:rFonts w:ascii="Times New Roman" w:hAnsi="Times New Roman" w:cs="Times New Roman"/>
          <w:sz w:val="20"/>
          <w:szCs w:val="20"/>
        </w:rPr>
        <w:t>s compared to N</w:t>
      </w:r>
      <w:r>
        <w:rPr>
          <w:rFonts w:ascii="Times New Roman" w:hAnsi="Times New Roman" w:cs="Times New Roman"/>
          <w:sz w:val="20"/>
          <w:szCs w:val="20"/>
        </w:rPr>
        <w:t>EG A1, NEG B1, and NEG B2  Analogous comparisons</w:t>
      </w:r>
      <w:r w:rsidRPr="009D7969">
        <w:rPr>
          <w:rFonts w:ascii="Times New Roman" w:hAnsi="Times New Roman" w:cs="Times New Roman"/>
          <w:sz w:val="20"/>
          <w:szCs w:val="20"/>
        </w:rPr>
        <w:t xml:space="preserve"> were made </w:t>
      </w:r>
      <w:r>
        <w:rPr>
          <w:rFonts w:ascii="Times New Roman" w:hAnsi="Times New Roman" w:cs="Times New Roman"/>
          <w:sz w:val="20"/>
          <w:szCs w:val="20"/>
        </w:rPr>
        <w:t>for POS B1 and POS B2 as shown.</w:t>
      </w:r>
      <w:r w:rsidRPr="009D7969">
        <w:rPr>
          <w:rFonts w:ascii="Times New Roman" w:hAnsi="Times New Roman" w:cs="Times New Roman"/>
          <w:sz w:val="20"/>
          <w:szCs w:val="20"/>
        </w:rPr>
        <w:t xml:space="preserve">  </w:t>
      </w:r>
    </w:p>
    <w:p w:rsidR="00C3069B" w:rsidRPr="00164367" w:rsidRDefault="00C3069B" w:rsidP="00C3069B">
      <w:pPr>
        <w:spacing w:after="0" w:line="360" w:lineRule="auto"/>
        <w:rPr>
          <w:rFonts w:ascii="Times New Roman" w:hAnsi="Times New Roman" w:cs="Times New Roman"/>
          <w:sz w:val="24"/>
          <w:szCs w:val="24"/>
        </w:rPr>
      </w:pPr>
    </w:p>
    <w:p w:rsidR="00A27948" w:rsidRDefault="00A27948"/>
    <w:sectPr w:rsidR="00A27948" w:rsidSect="004A655E">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C3069B"/>
    <w:rsid w:val="00053476"/>
    <w:rsid w:val="0028776E"/>
    <w:rsid w:val="00A27948"/>
    <w:rsid w:val="00B81A44"/>
    <w:rsid w:val="00C306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9B"/>
    <w:pPr>
      <w:spacing w:after="200" w:line="276" w:lineRule="auto"/>
    </w:pPr>
    <w:rPr>
      <w:lang w:eastAsia="en-US"/>
    </w:rPr>
  </w:style>
  <w:style w:type="paragraph" w:styleId="Heading2">
    <w:name w:val="heading 2"/>
    <w:basedOn w:val="Normal"/>
    <w:next w:val="Normal"/>
    <w:link w:val="Heading2Char"/>
    <w:uiPriority w:val="9"/>
    <w:unhideWhenUsed/>
    <w:qFormat/>
    <w:rsid w:val="00C3069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069B"/>
    <w:rPr>
      <w:rFonts w:asciiTheme="majorHAnsi" w:eastAsiaTheme="majorEastAsia" w:hAnsiTheme="majorHAnsi" w:cstheme="majorBidi"/>
      <w:b/>
      <w:bCs/>
      <w:color w:val="5B9BD5" w:themeColor="accent1"/>
      <w:sz w:val="26"/>
      <w:szCs w:val="26"/>
      <w:lang w:eastAsia="en-US"/>
    </w:rPr>
  </w:style>
  <w:style w:type="paragraph" w:customStyle="1" w:styleId="BATitle">
    <w:name w:val="BA_Title"/>
    <w:basedOn w:val="Normal"/>
    <w:next w:val="Normal"/>
    <w:rsid w:val="00C3069B"/>
    <w:pPr>
      <w:spacing w:before="720" w:after="360" w:line="480" w:lineRule="auto"/>
      <w:jc w:val="center"/>
    </w:pPr>
    <w:rPr>
      <w:rFonts w:ascii="Times New Roman" w:eastAsia="Times New Roman" w:hAnsi="Times New Roman" w:cs="Times New Roman"/>
      <w:sz w:val="44"/>
      <w:szCs w:val="20"/>
    </w:rPr>
  </w:style>
  <w:style w:type="table" w:styleId="TableGrid">
    <w:name w:val="Table Grid"/>
    <w:basedOn w:val="TableNormal"/>
    <w:uiPriority w:val="59"/>
    <w:rsid w:val="00C3069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3069B"/>
  </w:style>
  <w:style w:type="paragraph" w:styleId="BalloonText">
    <w:name w:val="Balloon Text"/>
    <w:basedOn w:val="Normal"/>
    <w:link w:val="BalloonTextChar"/>
    <w:uiPriority w:val="99"/>
    <w:semiHidden/>
    <w:unhideWhenUsed/>
    <w:rsid w:val="00287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76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C028D-F166-44C8-8277-19AE07D9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Monsanto</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HARRIGAN, GEORGE G [AG/1000]</dc:creator>
  <cp:keywords/>
  <dc:description/>
  <cp:lastModifiedBy>Aswini A.</cp:lastModifiedBy>
  <cp:revision>3</cp:revision>
  <dcterms:created xsi:type="dcterms:W3CDTF">2015-11-10T13:30:00Z</dcterms:created>
  <dcterms:modified xsi:type="dcterms:W3CDTF">2016-03-10T03:22:00Z</dcterms:modified>
</cp:coreProperties>
</file>