
<file path=[Content_Types].xml><?xml version="1.0" encoding="utf-8"?>
<Types xmlns="http://schemas.openxmlformats.org/package/2006/content-types">
  <Default Extension="bin" ContentType="application/vnd.openxmlformats-officedocument.oleObject"/>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7E4A4D7" w14:textId="12F44F96" w:rsidR="00296F2C" w:rsidRPr="00D87BD0" w:rsidRDefault="00A57A73" w:rsidP="0047340A">
      <w:pPr>
        <w:pStyle w:val="Heading4"/>
        <w:spacing w:line="276" w:lineRule="auto"/>
        <w:rPr>
          <w:rFonts w:asciiTheme="minorHAnsi" w:hAnsiTheme="minorHAnsi" w:cs="Arial"/>
          <w:b/>
          <w:caps/>
          <w:sz w:val="28"/>
          <w:szCs w:val="32"/>
        </w:rPr>
      </w:pPr>
      <w:r w:rsidRPr="00D87BD0">
        <w:rPr>
          <w:rFonts w:asciiTheme="minorHAnsi" w:hAnsiTheme="minorHAnsi" w:cs="Arial"/>
          <w:b/>
          <w:caps/>
          <w:sz w:val="28"/>
          <w:szCs w:val="32"/>
        </w:rPr>
        <w:t>supplement</w:t>
      </w:r>
      <w:r w:rsidR="00BB2FD0" w:rsidRPr="00D87BD0">
        <w:rPr>
          <w:rFonts w:asciiTheme="minorHAnsi" w:hAnsiTheme="minorHAnsi" w:cs="Arial"/>
          <w:b/>
          <w:caps/>
          <w:sz w:val="28"/>
          <w:szCs w:val="32"/>
        </w:rPr>
        <w:t xml:space="preserve">ary </w:t>
      </w:r>
      <w:r w:rsidR="00F01DA8" w:rsidRPr="00D87BD0">
        <w:rPr>
          <w:rFonts w:asciiTheme="minorHAnsi" w:hAnsiTheme="minorHAnsi" w:cs="Arial"/>
          <w:b/>
          <w:caps/>
          <w:sz w:val="28"/>
          <w:szCs w:val="32"/>
        </w:rPr>
        <w:t>MATERIAL 1</w:t>
      </w:r>
    </w:p>
    <w:p w14:paraId="74EB70F5" w14:textId="6D9A87B2" w:rsidR="00386B2B" w:rsidRPr="00D87BD0" w:rsidRDefault="00260987" w:rsidP="0047340A">
      <w:pPr>
        <w:pStyle w:val="Heading4"/>
        <w:spacing w:line="276" w:lineRule="auto"/>
        <w:rPr>
          <w:rFonts w:asciiTheme="minorHAnsi" w:hAnsiTheme="minorHAnsi" w:cs="Arial"/>
          <w:b/>
          <w:caps/>
          <w:sz w:val="28"/>
          <w:szCs w:val="32"/>
        </w:rPr>
      </w:pPr>
      <w:r w:rsidRPr="00D87BD0">
        <w:rPr>
          <w:rFonts w:asciiTheme="minorHAnsi" w:hAnsiTheme="minorHAnsi" w:cs="Arial"/>
          <w:b/>
          <w:caps/>
          <w:sz w:val="28"/>
          <w:szCs w:val="32"/>
        </w:rPr>
        <w:t>Lipid phenotyping of lung epithelial lining fluid in healthy human volunteers</w:t>
      </w:r>
    </w:p>
    <w:p w14:paraId="5C54AB80" w14:textId="77777777" w:rsidR="00260987" w:rsidRPr="00D87BD0" w:rsidRDefault="00260987" w:rsidP="0047340A">
      <w:pPr>
        <w:spacing w:line="276" w:lineRule="auto"/>
      </w:pPr>
    </w:p>
    <w:p w14:paraId="284349F6" w14:textId="061E3F36" w:rsidR="0047340A" w:rsidRPr="00D87BD0" w:rsidRDefault="0047340A" w:rsidP="0047340A">
      <w:pPr>
        <w:pStyle w:val="Heading4"/>
        <w:spacing w:after="120" w:line="276" w:lineRule="auto"/>
        <w:rPr>
          <w:rFonts w:asciiTheme="minorHAnsi" w:hAnsiTheme="minorHAnsi" w:cs="Arial"/>
          <w:b/>
          <w:i/>
          <w:sz w:val="24"/>
        </w:rPr>
      </w:pPr>
      <w:r w:rsidRPr="00D87BD0">
        <w:rPr>
          <w:rFonts w:asciiTheme="minorHAnsi" w:hAnsiTheme="minorHAnsi" w:cs="Arial"/>
          <w:b/>
          <w:sz w:val="24"/>
        </w:rPr>
        <w:t>1 The U-BIOPRED study design</w:t>
      </w:r>
    </w:p>
    <w:p w14:paraId="2384DF96" w14:textId="582B1763" w:rsidR="001727FD" w:rsidRPr="00D87BD0" w:rsidRDefault="004A2599" w:rsidP="0047340A">
      <w:pPr>
        <w:pStyle w:val="Heading4"/>
        <w:spacing w:after="120" w:line="276" w:lineRule="auto"/>
        <w:rPr>
          <w:rFonts w:asciiTheme="minorHAnsi" w:hAnsiTheme="minorHAnsi" w:cs="Arial"/>
        </w:rPr>
      </w:pPr>
      <w:r w:rsidRPr="00D87BD0">
        <w:rPr>
          <w:rFonts w:asciiTheme="minorHAnsi" w:hAnsiTheme="minorHAnsi" w:cs="Arial"/>
        </w:rPr>
        <w:t xml:space="preserve">The </w:t>
      </w:r>
      <w:r w:rsidR="001727FD" w:rsidRPr="00D87BD0">
        <w:rPr>
          <w:rFonts w:asciiTheme="minorHAnsi" w:hAnsiTheme="minorHAnsi" w:cs="Arial"/>
        </w:rPr>
        <w:t xml:space="preserve">U-BIOPRED </w:t>
      </w:r>
      <w:r w:rsidRPr="00D87BD0">
        <w:rPr>
          <w:rFonts w:asciiTheme="minorHAnsi" w:hAnsiTheme="minorHAnsi" w:cs="Arial"/>
        </w:rPr>
        <w:t xml:space="preserve">study </w:t>
      </w:r>
      <w:r w:rsidR="001727FD" w:rsidRPr="00D87BD0">
        <w:rPr>
          <w:rFonts w:asciiTheme="minorHAnsi" w:hAnsiTheme="minorHAnsi" w:cs="Arial"/>
        </w:rPr>
        <w:t>(Unbiased Biomarkers for the Prediction of Respiratory Disease Outcomes) is a pan-European multi-centre public-private collaboration aimed at (sub</w:t>
      </w:r>
      <w:proofErr w:type="gramStart"/>
      <w:r w:rsidR="001727FD" w:rsidRPr="00D87BD0">
        <w:rPr>
          <w:rFonts w:asciiTheme="minorHAnsi" w:hAnsiTheme="minorHAnsi" w:cs="Arial"/>
        </w:rPr>
        <w:t>)phenotyping</w:t>
      </w:r>
      <w:proofErr w:type="gramEnd"/>
      <w:r w:rsidR="001727FD" w:rsidRPr="00D87BD0">
        <w:rPr>
          <w:rFonts w:asciiTheme="minorHAnsi" w:hAnsiTheme="minorHAnsi" w:cs="Arial"/>
        </w:rPr>
        <w:t xml:space="preserve"> patients with severe refractory asthma using a multi-omics systems biology approach </w:t>
      </w:r>
      <w:r w:rsidR="00D95C4B" w:rsidRPr="00D87BD0">
        <w:rPr>
          <w:rFonts w:asciiTheme="minorHAnsi" w:hAnsiTheme="minorHAnsi" w:cs="Arial"/>
        </w:rPr>
        <w:t>(</w:t>
      </w:r>
      <w:proofErr w:type="spellStart"/>
      <w:r w:rsidR="00D95C4B" w:rsidRPr="00D87BD0">
        <w:rPr>
          <w:rFonts w:asciiTheme="minorHAnsi" w:hAnsiTheme="minorHAnsi" w:cs="Arial"/>
        </w:rPr>
        <w:t>Auffray</w:t>
      </w:r>
      <w:proofErr w:type="spellEnd"/>
      <w:r w:rsidR="00D95C4B" w:rsidRPr="00D87BD0">
        <w:rPr>
          <w:rFonts w:asciiTheme="minorHAnsi" w:hAnsiTheme="minorHAnsi" w:cs="Arial"/>
        </w:rPr>
        <w:t xml:space="preserve"> et al. 2010; Bel et al. 2011; Wheelock et al. 2013).</w:t>
      </w:r>
      <w:r w:rsidR="001727FD" w:rsidRPr="00D87BD0">
        <w:rPr>
          <w:rFonts w:asciiTheme="minorHAnsi" w:hAnsiTheme="minorHAnsi" w:cs="Arial"/>
        </w:rPr>
        <w:t xml:space="preserve"> The clinical study itself</w:t>
      </w:r>
      <w:r w:rsidR="00C149F3" w:rsidRPr="00D87BD0">
        <w:rPr>
          <w:rFonts w:asciiTheme="minorHAnsi" w:hAnsiTheme="minorHAnsi" w:cs="Arial"/>
        </w:rPr>
        <w:t>, which included well-controlled mild to moderate asthmatics and healthy participants as controls,</w:t>
      </w:r>
      <w:r w:rsidR="001727FD" w:rsidRPr="00D87BD0">
        <w:rPr>
          <w:rFonts w:asciiTheme="minorHAnsi" w:hAnsiTheme="minorHAnsi" w:cs="Arial"/>
        </w:rPr>
        <w:t xml:space="preserve"> has been described </w:t>
      </w:r>
      <w:r w:rsidR="007C0E0E" w:rsidRPr="00D87BD0">
        <w:rPr>
          <w:rFonts w:asciiTheme="minorHAnsi" w:hAnsiTheme="minorHAnsi" w:cs="Arial"/>
        </w:rPr>
        <w:t xml:space="preserve">previously </w:t>
      </w:r>
      <w:r w:rsidR="00D95C4B" w:rsidRPr="00D87BD0">
        <w:rPr>
          <w:rFonts w:asciiTheme="minorHAnsi" w:hAnsiTheme="minorHAnsi" w:cs="Arial"/>
        </w:rPr>
        <w:t>(Shaw et al. 2015)</w:t>
      </w:r>
      <w:r w:rsidR="001727FD" w:rsidRPr="00D87BD0">
        <w:rPr>
          <w:rFonts w:asciiTheme="minorHAnsi" w:hAnsiTheme="minorHAnsi" w:cs="Arial"/>
        </w:rPr>
        <w:t xml:space="preserve"> and its protocols were approved by all the local Ethics Review Boards. The U-BIOPRED study was performed in 14 clinical centres across Europe with extensive experience in the induction and processing of sputum samples. Participants gave their written informed consent for in-depth characterisation using routine clinical protocols, and haematological and biochemistry blood tests (reported in detail </w:t>
      </w:r>
      <w:r w:rsidR="007C0E0E" w:rsidRPr="00D87BD0">
        <w:rPr>
          <w:rFonts w:asciiTheme="minorHAnsi" w:hAnsiTheme="minorHAnsi" w:cs="Arial"/>
        </w:rPr>
        <w:t>by</w:t>
      </w:r>
      <w:r w:rsidR="001727FD" w:rsidRPr="00D87BD0">
        <w:rPr>
          <w:rFonts w:asciiTheme="minorHAnsi" w:hAnsiTheme="minorHAnsi" w:cs="Arial"/>
        </w:rPr>
        <w:t xml:space="preserve"> Shaw </w:t>
      </w:r>
      <w:r w:rsidR="007C0E0E" w:rsidRPr="00D87BD0">
        <w:rPr>
          <w:rFonts w:asciiTheme="minorHAnsi" w:hAnsiTheme="minorHAnsi" w:cs="Arial"/>
        </w:rPr>
        <w:t xml:space="preserve">and co-workers </w:t>
      </w:r>
      <w:r w:rsidR="005F6AEA" w:rsidRPr="00D87BD0">
        <w:rPr>
          <w:rFonts w:asciiTheme="minorHAnsi" w:hAnsiTheme="minorHAnsi" w:cs="Arial"/>
        </w:rPr>
        <w:t>(2015)</w:t>
      </w:r>
      <w:r w:rsidR="007C0E0E" w:rsidRPr="00D87BD0">
        <w:rPr>
          <w:rFonts w:asciiTheme="minorHAnsi" w:hAnsiTheme="minorHAnsi" w:cs="Arial"/>
        </w:rPr>
        <w:t>)</w:t>
      </w:r>
      <w:r w:rsidR="001727FD" w:rsidRPr="00D87BD0">
        <w:rPr>
          <w:rFonts w:asciiTheme="minorHAnsi" w:hAnsiTheme="minorHAnsi" w:cs="Arial"/>
        </w:rPr>
        <w:t xml:space="preserve">, as well as molecular characterisation by a variety of ‘omics platforms. Processed biological samples from all clinical sites were stored in a central biobank (CIGMR Biobank, University of Manchester) where their identifiers were blinded. </w:t>
      </w:r>
      <w:r w:rsidR="00687B02" w:rsidRPr="00D87BD0">
        <w:rPr>
          <w:rFonts w:asciiTheme="minorHAnsi" w:hAnsiTheme="minorHAnsi" w:cs="Arial"/>
        </w:rPr>
        <w:t>Induced s</w:t>
      </w:r>
      <w:r w:rsidR="001727FD" w:rsidRPr="00D87BD0">
        <w:rPr>
          <w:rFonts w:asciiTheme="minorHAnsi" w:hAnsiTheme="minorHAnsi" w:cs="Arial"/>
        </w:rPr>
        <w:t xml:space="preserve">putum samples were shipped to the analytical sites in three separate batches and lipidomic profiles were obtained as described below. Identity of the samples was only un-blinded after all the ‘omics analyses and data processing and </w:t>
      </w:r>
      <w:r w:rsidR="00536546" w:rsidRPr="00D87BD0">
        <w:rPr>
          <w:rFonts w:asciiTheme="minorHAnsi" w:hAnsiTheme="minorHAnsi" w:cs="Arial"/>
        </w:rPr>
        <w:t>quality control (</w:t>
      </w:r>
      <w:r w:rsidR="001727FD" w:rsidRPr="00D87BD0">
        <w:rPr>
          <w:rFonts w:asciiTheme="minorHAnsi" w:hAnsiTheme="minorHAnsi" w:cs="Arial"/>
        </w:rPr>
        <w:t>QC</w:t>
      </w:r>
      <w:r w:rsidR="00536546" w:rsidRPr="00D87BD0">
        <w:rPr>
          <w:rFonts w:asciiTheme="minorHAnsi" w:hAnsiTheme="minorHAnsi" w:cs="Arial"/>
        </w:rPr>
        <w:t>)</w:t>
      </w:r>
      <w:r w:rsidR="001727FD" w:rsidRPr="00D87BD0">
        <w:rPr>
          <w:rFonts w:asciiTheme="minorHAnsi" w:hAnsiTheme="minorHAnsi" w:cs="Arial"/>
        </w:rPr>
        <w:t xml:space="preserve"> steps had been completed.</w:t>
      </w:r>
    </w:p>
    <w:p w14:paraId="2D79A735" w14:textId="77777777" w:rsidR="001727FD" w:rsidRPr="00D87BD0" w:rsidRDefault="001727FD" w:rsidP="0047340A">
      <w:pPr>
        <w:spacing w:line="276" w:lineRule="auto"/>
        <w:rPr>
          <w:rFonts w:cs="Arial"/>
          <w:sz w:val="22"/>
          <w:szCs w:val="22"/>
        </w:rPr>
      </w:pPr>
    </w:p>
    <w:p w14:paraId="3BFF83B1" w14:textId="6268B7D1" w:rsidR="0047340A" w:rsidRPr="00D87BD0" w:rsidRDefault="0047340A" w:rsidP="0047340A">
      <w:pPr>
        <w:pStyle w:val="Heading4"/>
        <w:spacing w:after="120" w:line="276" w:lineRule="auto"/>
        <w:rPr>
          <w:rFonts w:asciiTheme="minorHAnsi" w:hAnsiTheme="minorHAnsi" w:cs="Arial"/>
          <w:b/>
          <w:i/>
          <w:sz w:val="24"/>
        </w:rPr>
      </w:pPr>
      <w:r w:rsidRPr="00D87BD0">
        <w:rPr>
          <w:rFonts w:asciiTheme="minorHAnsi" w:hAnsiTheme="minorHAnsi" w:cs="Arial"/>
          <w:b/>
          <w:sz w:val="24"/>
        </w:rPr>
        <w:t>2 Induced sputum collection and preparation</w:t>
      </w:r>
    </w:p>
    <w:p w14:paraId="0F737801" w14:textId="2322C206" w:rsidR="001727FD" w:rsidRPr="00D87BD0" w:rsidRDefault="001727FD" w:rsidP="0047340A">
      <w:pPr>
        <w:spacing w:line="276" w:lineRule="auto"/>
        <w:rPr>
          <w:rFonts w:cs="Arial"/>
          <w:sz w:val="22"/>
          <w:szCs w:val="22"/>
        </w:rPr>
      </w:pPr>
      <w:r w:rsidRPr="00D87BD0">
        <w:rPr>
          <w:rFonts w:cs="Arial"/>
          <w:sz w:val="22"/>
          <w:szCs w:val="22"/>
        </w:rPr>
        <w:t>Expectorated sputum was collected over a period of up to four times 5 minutes, following inhalation of a nebulized 4.5% hypertonic saline solution and an initial administration of 400 µg Salbutamol</w:t>
      </w:r>
      <w:r w:rsidR="00481277" w:rsidRPr="00D87BD0">
        <w:rPr>
          <w:rFonts w:cs="Arial"/>
          <w:sz w:val="22"/>
          <w:szCs w:val="22"/>
        </w:rPr>
        <w:t xml:space="preserve"> </w:t>
      </w:r>
      <w:r w:rsidR="002A6AC8" w:rsidRPr="00D87BD0">
        <w:rPr>
          <w:rFonts w:cs="Arial"/>
          <w:sz w:val="22"/>
          <w:szCs w:val="22"/>
        </w:rPr>
        <w:t>(Djukanović et al. 2002)</w:t>
      </w:r>
      <w:r w:rsidR="00E06E96" w:rsidRPr="00D87BD0">
        <w:rPr>
          <w:rFonts w:cs="Arial"/>
          <w:sz w:val="22"/>
          <w:szCs w:val="22"/>
        </w:rPr>
        <w:t>, using a standardised method for all subjects (</w:t>
      </w:r>
      <w:proofErr w:type="spellStart"/>
      <w:r w:rsidR="00E06E96" w:rsidRPr="00D87BD0">
        <w:rPr>
          <w:rFonts w:cs="Arial"/>
          <w:sz w:val="22"/>
          <w:szCs w:val="22"/>
        </w:rPr>
        <w:t>Bafadhel</w:t>
      </w:r>
      <w:proofErr w:type="spellEnd"/>
      <w:r w:rsidR="00E06E96" w:rsidRPr="00D87BD0">
        <w:rPr>
          <w:rFonts w:cs="Arial"/>
          <w:sz w:val="22"/>
          <w:szCs w:val="22"/>
        </w:rPr>
        <w:t xml:space="preserve"> et al. 2011)</w:t>
      </w:r>
      <w:r w:rsidRPr="00D87BD0">
        <w:rPr>
          <w:rFonts w:cs="Arial"/>
          <w:sz w:val="22"/>
          <w:szCs w:val="22"/>
        </w:rPr>
        <w:t xml:space="preserve">. The mucoid portions of the sputum were collected using forceps, weighed, and solubilised in a solution of 6.8 </w:t>
      </w:r>
      <w:proofErr w:type="spellStart"/>
      <w:r w:rsidRPr="00D87BD0">
        <w:rPr>
          <w:rFonts w:cs="Arial"/>
          <w:sz w:val="22"/>
          <w:szCs w:val="22"/>
        </w:rPr>
        <w:t>mM</w:t>
      </w:r>
      <w:proofErr w:type="spellEnd"/>
      <w:r w:rsidRPr="00D87BD0">
        <w:rPr>
          <w:rFonts w:cs="Arial"/>
          <w:sz w:val="22"/>
          <w:szCs w:val="22"/>
        </w:rPr>
        <w:t xml:space="preserve"> </w:t>
      </w:r>
      <w:proofErr w:type="spellStart"/>
      <w:r w:rsidRPr="00D87BD0">
        <w:rPr>
          <w:rFonts w:cs="Arial"/>
          <w:sz w:val="22"/>
          <w:szCs w:val="22"/>
        </w:rPr>
        <w:t>dithioerythritol</w:t>
      </w:r>
      <w:proofErr w:type="spellEnd"/>
      <w:r w:rsidRPr="00D87BD0">
        <w:rPr>
          <w:rFonts w:cs="Arial"/>
          <w:sz w:val="22"/>
          <w:szCs w:val="22"/>
        </w:rPr>
        <w:t xml:space="preserve"> in HEPES-buffered saline at a 4:1 weight-to-volume ratio. After the non-solubilised mucus was removed by filtration (100 µm), the sputum supernatants were centrifuged twice at 4°C </w:t>
      </w:r>
      <w:r w:rsidR="002444C4" w:rsidRPr="00D87BD0">
        <w:rPr>
          <w:rFonts w:cs="Arial"/>
          <w:sz w:val="22"/>
          <w:szCs w:val="22"/>
        </w:rPr>
        <w:t>(once at 400x</w:t>
      </w:r>
      <w:r w:rsidRPr="00D87BD0">
        <w:rPr>
          <w:rFonts w:cs="Arial"/>
          <w:i/>
          <w:sz w:val="22"/>
          <w:szCs w:val="22"/>
        </w:rPr>
        <w:t>g</w:t>
      </w:r>
      <w:r w:rsidRPr="00D87BD0">
        <w:rPr>
          <w:rFonts w:cs="Arial"/>
          <w:sz w:val="22"/>
          <w:szCs w:val="22"/>
        </w:rPr>
        <w:t xml:space="preserve"> and once at 12,000</w:t>
      </w:r>
      <w:r w:rsidR="002444C4" w:rsidRPr="00D87BD0">
        <w:rPr>
          <w:rFonts w:cs="Arial"/>
          <w:sz w:val="22"/>
          <w:szCs w:val="22"/>
        </w:rPr>
        <w:t>x</w:t>
      </w:r>
      <w:r w:rsidRPr="00D87BD0">
        <w:rPr>
          <w:rFonts w:cs="Arial"/>
          <w:i/>
          <w:sz w:val="22"/>
          <w:szCs w:val="22"/>
        </w:rPr>
        <w:t>g</w:t>
      </w:r>
      <w:r w:rsidRPr="00D87BD0">
        <w:rPr>
          <w:rFonts w:cs="Arial"/>
          <w:sz w:val="22"/>
          <w:szCs w:val="22"/>
        </w:rPr>
        <w:t xml:space="preserve">) to remove any mucus and bacteria, and finally snap-frozen and stored at -80°C. The sputum cell pellets were processed for quantification by rapid </w:t>
      </w:r>
      <w:proofErr w:type="spellStart"/>
      <w:r w:rsidRPr="00D87BD0">
        <w:rPr>
          <w:rFonts w:cs="Arial"/>
          <w:sz w:val="22"/>
          <w:szCs w:val="22"/>
        </w:rPr>
        <w:t>Romanowsky</w:t>
      </w:r>
      <w:proofErr w:type="spellEnd"/>
      <w:r w:rsidRPr="00D87BD0">
        <w:rPr>
          <w:rFonts w:cs="Arial"/>
          <w:sz w:val="22"/>
          <w:szCs w:val="22"/>
        </w:rPr>
        <w:t xml:space="preserve"> staining (Diff-</w:t>
      </w:r>
      <w:proofErr w:type="spellStart"/>
      <w:r w:rsidRPr="00D87BD0">
        <w:rPr>
          <w:rFonts w:cs="Arial"/>
          <w:sz w:val="22"/>
          <w:szCs w:val="22"/>
        </w:rPr>
        <w:t>Quik</w:t>
      </w:r>
      <w:proofErr w:type="spellEnd"/>
      <w:r w:rsidRPr="00D87BD0">
        <w:rPr>
          <w:rFonts w:cs="Arial"/>
          <w:sz w:val="22"/>
          <w:szCs w:val="22"/>
        </w:rPr>
        <w:t xml:space="preserve">); eosinophil, neutrophil, macrophage and lymphocyte levels are reported as percentages of total inflammatory cells, while epithelial squamous cells are reported as a percentage of total cell counts. It should be noted that the U-BIOPRED study used a sputum sample quality control limit of 40% squamous cells; any samples exceeding this limit were </w:t>
      </w:r>
      <w:proofErr w:type="spellStart"/>
      <w:r w:rsidRPr="00D87BD0">
        <w:rPr>
          <w:rFonts w:cs="Arial"/>
          <w:sz w:val="22"/>
          <w:szCs w:val="22"/>
        </w:rPr>
        <w:t>biobanked</w:t>
      </w:r>
      <w:proofErr w:type="spellEnd"/>
      <w:r w:rsidRPr="00D87BD0">
        <w:rPr>
          <w:rFonts w:cs="Arial"/>
          <w:sz w:val="22"/>
          <w:szCs w:val="22"/>
        </w:rPr>
        <w:t>, but not made available for further analysis.</w:t>
      </w:r>
    </w:p>
    <w:p w14:paraId="744343AD" w14:textId="77777777" w:rsidR="00FF3F1E" w:rsidRPr="00D87BD0" w:rsidRDefault="00FF3F1E" w:rsidP="0047340A">
      <w:pPr>
        <w:spacing w:line="276" w:lineRule="auto"/>
        <w:rPr>
          <w:rFonts w:cs="Arial"/>
          <w:sz w:val="22"/>
          <w:szCs w:val="22"/>
        </w:rPr>
      </w:pPr>
    </w:p>
    <w:p w14:paraId="5B35F012" w14:textId="6DC64774" w:rsidR="0047340A" w:rsidRPr="00D87BD0" w:rsidRDefault="0047340A" w:rsidP="0047340A">
      <w:pPr>
        <w:pStyle w:val="Heading4"/>
        <w:spacing w:after="120" w:line="276" w:lineRule="auto"/>
        <w:rPr>
          <w:rFonts w:asciiTheme="minorHAnsi" w:hAnsiTheme="minorHAnsi" w:cs="Arial"/>
          <w:b/>
          <w:i/>
          <w:sz w:val="24"/>
        </w:rPr>
      </w:pPr>
      <w:r w:rsidRPr="00D87BD0">
        <w:rPr>
          <w:rFonts w:asciiTheme="minorHAnsi" w:hAnsiTheme="minorHAnsi" w:cs="Arial"/>
          <w:b/>
          <w:sz w:val="24"/>
        </w:rPr>
        <w:t>3 Lipid analysis</w:t>
      </w:r>
    </w:p>
    <w:p w14:paraId="02F6843C" w14:textId="56230903" w:rsidR="0047340A" w:rsidRPr="00D87BD0" w:rsidRDefault="0047340A" w:rsidP="0047340A">
      <w:pPr>
        <w:spacing w:after="0" w:line="276" w:lineRule="auto"/>
        <w:rPr>
          <w:rFonts w:cs="Arial"/>
          <w:b/>
          <w:sz w:val="22"/>
          <w:szCs w:val="22"/>
        </w:rPr>
      </w:pPr>
      <w:r w:rsidRPr="00D87BD0">
        <w:rPr>
          <w:rFonts w:cs="Arial"/>
          <w:b/>
          <w:sz w:val="22"/>
          <w:szCs w:val="22"/>
        </w:rPr>
        <w:t>3.1 Lipid extraction</w:t>
      </w:r>
    </w:p>
    <w:p w14:paraId="3ED3A7D9" w14:textId="69CCCF00" w:rsidR="001727FD" w:rsidRPr="00D87BD0" w:rsidRDefault="00B813D9" w:rsidP="0047340A">
      <w:pPr>
        <w:spacing w:line="276" w:lineRule="auto"/>
        <w:rPr>
          <w:rFonts w:cs="Arial"/>
          <w:sz w:val="22"/>
          <w:szCs w:val="22"/>
        </w:rPr>
      </w:pPr>
      <w:r w:rsidRPr="00D87BD0">
        <w:rPr>
          <w:rFonts w:cs="Arial"/>
          <w:sz w:val="22"/>
          <w:szCs w:val="22"/>
        </w:rPr>
        <w:t>Frozen s</w:t>
      </w:r>
      <w:r w:rsidR="001727FD" w:rsidRPr="00D87BD0">
        <w:rPr>
          <w:rFonts w:cs="Arial"/>
          <w:sz w:val="22"/>
          <w:szCs w:val="22"/>
        </w:rPr>
        <w:t xml:space="preserve">amples were first thawed to room temperature, before taking a 100 µl aliquot for </w:t>
      </w:r>
      <w:r w:rsidR="0044708D" w:rsidRPr="00D87BD0">
        <w:rPr>
          <w:rFonts w:cs="Arial"/>
          <w:sz w:val="22"/>
          <w:szCs w:val="22"/>
        </w:rPr>
        <w:t xml:space="preserve">liquid-liquid </w:t>
      </w:r>
      <w:r w:rsidR="006D202B" w:rsidRPr="00D87BD0">
        <w:rPr>
          <w:rFonts w:cs="Arial"/>
          <w:sz w:val="22"/>
          <w:szCs w:val="22"/>
        </w:rPr>
        <w:t>extraction</w:t>
      </w:r>
      <w:r w:rsidR="001C7E26" w:rsidRPr="00D87BD0">
        <w:rPr>
          <w:rFonts w:cs="Arial"/>
          <w:sz w:val="22"/>
          <w:szCs w:val="22"/>
        </w:rPr>
        <w:t>. A</w:t>
      </w:r>
      <w:r w:rsidR="001727FD" w:rsidRPr="00D87BD0">
        <w:rPr>
          <w:rFonts w:cs="Arial"/>
          <w:sz w:val="22"/>
          <w:szCs w:val="22"/>
        </w:rPr>
        <w:t xml:space="preserve"> semi-automated Bligh-Dyer </w:t>
      </w:r>
      <w:r w:rsidR="001C7E26" w:rsidRPr="00D87BD0">
        <w:rPr>
          <w:rFonts w:cs="Arial"/>
          <w:sz w:val="22"/>
          <w:szCs w:val="22"/>
        </w:rPr>
        <w:t xml:space="preserve">extraction </w:t>
      </w:r>
      <w:r w:rsidR="001727FD" w:rsidRPr="00D87BD0">
        <w:rPr>
          <w:rFonts w:cs="Arial"/>
          <w:sz w:val="22"/>
          <w:szCs w:val="22"/>
        </w:rPr>
        <w:t xml:space="preserve">protocol </w:t>
      </w:r>
      <w:r w:rsidR="00655570" w:rsidRPr="00D87BD0">
        <w:rPr>
          <w:rFonts w:cs="Arial"/>
          <w:sz w:val="22"/>
          <w:szCs w:val="22"/>
        </w:rPr>
        <w:t xml:space="preserve">(Bligh and Dyer 1959) </w:t>
      </w:r>
      <w:r w:rsidR="001727FD" w:rsidRPr="00D87BD0">
        <w:rPr>
          <w:rFonts w:cs="Arial"/>
          <w:sz w:val="22"/>
          <w:szCs w:val="22"/>
        </w:rPr>
        <w:t xml:space="preserve">on a </w:t>
      </w:r>
      <w:r w:rsidR="001727FD" w:rsidRPr="00D87BD0">
        <w:rPr>
          <w:rFonts w:cs="Arial"/>
          <w:sz w:val="22"/>
          <w:szCs w:val="22"/>
        </w:rPr>
        <w:lastRenderedPageBreak/>
        <w:t xml:space="preserve">robotic liquid handling platform (Freedom EVO 100; TECAN, </w:t>
      </w:r>
      <w:proofErr w:type="spellStart"/>
      <w:r w:rsidR="001727FD" w:rsidRPr="00D87BD0">
        <w:rPr>
          <w:rFonts w:cs="Arial"/>
          <w:sz w:val="22"/>
          <w:szCs w:val="22"/>
        </w:rPr>
        <w:t>Männedorf</w:t>
      </w:r>
      <w:proofErr w:type="spellEnd"/>
      <w:r w:rsidR="001727FD" w:rsidRPr="00D87BD0">
        <w:rPr>
          <w:rFonts w:cs="Arial"/>
          <w:sz w:val="22"/>
          <w:szCs w:val="22"/>
        </w:rPr>
        <w:t>, Switzerland)</w:t>
      </w:r>
      <w:r w:rsidR="001C7E26" w:rsidRPr="00D87BD0">
        <w:rPr>
          <w:rFonts w:cs="Arial"/>
          <w:sz w:val="22"/>
          <w:szCs w:val="22"/>
        </w:rPr>
        <w:t xml:space="preserve"> was used</w:t>
      </w:r>
      <w:r w:rsidR="001727FD" w:rsidRPr="00D87BD0">
        <w:rPr>
          <w:rFonts w:cs="Arial"/>
          <w:sz w:val="22"/>
          <w:szCs w:val="22"/>
        </w:rPr>
        <w:t xml:space="preserve">. </w:t>
      </w:r>
      <w:r w:rsidR="001C7E26" w:rsidRPr="00D87BD0">
        <w:rPr>
          <w:rFonts w:cs="Arial"/>
          <w:sz w:val="22"/>
          <w:szCs w:val="22"/>
        </w:rPr>
        <w:t>Initially, e</w:t>
      </w:r>
      <w:r w:rsidR="001727FD" w:rsidRPr="00D87BD0">
        <w:rPr>
          <w:rFonts w:cs="Arial"/>
          <w:sz w:val="22"/>
          <w:szCs w:val="22"/>
        </w:rPr>
        <w:t>ach sample was made up to a volume of 800 µl with a 0.9% saline solution, before adding 2 ml of methanol (MeOH) and 1 ml of dichloromethane (DCM). In addition, anti-oxidant (</w:t>
      </w:r>
      <w:r w:rsidR="00116D7B" w:rsidRPr="00D87BD0">
        <w:rPr>
          <w:rFonts w:cs="Arial"/>
          <w:sz w:val="22"/>
          <w:szCs w:val="22"/>
        </w:rPr>
        <w:t xml:space="preserve">10 µl of </w:t>
      </w:r>
      <w:r w:rsidR="001727FD" w:rsidRPr="00D87BD0">
        <w:rPr>
          <w:rFonts w:cs="Arial"/>
          <w:sz w:val="22"/>
          <w:szCs w:val="22"/>
        </w:rPr>
        <w:t>5 mg ml</w:t>
      </w:r>
      <w:r w:rsidR="001727FD" w:rsidRPr="00D87BD0">
        <w:rPr>
          <w:rFonts w:cs="Arial"/>
          <w:sz w:val="22"/>
          <w:szCs w:val="22"/>
          <w:vertAlign w:val="superscript"/>
        </w:rPr>
        <w:t>-1</w:t>
      </w:r>
      <w:r w:rsidR="001727FD" w:rsidRPr="00D87BD0">
        <w:rPr>
          <w:rFonts w:cs="Arial"/>
          <w:sz w:val="22"/>
          <w:szCs w:val="22"/>
        </w:rPr>
        <w:t xml:space="preserve"> butylated </w:t>
      </w:r>
      <w:proofErr w:type="spellStart"/>
      <w:r w:rsidR="001727FD" w:rsidRPr="00D87BD0">
        <w:rPr>
          <w:rFonts w:cs="Arial"/>
          <w:sz w:val="22"/>
          <w:szCs w:val="22"/>
        </w:rPr>
        <w:t>hydroxytoluene</w:t>
      </w:r>
      <w:proofErr w:type="spellEnd"/>
      <w:r w:rsidR="001727FD" w:rsidRPr="00D87BD0">
        <w:rPr>
          <w:rFonts w:cs="Arial"/>
          <w:sz w:val="22"/>
          <w:szCs w:val="22"/>
        </w:rPr>
        <w:t xml:space="preserve"> in MeOH) and a mixture of synthetic lipid standards </w:t>
      </w:r>
      <w:r w:rsidR="00260987" w:rsidRPr="00D87BD0">
        <w:rPr>
          <w:rFonts w:cs="Arial"/>
          <w:sz w:val="22"/>
          <w:szCs w:val="22"/>
        </w:rPr>
        <w:t xml:space="preserve">for internal quantification </w:t>
      </w:r>
      <w:r w:rsidR="001727FD" w:rsidRPr="00D87BD0">
        <w:rPr>
          <w:rFonts w:cs="Arial"/>
          <w:sz w:val="22"/>
          <w:szCs w:val="22"/>
        </w:rPr>
        <w:t>were added</w:t>
      </w:r>
      <w:r w:rsidR="00260987" w:rsidRPr="00D87BD0">
        <w:rPr>
          <w:rFonts w:cs="Arial"/>
          <w:sz w:val="22"/>
          <w:szCs w:val="22"/>
        </w:rPr>
        <w:t xml:space="preserve"> (see below)</w:t>
      </w:r>
      <w:r w:rsidR="001727FD" w:rsidRPr="00D87BD0">
        <w:rPr>
          <w:rFonts w:cs="Arial"/>
          <w:sz w:val="22"/>
          <w:szCs w:val="22"/>
        </w:rPr>
        <w:t xml:space="preserve">. Samples were </w:t>
      </w:r>
      <w:r w:rsidR="00A87195" w:rsidRPr="00D87BD0">
        <w:rPr>
          <w:rFonts w:cs="Arial"/>
          <w:sz w:val="22"/>
          <w:szCs w:val="22"/>
        </w:rPr>
        <w:t>then</w:t>
      </w:r>
      <w:r w:rsidR="00260987" w:rsidRPr="00D87BD0">
        <w:rPr>
          <w:rFonts w:cs="Arial"/>
          <w:sz w:val="22"/>
          <w:szCs w:val="22"/>
        </w:rPr>
        <w:t xml:space="preserve"> mixed vigorously and</w:t>
      </w:r>
      <w:r w:rsidR="00A87195" w:rsidRPr="00D87BD0">
        <w:rPr>
          <w:rFonts w:cs="Arial"/>
          <w:sz w:val="22"/>
          <w:szCs w:val="22"/>
        </w:rPr>
        <w:t xml:space="preserve"> </w:t>
      </w:r>
      <w:r w:rsidR="001727FD" w:rsidRPr="00D87BD0">
        <w:rPr>
          <w:rFonts w:cs="Arial"/>
          <w:sz w:val="22"/>
          <w:szCs w:val="22"/>
        </w:rPr>
        <w:t xml:space="preserve">centrifuged at 3000 rpm for 10 min at 10ºC to remove </w:t>
      </w:r>
      <w:r w:rsidR="00260987" w:rsidRPr="00D87BD0">
        <w:rPr>
          <w:rFonts w:cs="Arial"/>
          <w:sz w:val="22"/>
          <w:szCs w:val="22"/>
        </w:rPr>
        <w:t>precipitated</w:t>
      </w:r>
      <w:r w:rsidR="001727FD" w:rsidRPr="00D87BD0">
        <w:rPr>
          <w:rFonts w:cs="Arial"/>
          <w:sz w:val="22"/>
          <w:szCs w:val="22"/>
        </w:rPr>
        <w:t xml:space="preserve"> proteins. The supernatants were transferred into fresh centrifuge tubes and a further 1 ml of DCM and </w:t>
      </w:r>
      <w:r w:rsidR="00A87195" w:rsidRPr="00D87BD0">
        <w:rPr>
          <w:rFonts w:cs="Arial"/>
          <w:sz w:val="22"/>
          <w:szCs w:val="22"/>
        </w:rPr>
        <w:t xml:space="preserve">1 ml of </w:t>
      </w:r>
      <w:r w:rsidR="001727FD" w:rsidRPr="00D87BD0">
        <w:rPr>
          <w:rFonts w:cs="Arial"/>
          <w:sz w:val="22"/>
          <w:szCs w:val="22"/>
        </w:rPr>
        <w:t xml:space="preserve">ultrapure water were added. Following a second </w:t>
      </w:r>
      <w:r w:rsidR="00260987" w:rsidRPr="00D87BD0">
        <w:rPr>
          <w:rFonts w:cs="Arial"/>
          <w:sz w:val="22"/>
          <w:szCs w:val="22"/>
        </w:rPr>
        <w:t xml:space="preserve">mixing and </w:t>
      </w:r>
      <w:r w:rsidR="001727FD" w:rsidRPr="00D87BD0">
        <w:rPr>
          <w:rFonts w:cs="Arial"/>
          <w:sz w:val="22"/>
          <w:szCs w:val="22"/>
        </w:rPr>
        <w:t>centrifugation step at 3000 rpm for 5 min at 10°C, 1.6 ml of the lower organic phase (equalling ~80%) was recovered</w:t>
      </w:r>
      <w:r w:rsidR="00A87195" w:rsidRPr="00D87BD0">
        <w:rPr>
          <w:rFonts w:cs="Arial"/>
          <w:sz w:val="22"/>
          <w:szCs w:val="22"/>
        </w:rPr>
        <w:t>. This was</w:t>
      </w:r>
      <w:r w:rsidR="001727FD" w:rsidRPr="00D87BD0">
        <w:rPr>
          <w:rFonts w:cs="Arial"/>
          <w:sz w:val="22"/>
          <w:szCs w:val="22"/>
        </w:rPr>
        <w:t xml:space="preserve"> split into two </w:t>
      </w:r>
      <w:r w:rsidR="00A87195" w:rsidRPr="00D87BD0">
        <w:rPr>
          <w:rFonts w:cs="Arial"/>
          <w:sz w:val="22"/>
          <w:szCs w:val="22"/>
        </w:rPr>
        <w:t>aliquots of 800 µl each</w:t>
      </w:r>
      <w:r w:rsidR="001727FD" w:rsidRPr="00D87BD0">
        <w:rPr>
          <w:rFonts w:cs="Arial"/>
          <w:sz w:val="22"/>
          <w:szCs w:val="22"/>
        </w:rPr>
        <w:t xml:space="preserve"> and dried down under a stream of N</w:t>
      </w:r>
      <w:r w:rsidR="001727FD" w:rsidRPr="00D87BD0">
        <w:rPr>
          <w:rFonts w:cs="Arial"/>
          <w:sz w:val="22"/>
          <w:szCs w:val="22"/>
          <w:vertAlign w:val="subscript"/>
        </w:rPr>
        <w:t>2</w:t>
      </w:r>
      <w:r w:rsidR="001727FD" w:rsidRPr="00D87BD0">
        <w:rPr>
          <w:rFonts w:cs="Arial"/>
          <w:sz w:val="22"/>
          <w:szCs w:val="22"/>
        </w:rPr>
        <w:t xml:space="preserve"> gas (</w:t>
      </w:r>
      <w:proofErr w:type="spellStart"/>
      <w:r w:rsidR="001727FD" w:rsidRPr="00D87BD0">
        <w:rPr>
          <w:rFonts w:cs="Arial"/>
          <w:sz w:val="22"/>
          <w:szCs w:val="22"/>
        </w:rPr>
        <w:t>Ultravap</w:t>
      </w:r>
      <w:proofErr w:type="spellEnd"/>
      <w:r w:rsidR="001727FD" w:rsidRPr="00D87BD0">
        <w:rPr>
          <w:rFonts w:cs="Arial"/>
          <w:sz w:val="22"/>
          <w:szCs w:val="22"/>
        </w:rPr>
        <w:t xml:space="preserve"> RC; </w:t>
      </w:r>
      <w:proofErr w:type="spellStart"/>
      <w:r w:rsidR="001727FD" w:rsidRPr="00D87BD0">
        <w:rPr>
          <w:rFonts w:cs="Arial"/>
          <w:sz w:val="22"/>
          <w:szCs w:val="22"/>
        </w:rPr>
        <w:t>Porvair</w:t>
      </w:r>
      <w:proofErr w:type="spellEnd"/>
      <w:r w:rsidR="001727FD" w:rsidRPr="00D87BD0">
        <w:rPr>
          <w:rFonts w:cs="Arial"/>
          <w:sz w:val="22"/>
          <w:szCs w:val="22"/>
        </w:rPr>
        <w:t xml:space="preserve"> Sciences, Leatherhead, UK). Dried extracts were stored at -80ºC until </w:t>
      </w:r>
      <w:r w:rsidR="00A87195" w:rsidRPr="00D87BD0">
        <w:rPr>
          <w:rFonts w:cs="Arial"/>
          <w:sz w:val="22"/>
          <w:szCs w:val="22"/>
        </w:rPr>
        <w:t xml:space="preserve">mass spectrometry </w:t>
      </w:r>
      <w:r w:rsidR="001727FD" w:rsidRPr="00D87BD0">
        <w:rPr>
          <w:rFonts w:cs="Arial"/>
          <w:sz w:val="22"/>
          <w:szCs w:val="22"/>
        </w:rPr>
        <w:t>analysis.</w:t>
      </w:r>
    </w:p>
    <w:p w14:paraId="58DB101D" w14:textId="21B47E1F" w:rsidR="001727FD" w:rsidRPr="00D87BD0" w:rsidRDefault="001727FD" w:rsidP="0047340A">
      <w:pPr>
        <w:spacing w:line="276" w:lineRule="auto"/>
        <w:rPr>
          <w:rFonts w:cs="Arial"/>
          <w:sz w:val="22"/>
          <w:szCs w:val="22"/>
        </w:rPr>
      </w:pPr>
      <w:r w:rsidRPr="00D87BD0">
        <w:rPr>
          <w:rFonts w:cs="Arial"/>
          <w:sz w:val="22"/>
          <w:szCs w:val="22"/>
        </w:rPr>
        <w:t>The internal standard mixture was made up in MeOH:DCM:H</w:t>
      </w:r>
      <w:r w:rsidRPr="00D87BD0">
        <w:rPr>
          <w:rFonts w:cs="Arial"/>
          <w:sz w:val="22"/>
          <w:szCs w:val="22"/>
          <w:vertAlign w:val="subscript"/>
        </w:rPr>
        <w:t>2</w:t>
      </w:r>
      <w:r w:rsidRPr="00D87BD0">
        <w:rPr>
          <w:rFonts w:cs="Arial"/>
          <w:sz w:val="22"/>
          <w:szCs w:val="22"/>
        </w:rPr>
        <w:t xml:space="preserve">O (65:35:8 v/v) and contained the following per 100 µl of sputum: 1 </w:t>
      </w:r>
      <w:proofErr w:type="spellStart"/>
      <w:r w:rsidRPr="00D87BD0">
        <w:rPr>
          <w:rFonts w:cs="Arial"/>
          <w:sz w:val="22"/>
          <w:szCs w:val="22"/>
        </w:rPr>
        <w:t>nmol</w:t>
      </w:r>
      <w:proofErr w:type="spellEnd"/>
      <w:r w:rsidRPr="00D87BD0">
        <w:rPr>
          <w:rFonts w:cs="Arial"/>
          <w:sz w:val="22"/>
          <w:szCs w:val="22"/>
        </w:rPr>
        <w:t xml:space="preserve"> of </w:t>
      </w:r>
      <w:r w:rsidRPr="00D87BD0">
        <w:rPr>
          <w:rFonts w:cs="Arial"/>
          <w:i/>
          <w:sz w:val="22"/>
          <w:szCs w:val="22"/>
        </w:rPr>
        <w:t xml:space="preserve">1,2-dimyristoyl-sn-glycero-3-phosphocholine </w:t>
      </w:r>
      <w:r w:rsidRPr="00D87BD0">
        <w:rPr>
          <w:rFonts w:cs="Arial"/>
          <w:iCs/>
          <w:sz w:val="22"/>
          <w:szCs w:val="22"/>
        </w:rPr>
        <w:t>(PC[14:0/14:0])</w:t>
      </w:r>
      <w:r w:rsidRPr="00D87BD0">
        <w:rPr>
          <w:rFonts w:cs="Arial"/>
          <w:sz w:val="22"/>
          <w:szCs w:val="22"/>
        </w:rPr>
        <w:t xml:space="preserve">; 1 </w:t>
      </w:r>
      <w:proofErr w:type="spellStart"/>
      <w:r w:rsidRPr="00D87BD0">
        <w:rPr>
          <w:rFonts w:cs="Arial"/>
          <w:sz w:val="22"/>
          <w:szCs w:val="22"/>
        </w:rPr>
        <w:t>nmol</w:t>
      </w:r>
      <w:proofErr w:type="spellEnd"/>
      <w:r w:rsidRPr="00D87BD0">
        <w:rPr>
          <w:rFonts w:cs="Arial"/>
          <w:sz w:val="22"/>
          <w:szCs w:val="22"/>
        </w:rPr>
        <w:t xml:space="preserve"> of </w:t>
      </w:r>
      <w:r w:rsidRPr="00D87BD0">
        <w:rPr>
          <w:rFonts w:cs="Arial"/>
          <w:i/>
          <w:sz w:val="22"/>
          <w:szCs w:val="22"/>
        </w:rPr>
        <w:t xml:space="preserve">1,2-ditetracosanoyl-sn-glycero-3-phosphocholine </w:t>
      </w:r>
      <w:r w:rsidRPr="00D87BD0">
        <w:rPr>
          <w:rFonts w:cs="Arial"/>
          <w:iCs/>
          <w:sz w:val="22"/>
          <w:szCs w:val="22"/>
        </w:rPr>
        <w:t>(PC[24:0/24:0])</w:t>
      </w:r>
      <w:r w:rsidRPr="00D87BD0">
        <w:rPr>
          <w:rFonts w:cs="Arial"/>
          <w:sz w:val="22"/>
          <w:szCs w:val="22"/>
        </w:rPr>
        <w:t xml:space="preserve">; 400 </w:t>
      </w:r>
      <w:proofErr w:type="spellStart"/>
      <w:r w:rsidRPr="00D87BD0">
        <w:rPr>
          <w:rFonts w:cs="Arial"/>
          <w:sz w:val="22"/>
          <w:szCs w:val="22"/>
        </w:rPr>
        <w:t>pmol</w:t>
      </w:r>
      <w:proofErr w:type="spellEnd"/>
      <w:r w:rsidRPr="00D87BD0">
        <w:rPr>
          <w:rFonts w:cs="Arial"/>
          <w:sz w:val="22"/>
          <w:szCs w:val="22"/>
        </w:rPr>
        <w:t xml:space="preserve"> of </w:t>
      </w:r>
      <w:r w:rsidRPr="00D87BD0">
        <w:rPr>
          <w:rFonts w:cs="Arial"/>
          <w:i/>
          <w:sz w:val="22"/>
          <w:szCs w:val="22"/>
        </w:rPr>
        <w:t xml:space="preserve">1,2-dimyristoyl-sn-glycero-3-phosphoethanolamine </w:t>
      </w:r>
      <w:r w:rsidRPr="00D87BD0">
        <w:rPr>
          <w:rFonts w:cs="Arial"/>
          <w:iCs/>
          <w:sz w:val="22"/>
          <w:szCs w:val="22"/>
        </w:rPr>
        <w:t>(PE[14:0/14:0])</w:t>
      </w:r>
      <w:r w:rsidRPr="00D87BD0">
        <w:rPr>
          <w:rFonts w:cs="Arial"/>
          <w:sz w:val="22"/>
          <w:szCs w:val="22"/>
        </w:rPr>
        <w:t xml:space="preserve">; 200 </w:t>
      </w:r>
      <w:proofErr w:type="spellStart"/>
      <w:r w:rsidRPr="00D87BD0">
        <w:rPr>
          <w:rFonts w:cs="Arial"/>
          <w:sz w:val="22"/>
          <w:szCs w:val="22"/>
        </w:rPr>
        <w:t>pmol</w:t>
      </w:r>
      <w:proofErr w:type="spellEnd"/>
      <w:r w:rsidRPr="00D87BD0">
        <w:rPr>
          <w:rFonts w:cs="Arial"/>
          <w:sz w:val="22"/>
          <w:szCs w:val="22"/>
        </w:rPr>
        <w:t xml:space="preserve"> of </w:t>
      </w:r>
      <w:r w:rsidRPr="00D87BD0">
        <w:rPr>
          <w:rFonts w:cs="Arial"/>
          <w:i/>
          <w:sz w:val="22"/>
          <w:szCs w:val="22"/>
        </w:rPr>
        <w:t xml:space="preserve">1,2-dimyristoyl-sn-glycero-3-phosphoglycerol </w:t>
      </w:r>
      <w:r w:rsidRPr="00D87BD0">
        <w:rPr>
          <w:rFonts w:cs="Arial"/>
          <w:iCs/>
          <w:sz w:val="22"/>
          <w:szCs w:val="22"/>
        </w:rPr>
        <w:t>(PG[14:0/14:0])</w:t>
      </w:r>
      <w:r w:rsidRPr="00D87BD0">
        <w:rPr>
          <w:rFonts w:cs="Arial"/>
          <w:sz w:val="22"/>
          <w:szCs w:val="22"/>
        </w:rPr>
        <w:t xml:space="preserve">; 200 </w:t>
      </w:r>
      <w:proofErr w:type="spellStart"/>
      <w:r w:rsidRPr="00D87BD0">
        <w:rPr>
          <w:rFonts w:cs="Arial"/>
          <w:sz w:val="22"/>
          <w:szCs w:val="22"/>
        </w:rPr>
        <w:t>pmol</w:t>
      </w:r>
      <w:proofErr w:type="spellEnd"/>
      <w:r w:rsidRPr="00D87BD0">
        <w:rPr>
          <w:rFonts w:cs="Arial"/>
          <w:sz w:val="22"/>
          <w:szCs w:val="22"/>
        </w:rPr>
        <w:t xml:space="preserve"> of </w:t>
      </w:r>
      <w:r w:rsidRPr="00D87BD0">
        <w:rPr>
          <w:rFonts w:cs="Arial"/>
          <w:i/>
          <w:sz w:val="22"/>
          <w:szCs w:val="22"/>
        </w:rPr>
        <w:t xml:space="preserve">1,2-dimyristoyl-sn-glycero-3-phosphoserine </w:t>
      </w:r>
      <w:r w:rsidRPr="00D87BD0">
        <w:rPr>
          <w:rFonts w:cs="Arial"/>
          <w:iCs/>
          <w:sz w:val="22"/>
          <w:szCs w:val="22"/>
        </w:rPr>
        <w:t>(PS[14:0/14:0])</w:t>
      </w:r>
      <w:r w:rsidRPr="00D87BD0">
        <w:rPr>
          <w:rFonts w:cs="Arial"/>
          <w:sz w:val="22"/>
          <w:szCs w:val="22"/>
        </w:rPr>
        <w:t xml:space="preserve">; 120 </w:t>
      </w:r>
      <w:proofErr w:type="spellStart"/>
      <w:r w:rsidRPr="00D87BD0">
        <w:rPr>
          <w:rFonts w:cs="Arial"/>
          <w:sz w:val="22"/>
          <w:szCs w:val="22"/>
        </w:rPr>
        <w:t>pmol</w:t>
      </w:r>
      <w:proofErr w:type="spellEnd"/>
      <w:r w:rsidRPr="00D87BD0">
        <w:rPr>
          <w:rFonts w:cs="Arial"/>
          <w:sz w:val="22"/>
          <w:szCs w:val="22"/>
        </w:rPr>
        <w:t xml:space="preserve"> of </w:t>
      </w:r>
      <w:r w:rsidRPr="00D87BD0">
        <w:rPr>
          <w:rFonts w:cs="Arial"/>
          <w:i/>
          <w:sz w:val="22"/>
          <w:szCs w:val="22"/>
        </w:rPr>
        <w:t xml:space="preserve">1,2-dihexadecanoyl-sn-glycero-3-phosphoinositol </w:t>
      </w:r>
      <w:r w:rsidRPr="00D87BD0">
        <w:rPr>
          <w:rFonts w:cs="Arial"/>
          <w:iCs/>
          <w:sz w:val="22"/>
          <w:szCs w:val="22"/>
        </w:rPr>
        <w:t>(PI[16:0/16:0])</w:t>
      </w:r>
      <w:r w:rsidRPr="00D87BD0">
        <w:rPr>
          <w:rFonts w:cs="Arial"/>
          <w:sz w:val="22"/>
          <w:szCs w:val="22"/>
        </w:rPr>
        <w:t xml:space="preserve">; 100 </w:t>
      </w:r>
      <w:proofErr w:type="spellStart"/>
      <w:r w:rsidRPr="00D87BD0">
        <w:rPr>
          <w:rFonts w:cs="Arial"/>
          <w:sz w:val="22"/>
          <w:szCs w:val="22"/>
        </w:rPr>
        <w:t>pmol</w:t>
      </w:r>
      <w:proofErr w:type="spellEnd"/>
      <w:r w:rsidRPr="00D87BD0">
        <w:rPr>
          <w:rFonts w:cs="Arial"/>
          <w:sz w:val="22"/>
          <w:szCs w:val="22"/>
        </w:rPr>
        <w:t xml:space="preserve"> of </w:t>
      </w:r>
      <w:r w:rsidRPr="00D87BD0">
        <w:rPr>
          <w:rFonts w:cs="Arial"/>
          <w:i/>
          <w:sz w:val="22"/>
          <w:szCs w:val="22"/>
        </w:rPr>
        <w:t xml:space="preserve">1,2-dimyristoyl-sn-glycero-3-phosphate </w:t>
      </w:r>
      <w:r w:rsidRPr="00D87BD0">
        <w:rPr>
          <w:rFonts w:cs="Arial"/>
          <w:iCs/>
          <w:sz w:val="22"/>
          <w:szCs w:val="22"/>
        </w:rPr>
        <w:t>(PA[14:0/14:0])</w:t>
      </w:r>
      <w:r w:rsidRPr="00D87BD0">
        <w:rPr>
          <w:rFonts w:cs="Arial"/>
          <w:sz w:val="22"/>
          <w:szCs w:val="22"/>
        </w:rPr>
        <w:t xml:space="preserve">; 100 </w:t>
      </w:r>
      <w:proofErr w:type="spellStart"/>
      <w:r w:rsidRPr="00D87BD0">
        <w:rPr>
          <w:rFonts w:cs="Arial"/>
          <w:sz w:val="22"/>
          <w:szCs w:val="22"/>
        </w:rPr>
        <w:t>pmol</w:t>
      </w:r>
      <w:proofErr w:type="spellEnd"/>
      <w:r w:rsidRPr="00D87BD0">
        <w:rPr>
          <w:rFonts w:cs="Arial"/>
          <w:sz w:val="22"/>
          <w:szCs w:val="22"/>
        </w:rPr>
        <w:t xml:space="preserve"> of </w:t>
      </w:r>
      <w:r w:rsidRPr="00D87BD0">
        <w:rPr>
          <w:rFonts w:cs="Arial"/>
          <w:i/>
          <w:sz w:val="22"/>
          <w:szCs w:val="22"/>
        </w:rPr>
        <w:t xml:space="preserve">1-heptadecanoyl-sn-glycero-3-phosphocholine </w:t>
      </w:r>
      <w:r w:rsidRPr="00D87BD0">
        <w:rPr>
          <w:rFonts w:cs="Arial"/>
          <w:iCs/>
          <w:sz w:val="22"/>
          <w:szCs w:val="22"/>
        </w:rPr>
        <w:t>(LPC[17:0])</w:t>
      </w:r>
      <w:r w:rsidRPr="00D87BD0">
        <w:rPr>
          <w:rFonts w:cs="Arial"/>
          <w:sz w:val="22"/>
          <w:szCs w:val="22"/>
        </w:rPr>
        <w:t xml:space="preserve">; 100 </w:t>
      </w:r>
      <w:proofErr w:type="spellStart"/>
      <w:r w:rsidRPr="00D87BD0">
        <w:rPr>
          <w:rFonts w:cs="Arial"/>
          <w:sz w:val="22"/>
          <w:szCs w:val="22"/>
        </w:rPr>
        <w:t>pmol</w:t>
      </w:r>
      <w:proofErr w:type="spellEnd"/>
      <w:r w:rsidRPr="00D87BD0">
        <w:rPr>
          <w:rFonts w:cs="Arial"/>
          <w:sz w:val="22"/>
          <w:szCs w:val="22"/>
        </w:rPr>
        <w:t xml:space="preserve"> of </w:t>
      </w:r>
      <w:r w:rsidRPr="00D87BD0">
        <w:rPr>
          <w:rFonts w:cs="Arial"/>
          <w:i/>
          <w:sz w:val="22"/>
          <w:szCs w:val="22"/>
        </w:rPr>
        <w:t xml:space="preserve">1-myristoyl-sn-glycero-3-phosphoethanolamine </w:t>
      </w:r>
      <w:r w:rsidRPr="00D87BD0">
        <w:rPr>
          <w:rFonts w:cs="Arial"/>
          <w:iCs/>
          <w:sz w:val="22"/>
          <w:szCs w:val="22"/>
        </w:rPr>
        <w:t>(PE[14:0])</w:t>
      </w:r>
      <w:r w:rsidRPr="00D87BD0">
        <w:rPr>
          <w:rFonts w:cs="Arial"/>
          <w:sz w:val="22"/>
          <w:szCs w:val="22"/>
        </w:rPr>
        <w:t xml:space="preserve">; 100 </w:t>
      </w:r>
      <w:proofErr w:type="spellStart"/>
      <w:r w:rsidRPr="00D87BD0">
        <w:rPr>
          <w:rFonts w:cs="Arial"/>
          <w:sz w:val="22"/>
          <w:szCs w:val="22"/>
        </w:rPr>
        <w:t>pmol</w:t>
      </w:r>
      <w:proofErr w:type="spellEnd"/>
      <w:r w:rsidRPr="00D87BD0">
        <w:rPr>
          <w:rFonts w:cs="Arial"/>
          <w:sz w:val="22"/>
          <w:szCs w:val="22"/>
        </w:rPr>
        <w:t xml:space="preserve"> of </w:t>
      </w:r>
      <w:r w:rsidRPr="00D87BD0">
        <w:rPr>
          <w:rFonts w:cs="Arial"/>
          <w:i/>
          <w:sz w:val="22"/>
          <w:szCs w:val="22"/>
        </w:rPr>
        <w:t xml:space="preserve">1-myristoyl-sn-glycero-3-phosphoglycerol </w:t>
      </w:r>
      <w:r w:rsidRPr="00D87BD0">
        <w:rPr>
          <w:rFonts w:cs="Arial"/>
          <w:iCs/>
          <w:sz w:val="22"/>
          <w:szCs w:val="22"/>
        </w:rPr>
        <w:t>(PG[14:0])</w:t>
      </w:r>
      <w:r w:rsidRPr="00D87BD0">
        <w:rPr>
          <w:rFonts w:cs="Arial"/>
          <w:sz w:val="22"/>
          <w:szCs w:val="22"/>
        </w:rPr>
        <w:t xml:space="preserve">; and 100 </w:t>
      </w:r>
      <w:proofErr w:type="spellStart"/>
      <w:r w:rsidRPr="00D87BD0">
        <w:rPr>
          <w:rFonts w:cs="Arial"/>
          <w:sz w:val="22"/>
          <w:szCs w:val="22"/>
        </w:rPr>
        <w:t>pmol</w:t>
      </w:r>
      <w:proofErr w:type="spellEnd"/>
      <w:r w:rsidRPr="00D87BD0">
        <w:rPr>
          <w:rFonts w:cs="Arial"/>
          <w:sz w:val="22"/>
          <w:szCs w:val="22"/>
        </w:rPr>
        <w:t xml:space="preserve"> of </w:t>
      </w:r>
      <w:r w:rsidRPr="00D87BD0">
        <w:rPr>
          <w:rFonts w:cs="Arial"/>
          <w:i/>
          <w:sz w:val="22"/>
          <w:szCs w:val="22"/>
        </w:rPr>
        <w:t xml:space="preserve">1-myristoyl-sn-glycero-3-phosphate </w:t>
      </w:r>
      <w:r w:rsidRPr="00D87BD0">
        <w:rPr>
          <w:rFonts w:cs="Arial"/>
          <w:iCs/>
          <w:sz w:val="22"/>
          <w:szCs w:val="22"/>
        </w:rPr>
        <w:t>(PA[14:0])</w:t>
      </w:r>
      <w:r w:rsidR="001F71D0" w:rsidRPr="00D87BD0">
        <w:rPr>
          <w:rFonts w:cs="Arial"/>
          <w:iCs/>
          <w:sz w:val="22"/>
          <w:szCs w:val="22"/>
        </w:rPr>
        <w:t>. A</w:t>
      </w:r>
      <w:r w:rsidRPr="00D87BD0">
        <w:rPr>
          <w:rFonts w:cs="Arial"/>
          <w:iCs/>
          <w:sz w:val="22"/>
          <w:szCs w:val="22"/>
        </w:rPr>
        <w:t>ll</w:t>
      </w:r>
      <w:r w:rsidR="001F71D0" w:rsidRPr="00D87BD0">
        <w:rPr>
          <w:rFonts w:cs="Arial"/>
          <w:iCs/>
          <w:sz w:val="22"/>
          <w:szCs w:val="22"/>
        </w:rPr>
        <w:t xml:space="preserve"> standards were</w:t>
      </w:r>
      <w:r w:rsidRPr="00D87BD0">
        <w:rPr>
          <w:rFonts w:cs="Arial"/>
          <w:iCs/>
          <w:sz w:val="22"/>
          <w:szCs w:val="22"/>
        </w:rPr>
        <w:t xml:space="preserve"> obtained </w:t>
      </w:r>
      <w:r w:rsidR="00A23E0D" w:rsidRPr="00D87BD0">
        <w:rPr>
          <w:rFonts w:cs="Arial"/>
          <w:iCs/>
          <w:sz w:val="22"/>
          <w:szCs w:val="22"/>
        </w:rPr>
        <w:t xml:space="preserve">specifically for this study </w:t>
      </w:r>
      <w:r w:rsidRPr="00D87BD0">
        <w:rPr>
          <w:rFonts w:cs="Arial"/>
          <w:iCs/>
          <w:sz w:val="22"/>
          <w:szCs w:val="22"/>
        </w:rPr>
        <w:t>from</w:t>
      </w:r>
      <w:r w:rsidRPr="00D87BD0">
        <w:rPr>
          <w:rFonts w:cs="Arial"/>
          <w:sz w:val="22"/>
          <w:szCs w:val="22"/>
        </w:rPr>
        <w:t xml:space="preserve"> Avanti polar lipids (Alabaster AL, USA).</w:t>
      </w:r>
    </w:p>
    <w:p w14:paraId="20EC8CAF" w14:textId="2A57D6A1" w:rsidR="0047340A" w:rsidRPr="00D87BD0" w:rsidRDefault="0047340A" w:rsidP="0047340A">
      <w:pPr>
        <w:spacing w:after="0" w:line="276" w:lineRule="auto"/>
        <w:rPr>
          <w:rFonts w:cs="Arial"/>
          <w:b/>
          <w:sz w:val="22"/>
          <w:szCs w:val="22"/>
        </w:rPr>
      </w:pPr>
      <w:r w:rsidRPr="00D87BD0">
        <w:rPr>
          <w:rFonts w:cs="Arial"/>
          <w:b/>
          <w:sz w:val="22"/>
          <w:szCs w:val="22"/>
        </w:rPr>
        <w:t>3.2 Lipid analysis by direct infusion MS</w:t>
      </w:r>
    </w:p>
    <w:p w14:paraId="6EEEB384" w14:textId="0AB0A3D9" w:rsidR="001727FD" w:rsidRPr="00D87BD0" w:rsidRDefault="001727FD" w:rsidP="0047340A">
      <w:pPr>
        <w:spacing w:line="276" w:lineRule="auto"/>
        <w:rPr>
          <w:rFonts w:cs="Arial"/>
          <w:sz w:val="22"/>
          <w:szCs w:val="22"/>
        </w:rPr>
      </w:pPr>
      <w:r w:rsidRPr="00D87BD0">
        <w:rPr>
          <w:rFonts w:cs="Arial"/>
          <w:sz w:val="22"/>
          <w:szCs w:val="22"/>
        </w:rPr>
        <w:t>Before analysis each sample was reconstituted in 1 ml of MeOH</w:t>
      </w:r>
      <w:proofErr w:type="gramStart"/>
      <w:r w:rsidRPr="00D87BD0">
        <w:rPr>
          <w:rFonts w:cs="Arial"/>
          <w:sz w:val="22"/>
          <w:szCs w:val="22"/>
        </w:rPr>
        <w:t>:DCM:50</w:t>
      </w:r>
      <w:proofErr w:type="gramEnd"/>
      <w:r w:rsidRPr="00D87BD0">
        <w:rPr>
          <w:rFonts w:cs="Arial"/>
          <w:sz w:val="22"/>
          <w:szCs w:val="22"/>
        </w:rPr>
        <w:t xml:space="preserve"> </w:t>
      </w:r>
      <w:proofErr w:type="spellStart"/>
      <w:r w:rsidRPr="00D87BD0">
        <w:rPr>
          <w:rFonts w:cs="Arial"/>
          <w:sz w:val="22"/>
          <w:szCs w:val="22"/>
        </w:rPr>
        <w:t>mM</w:t>
      </w:r>
      <w:proofErr w:type="spellEnd"/>
      <w:r w:rsidRPr="00D87BD0">
        <w:rPr>
          <w:rFonts w:cs="Arial"/>
          <w:sz w:val="22"/>
          <w:szCs w:val="22"/>
        </w:rPr>
        <w:t xml:space="preserve"> </w:t>
      </w:r>
      <w:r w:rsidR="00116D7B" w:rsidRPr="00D87BD0">
        <w:rPr>
          <w:rFonts w:cs="Arial"/>
          <w:sz w:val="22"/>
          <w:szCs w:val="22"/>
        </w:rPr>
        <w:t xml:space="preserve">aqueous </w:t>
      </w:r>
      <w:r w:rsidRPr="00D87BD0">
        <w:rPr>
          <w:rFonts w:cs="Arial"/>
          <w:sz w:val="22"/>
          <w:szCs w:val="22"/>
        </w:rPr>
        <w:t>NH</w:t>
      </w:r>
      <w:r w:rsidRPr="00D87BD0">
        <w:rPr>
          <w:rFonts w:cs="Arial"/>
          <w:sz w:val="22"/>
          <w:szCs w:val="22"/>
          <w:vertAlign w:val="subscript"/>
        </w:rPr>
        <w:t>4</w:t>
      </w:r>
      <w:r w:rsidRPr="00D87BD0">
        <w:rPr>
          <w:rFonts w:cs="Arial"/>
          <w:sz w:val="22"/>
          <w:szCs w:val="22"/>
        </w:rPr>
        <w:t>HCO</w:t>
      </w:r>
      <w:r w:rsidRPr="00D87BD0">
        <w:rPr>
          <w:rFonts w:cs="Arial"/>
          <w:sz w:val="22"/>
          <w:szCs w:val="22"/>
          <w:vertAlign w:val="subscript"/>
        </w:rPr>
        <w:t>2</w:t>
      </w:r>
      <w:r w:rsidRPr="00D87BD0">
        <w:rPr>
          <w:rFonts w:cs="Arial"/>
          <w:sz w:val="22"/>
          <w:szCs w:val="22"/>
        </w:rPr>
        <w:t xml:space="preserve"> (65:35:8 v/v), </w:t>
      </w:r>
      <w:r w:rsidR="00116D7B" w:rsidRPr="00D87BD0">
        <w:rPr>
          <w:rFonts w:cs="Arial"/>
          <w:sz w:val="22"/>
          <w:szCs w:val="22"/>
        </w:rPr>
        <w:t>and 20-µl aliquots were removed from each sample and pooled to create a quality control (QC) sample</w:t>
      </w:r>
      <w:r w:rsidRPr="00D87BD0">
        <w:rPr>
          <w:rFonts w:cs="Arial"/>
          <w:sz w:val="22"/>
          <w:szCs w:val="22"/>
        </w:rPr>
        <w:t>. All measurements were performed on a MaXis 3G ultra-high resolution quadrupole time-of-flight (UHR Q-</w:t>
      </w:r>
      <w:proofErr w:type="spellStart"/>
      <w:r w:rsidRPr="00D87BD0">
        <w:rPr>
          <w:rFonts w:cs="Arial"/>
          <w:sz w:val="22"/>
          <w:szCs w:val="22"/>
        </w:rPr>
        <w:t>ToF</w:t>
      </w:r>
      <w:proofErr w:type="spellEnd"/>
      <w:r w:rsidRPr="00D87BD0">
        <w:rPr>
          <w:rFonts w:cs="Arial"/>
          <w:sz w:val="22"/>
          <w:szCs w:val="22"/>
        </w:rPr>
        <w:t xml:space="preserve">) mass spectrometer equipped with an electrospray ionization (ESI) source (Bruker </w:t>
      </w:r>
      <w:proofErr w:type="spellStart"/>
      <w:r w:rsidRPr="00D87BD0">
        <w:rPr>
          <w:rFonts w:cs="Arial"/>
          <w:sz w:val="22"/>
          <w:szCs w:val="22"/>
        </w:rPr>
        <w:t>Daltonics</w:t>
      </w:r>
      <w:proofErr w:type="spellEnd"/>
      <w:r w:rsidRPr="00D87BD0">
        <w:rPr>
          <w:rFonts w:cs="Arial"/>
          <w:sz w:val="22"/>
          <w:szCs w:val="22"/>
        </w:rPr>
        <w:t xml:space="preserve">, Billerica MA, USA), coupled to an </w:t>
      </w:r>
      <w:proofErr w:type="spellStart"/>
      <w:r w:rsidRPr="00D87BD0">
        <w:rPr>
          <w:rFonts w:cs="Arial"/>
          <w:sz w:val="22"/>
          <w:szCs w:val="22"/>
        </w:rPr>
        <w:t>UltiMate</w:t>
      </w:r>
      <w:proofErr w:type="spellEnd"/>
      <w:r w:rsidRPr="00D87BD0">
        <w:rPr>
          <w:rFonts w:cs="Arial"/>
          <w:sz w:val="22"/>
          <w:szCs w:val="22"/>
        </w:rPr>
        <w:t xml:space="preserve"> 3000 ultra-high performance liquid chromatography system (UHPLC; Dionex, Sunnyvale CA, USA). For the initial screening, samples were introduced by loop injection (10 µl) into a continuous stream of MeOH (HPLC grade). Mass spectra were acquired in full scan mode over an </w:t>
      </w:r>
      <w:r w:rsidRPr="00D87BD0">
        <w:rPr>
          <w:rFonts w:cs="Arial"/>
          <w:i/>
          <w:sz w:val="22"/>
          <w:szCs w:val="22"/>
        </w:rPr>
        <w:t>m/</w:t>
      </w:r>
      <w:r w:rsidRPr="00D87BD0">
        <w:rPr>
          <w:rFonts w:cs="Arial"/>
          <w:sz w:val="22"/>
          <w:szCs w:val="22"/>
        </w:rPr>
        <w:t>z range of 350-1200 for a period of 3 minutes per injection, which covered the elution time of the sample peak and a 1 min washout period</w:t>
      </w:r>
      <w:r w:rsidR="004C7E7D" w:rsidRPr="00D87BD0">
        <w:rPr>
          <w:rFonts w:cs="Arial"/>
          <w:sz w:val="22"/>
          <w:szCs w:val="22"/>
        </w:rPr>
        <w:t xml:space="preserve"> </w:t>
      </w:r>
      <w:r w:rsidR="00B2267E" w:rsidRPr="00D87BD0">
        <w:rPr>
          <w:rFonts w:cs="Arial"/>
          <w:sz w:val="22"/>
          <w:szCs w:val="22"/>
        </w:rPr>
        <w:t>(separate injections for positive and negative ionisation)</w:t>
      </w:r>
      <w:r w:rsidRPr="00D87BD0">
        <w:rPr>
          <w:rFonts w:cs="Arial"/>
          <w:sz w:val="22"/>
          <w:szCs w:val="22"/>
        </w:rPr>
        <w:t>. Each injection was preceded by a 1 min pre-run of MeOH to reduce the risk of sample carry-over, and blank injections were performed after every 4 samples (no significant carry-over was detected). In addition, the pooled QC sample was run after every 4 samples to check for changes in the instrument performance.</w:t>
      </w:r>
    </w:p>
    <w:p w14:paraId="32B98CCE" w14:textId="387358F9" w:rsidR="0047340A" w:rsidRPr="00D87BD0" w:rsidRDefault="0047340A" w:rsidP="0047340A">
      <w:pPr>
        <w:spacing w:after="0" w:line="276" w:lineRule="auto"/>
        <w:rPr>
          <w:rFonts w:cs="Arial"/>
          <w:b/>
          <w:sz w:val="22"/>
          <w:szCs w:val="22"/>
        </w:rPr>
      </w:pPr>
      <w:r w:rsidRPr="00D87BD0">
        <w:rPr>
          <w:rFonts w:cs="Arial"/>
          <w:b/>
          <w:sz w:val="22"/>
          <w:szCs w:val="22"/>
        </w:rPr>
        <w:t>3.3 Lipid identification by UPLC-MS/MS</w:t>
      </w:r>
    </w:p>
    <w:p w14:paraId="3193C201" w14:textId="6A5DCDAA" w:rsidR="001727FD" w:rsidRPr="00D87BD0" w:rsidRDefault="001727FD" w:rsidP="0047340A">
      <w:pPr>
        <w:spacing w:line="276" w:lineRule="auto"/>
        <w:rPr>
          <w:rFonts w:cs="Arial"/>
          <w:b/>
          <w:bCs/>
          <w:sz w:val="22"/>
          <w:szCs w:val="22"/>
        </w:rPr>
      </w:pPr>
      <w:r w:rsidRPr="00D87BD0">
        <w:rPr>
          <w:rFonts w:cs="Arial"/>
          <w:sz w:val="22"/>
          <w:szCs w:val="22"/>
        </w:rPr>
        <w:t>Fragmentation analysis for lipid identification was performed using the same instrumental setup. Samples (10 µl) were first separated on a C8 column (Waters Acquity UPLC CSH C8, 130Å, 1.7</w:t>
      </w:r>
      <w:r w:rsidR="00CD14C5" w:rsidRPr="00D87BD0">
        <w:rPr>
          <w:rFonts w:cs="Arial"/>
          <w:sz w:val="22"/>
          <w:szCs w:val="22"/>
        </w:rPr>
        <w:t>µ</w:t>
      </w:r>
      <w:r w:rsidRPr="00D87BD0">
        <w:rPr>
          <w:rFonts w:cs="Arial"/>
          <w:sz w:val="22"/>
          <w:szCs w:val="22"/>
        </w:rPr>
        <w:t>m, 2.1mm x 100mm) using mobile phases of</w:t>
      </w:r>
      <w:r w:rsidR="00681D8D" w:rsidRPr="00D87BD0">
        <w:rPr>
          <w:rFonts w:cs="Arial"/>
          <w:sz w:val="22"/>
          <w:szCs w:val="22"/>
        </w:rPr>
        <w:t>:</w:t>
      </w:r>
      <w:r w:rsidRPr="00D87BD0">
        <w:rPr>
          <w:rFonts w:cs="Arial"/>
          <w:sz w:val="22"/>
          <w:szCs w:val="22"/>
        </w:rPr>
        <w:t xml:space="preserve"> A) MeOH with 50 </w:t>
      </w:r>
      <w:proofErr w:type="spellStart"/>
      <w:r w:rsidRPr="00D87BD0">
        <w:rPr>
          <w:rFonts w:cs="Arial"/>
          <w:sz w:val="22"/>
          <w:szCs w:val="22"/>
        </w:rPr>
        <w:t>mM</w:t>
      </w:r>
      <w:proofErr w:type="spellEnd"/>
      <w:r w:rsidRPr="00D87BD0">
        <w:rPr>
          <w:rFonts w:cs="Arial"/>
          <w:sz w:val="22"/>
          <w:szCs w:val="22"/>
        </w:rPr>
        <w:t xml:space="preserve"> NH</w:t>
      </w:r>
      <w:r w:rsidRPr="00D87BD0">
        <w:rPr>
          <w:rFonts w:cs="Arial"/>
          <w:sz w:val="22"/>
          <w:szCs w:val="22"/>
          <w:vertAlign w:val="subscript"/>
        </w:rPr>
        <w:t>4</w:t>
      </w:r>
      <w:r w:rsidRPr="00D87BD0">
        <w:rPr>
          <w:rFonts w:cs="Arial"/>
          <w:sz w:val="22"/>
          <w:szCs w:val="22"/>
        </w:rPr>
        <w:t>HCO</w:t>
      </w:r>
      <w:r w:rsidRPr="00D87BD0">
        <w:rPr>
          <w:rFonts w:cs="Arial"/>
          <w:sz w:val="22"/>
          <w:szCs w:val="22"/>
          <w:vertAlign w:val="subscript"/>
        </w:rPr>
        <w:t>2</w:t>
      </w:r>
      <w:r w:rsidRPr="00D87BD0">
        <w:rPr>
          <w:rFonts w:cs="Arial"/>
          <w:sz w:val="22"/>
          <w:szCs w:val="22"/>
        </w:rPr>
        <w:t xml:space="preserve"> and 0.2% formic acid, and B) 50 </w:t>
      </w:r>
      <w:proofErr w:type="spellStart"/>
      <w:r w:rsidRPr="00D87BD0">
        <w:rPr>
          <w:rFonts w:cs="Arial"/>
          <w:sz w:val="22"/>
          <w:szCs w:val="22"/>
        </w:rPr>
        <w:t>mM</w:t>
      </w:r>
      <w:proofErr w:type="spellEnd"/>
      <w:r w:rsidRPr="00D87BD0">
        <w:rPr>
          <w:rFonts w:cs="Arial"/>
          <w:sz w:val="22"/>
          <w:szCs w:val="22"/>
        </w:rPr>
        <w:t xml:space="preserve"> </w:t>
      </w:r>
      <w:r w:rsidR="00F16BDE" w:rsidRPr="00D87BD0">
        <w:rPr>
          <w:rFonts w:cs="Arial"/>
          <w:sz w:val="22"/>
          <w:szCs w:val="22"/>
        </w:rPr>
        <w:t xml:space="preserve">aqueous </w:t>
      </w:r>
      <w:r w:rsidRPr="00D87BD0">
        <w:rPr>
          <w:rFonts w:cs="Arial"/>
          <w:sz w:val="22"/>
          <w:szCs w:val="22"/>
        </w:rPr>
        <w:t>NH</w:t>
      </w:r>
      <w:r w:rsidRPr="00D87BD0">
        <w:rPr>
          <w:rFonts w:cs="Arial"/>
          <w:sz w:val="22"/>
          <w:szCs w:val="22"/>
          <w:vertAlign w:val="subscript"/>
        </w:rPr>
        <w:t>4</w:t>
      </w:r>
      <w:r w:rsidRPr="00D87BD0">
        <w:rPr>
          <w:rFonts w:cs="Arial"/>
          <w:sz w:val="22"/>
          <w:szCs w:val="22"/>
        </w:rPr>
        <w:t>HCO</w:t>
      </w:r>
      <w:r w:rsidRPr="00D87BD0">
        <w:rPr>
          <w:rFonts w:cs="Arial"/>
          <w:sz w:val="22"/>
          <w:szCs w:val="22"/>
          <w:vertAlign w:val="subscript"/>
        </w:rPr>
        <w:t>2</w:t>
      </w:r>
      <w:r w:rsidRPr="00D87BD0">
        <w:rPr>
          <w:rFonts w:cs="Arial"/>
          <w:sz w:val="22"/>
          <w:szCs w:val="22"/>
        </w:rPr>
        <w:t xml:space="preserve"> </w:t>
      </w:r>
      <w:r w:rsidR="003B2452" w:rsidRPr="00D87BD0">
        <w:rPr>
          <w:rFonts w:cs="Arial"/>
          <w:sz w:val="22"/>
          <w:szCs w:val="22"/>
        </w:rPr>
        <w:t>with</w:t>
      </w:r>
      <w:r w:rsidRPr="00D87BD0">
        <w:rPr>
          <w:rFonts w:cs="Arial"/>
          <w:sz w:val="22"/>
          <w:szCs w:val="22"/>
        </w:rPr>
        <w:t xml:space="preserve"> 0.2% formic acid (all LC grade). </w:t>
      </w:r>
      <w:r w:rsidR="00DA0BF9" w:rsidRPr="00D87BD0">
        <w:rPr>
          <w:rFonts w:cs="Arial"/>
          <w:sz w:val="22"/>
          <w:szCs w:val="22"/>
        </w:rPr>
        <w:t>The following gradient was used: linear increase from 80-98% A at 0.3 ml min</w:t>
      </w:r>
      <w:r w:rsidR="00DA0BF9" w:rsidRPr="00D87BD0">
        <w:rPr>
          <w:rFonts w:cs="Arial"/>
          <w:sz w:val="22"/>
          <w:szCs w:val="22"/>
          <w:vertAlign w:val="superscript"/>
        </w:rPr>
        <w:t>-1</w:t>
      </w:r>
      <w:r w:rsidR="00DA0BF9" w:rsidRPr="00D87BD0">
        <w:rPr>
          <w:rFonts w:cs="Arial"/>
          <w:sz w:val="22"/>
          <w:szCs w:val="22"/>
        </w:rPr>
        <w:t xml:space="preserve"> over the first 10 min, then a linear increase to 100% A at 0.3 ml min</w:t>
      </w:r>
      <w:r w:rsidR="00DA0BF9" w:rsidRPr="00D87BD0">
        <w:rPr>
          <w:rFonts w:cs="Arial"/>
          <w:sz w:val="22"/>
          <w:szCs w:val="22"/>
          <w:vertAlign w:val="superscript"/>
        </w:rPr>
        <w:t>-1</w:t>
      </w:r>
      <w:r w:rsidR="00DA0BF9" w:rsidRPr="00D87BD0">
        <w:rPr>
          <w:rFonts w:cs="Arial"/>
          <w:sz w:val="22"/>
          <w:szCs w:val="22"/>
        </w:rPr>
        <w:t xml:space="preserve"> over the next 10 min, isocratic at 100% A for 25 min but with an increased flow rate </w:t>
      </w:r>
      <w:r w:rsidR="00DA0BF9" w:rsidRPr="00D87BD0">
        <w:rPr>
          <w:rFonts w:cs="Arial"/>
          <w:sz w:val="22"/>
          <w:szCs w:val="22"/>
        </w:rPr>
        <w:lastRenderedPageBreak/>
        <w:t>of 0.4 ml min</w:t>
      </w:r>
      <w:r w:rsidR="00DA0BF9" w:rsidRPr="00D87BD0">
        <w:rPr>
          <w:rFonts w:cs="Arial"/>
          <w:sz w:val="22"/>
          <w:szCs w:val="22"/>
          <w:vertAlign w:val="superscript"/>
        </w:rPr>
        <w:t>-1</w:t>
      </w:r>
      <w:r w:rsidR="00DA0BF9" w:rsidRPr="00D87BD0">
        <w:rPr>
          <w:rFonts w:cs="Arial"/>
          <w:sz w:val="22"/>
          <w:szCs w:val="22"/>
        </w:rPr>
        <w:t>, rapid return to the starting conditions (80% A at 0.3 ml min</w:t>
      </w:r>
      <w:r w:rsidR="00DA0BF9" w:rsidRPr="00D87BD0">
        <w:rPr>
          <w:rFonts w:cs="Arial"/>
          <w:sz w:val="22"/>
          <w:szCs w:val="22"/>
          <w:vertAlign w:val="superscript"/>
        </w:rPr>
        <w:t>-1</w:t>
      </w:r>
      <w:r w:rsidR="00DA0BF9" w:rsidRPr="00D87BD0">
        <w:rPr>
          <w:rFonts w:cs="Arial"/>
          <w:sz w:val="22"/>
          <w:szCs w:val="22"/>
        </w:rPr>
        <w:t>) to re-equilibrate the system for 5 min</w:t>
      </w:r>
      <w:r w:rsidRPr="00D87BD0">
        <w:rPr>
          <w:rFonts w:cs="Arial"/>
          <w:sz w:val="22"/>
          <w:szCs w:val="22"/>
        </w:rPr>
        <w:t>.</w:t>
      </w:r>
      <w:r w:rsidRPr="00D87BD0">
        <w:rPr>
          <w:rFonts w:cs="Arial"/>
          <w:b/>
          <w:bCs/>
          <w:sz w:val="22"/>
          <w:szCs w:val="22"/>
        </w:rPr>
        <w:t xml:space="preserve"> </w:t>
      </w:r>
      <w:r w:rsidRPr="00D87BD0">
        <w:rPr>
          <w:rFonts w:cs="Arial"/>
          <w:sz w:val="22"/>
          <w:szCs w:val="22"/>
        </w:rPr>
        <w:t xml:space="preserve">Data-independent product ion scans were acquired over the entire 50 min gradient using the bbCID (broadband Collision Induced Dissociation) function in Compass (Bruker </w:t>
      </w:r>
      <w:proofErr w:type="spellStart"/>
      <w:r w:rsidRPr="00D87BD0">
        <w:rPr>
          <w:rFonts w:cs="Arial"/>
          <w:sz w:val="22"/>
          <w:szCs w:val="22"/>
        </w:rPr>
        <w:t>Daltonics</w:t>
      </w:r>
      <w:proofErr w:type="spellEnd"/>
      <w:r w:rsidRPr="00D87BD0">
        <w:rPr>
          <w:rFonts w:cs="Arial"/>
          <w:sz w:val="22"/>
          <w:szCs w:val="22"/>
        </w:rPr>
        <w:t>). In this setting the MS rapidly alternates between low and high collision energy</w:t>
      </w:r>
      <w:r w:rsidR="00681D8D" w:rsidRPr="00D87BD0">
        <w:rPr>
          <w:rFonts w:cs="Arial"/>
          <w:sz w:val="22"/>
          <w:szCs w:val="22"/>
        </w:rPr>
        <w:t xml:space="preserve"> without mass selection</w:t>
      </w:r>
      <w:r w:rsidRPr="00D87BD0">
        <w:rPr>
          <w:rFonts w:cs="Arial"/>
          <w:sz w:val="22"/>
          <w:szCs w:val="22"/>
        </w:rPr>
        <w:t xml:space="preserve">, resulting in parallel sets of intact precursor and fragment ions over the </w:t>
      </w:r>
      <w:r w:rsidR="00681D8D" w:rsidRPr="00D87BD0">
        <w:rPr>
          <w:rFonts w:cs="Arial"/>
          <w:sz w:val="22"/>
          <w:szCs w:val="22"/>
        </w:rPr>
        <w:t xml:space="preserve">whole </w:t>
      </w:r>
      <w:r w:rsidR="00681D8D" w:rsidRPr="00D87BD0">
        <w:rPr>
          <w:rFonts w:cs="Arial"/>
          <w:i/>
          <w:sz w:val="22"/>
          <w:szCs w:val="22"/>
        </w:rPr>
        <w:t>m/z</w:t>
      </w:r>
      <w:r w:rsidRPr="00D87BD0">
        <w:rPr>
          <w:rFonts w:cs="Arial"/>
          <w:sz w:val="22"/>
          <w:szCs w:val="22"/>
        </w:rPr>
        <w:t xml:space="preserve"> range</w:t>
      </w:r>
      <w:r w:rsidR="00681D8D" w:rsidRPr="00D87BD0">
        <w:rPr>
          <w:rFonts w:cs="Arial"/>
          <w:sz w:val="22"/>
          <w:szCs w:val="22"/>
        </w:rPr>
        <w:t xml:space="preserve"> of 350-1200</w:t>
      </w:r>
      <w:r w:rsidRPr="00D87BD0">
        <w:rPr>
          <w:rFonts w:cs="Arial"/>
          <w:sz w:val="22"/>
          <w:szCs w:val="22"/>
        </w:rPr>
        <w:t xml:space="preserve">. Precursor and fragment ions were matched retrospectively by their LC retention time and using </w:t>
      </w:r>
      <w:r w:rsidR="00681D8D" w:rsidRPr="00D87BD0">
        <w:rPr>
          <w:rFonts w:cs="Arial"/>
          <w:sz w:val="22"/>
          <w:szCs w:val="22"/>
        </w:rPr>
        <w:t xml:space="preserve">the </w:t>
      </w:r>
      <w:r w:rsidRPr="00D87BD0">
        <w:rPr>
          <w:rFonts w:cs="Arial"/>
          <w:sz w:val="22"/>
          <w:szCs w:val="22"/>
        </w:rPr>
        <w:t xml:space="preserve">well-established fragmentation rules for lipids </w:t>
      </w:r>
      <w:r w:rsidR="006F64B2" w:rsidRPr="00D87BD0">
        <w:rPr>
          <w:rFonts w:cs="Arial"/>
          <w:sz w:val="22"/>
          <w:szCs w:val="22"/>
        </w:rPr>
        <w:t>(Hsu and Turk 2003)</w:t>
      </w:r>
      <w:r w:rsidRPr="00D87BD0">
        <w:rPr>
          <w:rFonts w:cs="Arial"/>
          <w:sz w:val="22"/>
          <w:szCs w:val="22"/>
        </w:rPr>
        <w:t xml:space="preserve"> to provide confirmation of identities</w:t>
      </w:r>
      <w:r w:rsidR="00D532D9" w:rsidRPr="00D87BD0">
        <w:rPr>
          <w:rFonts w:cs="Arial"/>
          <w:sz w:val="22"/>
          <w:szCs w:val="22"/>
        </w:rPr>
        <w:t xml:space="preserve"> where possible</w:t>
      </w:r>
      <w:r w:rsidRPr="00D87BD0">
        <w:rPr>
          <w:rFonts w:cs="Arial"/>
          <w:sz w:val="22"/>
          <w:szCs w:val="22"/>
        </w:rPr>
        <w:t>.</w:t>
      </w:r>
    </w:p>
    <w:p w14:paraId="3C29200C" w14:textId="5CC93E9F" w:rsidR="0047340A" w:rsidRPr="00D87BD0" w:rsidRDefault="0047340A" w:rsidP="0047340A">
      <w:pPr>
        <w:spacing w:after="0" w:line="276" w:lineRule="auto"/>
        <w:rPr>
          <w:rFonts w:cs="Arial"/>
          <w:b/>
          <w:sz w:val="22"/>
          <w:szCs w:val="22"/>
        </w:rPr>
      </w:pPr>
      <w:r w:rsidRPr="00D87BD0">
        <w:rPr>
          <w:rFonts w:cs="Arial"/>
          <w:b/>
          <w:sz w:val="22"/>
          <w:szCs w:val="22"/>
        </w:rPr>
        <w:t>3.4 Mass spectra processing and alignment</w:t>
      </w:r>
    </w:p>
    <w:p w14:paraId="591BF8ED" w14:textId="0E55E032" w:rsidR="00113892" w:rsidRPr="00D87BD0" w:rsidRDefault="001727FD" w:rsidP="0047340A">
      <w:pPr>
        <w:spacing w:line="276" w:lineRule="auto"/>
        <w:rPr>
          <w:rFonts w:cs="Arial"/>
          <w:sz w:val="22"/>
          <w:szCs w:val="22"/>
        </w:rPr>
      </w:pPr>
      <w:r w:rsidRPr="00D87BD0">
        <w:rPr>
          <w:rFonts w:cs="Arial"/>
          <w:sz w:val="22"/>
          <w:szCs w:val="22"/>
        </w:rPr>
        <w:t xml:space="preserve">Manipulation of the mass spectra and export of the data were automated in Compass DataAnalysis V4.0 using the attached VBA Method Editor V1.0 (Bruker </w:t>
      </w:r>
      <w:proofErr w:type="spellStart"/>
      <w:r w:rsidRPr="00D87BD0">
        <w:rPr>
          <w:rFonts w:cs="Arial"/>
          <w:sz w:val="22"/>
          <w:szCs w:val="22"/>
        </w:rPr>
        <w:t>Daltonics</w:t>
      </w:r>
      <w:proofErr w:type="spellEnd"/>
      <w:r w:rsidRPr="00D87BD0">
        <w:rPr>
          <w:rFonts w:cs="Arial"/>
          <w:sz w:val="22"/>
          <w:szCs w:val="22"/>
        </w:rPr>
        <w:t>). All</w:t>
      </w:r>
      <w:r w:rsidR="002F09E3" w:rsidRPr="00D87BD0">
        <w:rPr>
          <w:rFonts w:cs="Arial"/>
          <w:sz w:val="22"/>
          <w:szCs w:val="22"/>
        </w:rPr>
        <w:t xml:space="preserve"> screening</w:t>
      </w:r>
      <w:r w:rsidRPr="00D87BD0">
        <w:rPr>
          <w:rFonts w:cs="Arial"/>
          <w:sz w:val="22"/>
          <w:szCs w:val="22"/>
        </w:rPr>
        <w:t xml:space="preserve"> spectra were first Gaussian smoothed and automated peak picking was performed using a minimum signal threshold of 10 counts. Lock mass calibration of the internal standard peaks was used to align all spectra to within &lt;1 ppm. Spectral data were exported in a mass list format of </w:t>
      </w:r>
      <w:r w:rsidRPr="00D87BD0">
        <w:rPr>
          <w:rFonts w:cs="Arial"/>
          <w:i/>
          <w:sz w:val="22"/>
          <w:szCs w:val="22"/>
        </w:rPr>
        <w:t>m/z</w:t>
      </w:r>
      <w:r w:rsidRPr="00D87BD0">
        <w:rPr>
          <w:rFonts w:cs="Arial"/>
          <w:sz w:val="22"/>
          <w:szCs w:val="22"/>
        </w:rPr>
        <w:t xml:space="preserve"> value (peak apex) and intensity (counts). Two </w:t>
      </w:r>
      <w:r w:rsidR="00276FEC" w:rsidRPr="00D87BD0">
        <w:rPr>
          <w:rFonts w:cs="Arial"/>
          <w:sz w:val="22"/>
          <w:szCs w:val="22"/>
        </w:rPr>
        <w:t xml:space="preserve">separate </w:t>
      </w:r>
      <w:r w:rsidRPr="00D87BD0">
        <w:rPr>
          <w:rFonts w:cs="Arial"/>
          <w:sz w:val="22"/>
          <w:szCs w:val="22"/>
        </w:rPr>
        <w:t>mass lists were generated for each sample: a combined average over the first and final 10 seconds of the run (</w:t>
      </w:r>
      <w:r w:rsidR="009927D2" w:rsidRPr="00D87BD0">
        <w:rPr>
          <w:rFonts w:cs="Arial"/>
          <w:sz w:val="22"/>
          <w:szCs w:val="22"/>
        </w:rPr>
        <w:t xml:space="preserve">the </w:t>
      </w:r>
      <w:r w:rsidRPr="00D87BD0">
        <w:rPr>
          <w:rFonts w:cs="Arial"/>
          <w:sz w:val="22"/>
          <w:szCs w:val="22"/>
        </w:rPr>
        <w:t>“background” spectrum) and an average over the first 2 minutes of the run (</w:t>
      </w:r>
      <w:r w:rsidR="009927D2" w:rsidRPr="00D87BD0">
        <w:rPr>
          <w:rFonts w:cs="Arial"/>
          <w:sz w:val="22"/>
          <w:szCs w:val="22"/>
        </w:rPr>
        <w:t xml:space="preserve">the </w:t>
      </w:r>
      <w:r w:rsidRPr="00D87BD0">
        <w:rPr>
          <w:rFonts w:cs="Arial"/>
          <w:sz w:val="22"/>
          <w:szCs w:val="22"/>
        </w:rPr>
        <w:t>“sample” spectrum).</w:t>
      </w:r>
    </w:p>
    <w:p w14:paraId="03AC7C3D" w14:textId="1ED9682F" w:rsidR="0016603E" w:rsidRPr="00D87BD0" w:rsidRDefault="00EC799C" w:rsidP="0047340A">
      <w:pPr>
        <w:spacing w:line="276" w:lineRule="auto"/>
        <w:rPr>
          <w:rFonts w:cs="Arial"/>
          <w:sz w:val="22"/>
          <w:szCs w:val="22"/>
        </w:rPr>
      </w:pPr>
      <w:r w:rsidRPr="00D87BD0">
        <w:rPr>
          <w:rFonts w:cs="Arial"/>
          <w:sz w:val="22"/>
          <w:szCs w:val="22"/>
        </w:rPr>
        <w:t>To align the large amount of spectral data</w:t>
      </w:r>
      <w:r w:rsidR="00F214D2" w:rsidRPr="00D87BD0">
        <w:rPr>
          <w:rFonts w:cs="Arial"/>
          <w:sz w:val="22"/>
          <w:szCs w:val="22"/>
        </w:rPr>
        <w:t xml:space="preserve"> a hierarchical clustering-based algorithm was used; this was a simplified version of the </w:t>
      </w:r>
      <w:r w:rsidR="00C97D70" w:rsidRPr="00D87BD0">
        <w:rPr>
          <w:rFonts w:cs="Arial"/>
          <w:sz w:val="22"/>
          <w:szCs w:val="22"/>
        </w:rPr>
        <w:t>method</w:t>
      </w:r>
      <w:r w:rsidR="00F214D2" w:rsidRPr="00D87BD0">
        <w:rPr>
          <w:rFonts w:cs="Arial"/>
          <w:sz w:val="22"/>
          <w:szCs w:val="22"/>
        </w:rPr>
        <w:t xml:space="preserve"> developed by Yang</w:t>
      </w:r>
      <w:r w:rsidR="00EF2BE7" w:rsidRPr="00D87BD0">
        <w:rPr>
          <w:rFonts w:cs="Arial"/>
          <w:sz w:val="22"/>
          <w:szCs w:val="22"/>
        </w:rPr>
        <w:t xml:space="preserve"> </w:t>
      </w:r>
      <w:r w:rsidR="00423BEE" w:rsidRPr="00D87BD0">
        <w:rPr>
          <w:rFonts w:cs="Arial"/>
          <w:sz w:val="22"/>
          <w:szCs w:val="22"/>
        </w:rPr>
        <w:t>(2016)</w:t>
      </w:r>
      <w:r w:rsidR="00F214D2" w:rsidRPr="00D87BD0">
        <w:rPr>
          <w:rFonts w:cs="Arial"/>
          <w:sz w:val="22"/>
          <w:szCs w:val="22"/>
        </w:rPr>
        <w:t xml:space="preserve"> for </w:t>
      </w:r>
      <w:r w:rsidR="001D7E2D" w:rsidRPr="00D87BD0">
        <w:rPr>
          <w:rFonts w:cs="Arial"/>
          <w:sz w:val="22"/>
          <w:szCs w:val="22"/>
        </w:rPr>
        <w:t>multidimensional UPLC</w:t>
      </w:r>
      <w:r w:rsidR="00F80E49" w:rsidRPr="00D87BD0">
        <w:rPr>
          <w:rFonts w:cs="Arial"/>
          <w:sz w:val="22"/>
          <w:szCs w:val="22"/>
        </w:rPr>
        <w:t>-IM</w:t>
      </w:r>
      <w:r w:rsidR="001D7E2D" w:rsidRPr="00D87BD0">
        <w:rPr>
          <w:rFonts w:cs="Arial"/>
          <w:sz w:val="22"/>
          <w:szCs w:val="22"/>
        </w:rPr>
        <w:t>-MS</w:t>
      </w:r>
      <w:r w:rsidR="001D7E2D" w:rsidRPr="00D87BD0">
        <w:rPr>
          <w:rFonts w:cs="Arial"/>
          <w:sz w:val="22"/>
          <w:szCs w:val="22"/>
          <w:vertAlign w:val="superscript"/>
        </w:rPr>
        <w:t>E</w:t>
      </w:r>
      <w:r w:rsidR="001D7E2D" w:rsidRPr="00D87BD0">
        <w:rPr>
          <w:rFonts w:cs="Arial"/>
          <w:sz w:val="22"/>
          <w:szCs w:val="22"/>
        </w:rPr>
        <w:t xml:space="preserve"> </w:t>
      </w:r>
      <w:r w:rsidR="00A926F8" w:rsidRPr="00D87BD0">
        <w:rPr>
          <w:rFonts w:cs="Arial"/>
          <w:sz w:val="22"/>
          <w:szCs w:val="22"/>
        </w:rPr>
        <w:t>data</w:t>
      </w:r>
      <w:r w:rsidR="001D7E2D" w:rsidRPr="00D87BD0">
        <w:rPr>
          <w:rFonts w:cs="Arial"/>
          <w:sz w:val="22"/>
          <w:szCs w:val="22"/>
        </w:rPr>
        <w:t>.</w:t>
      </w:r>
      <w:r w:rsidR="00C17051" w:rsidRPr="00D87BD0">
        <w:rPr>
          <w:rFonts w:cs="Arial"/>
          <w:sz w:val="22"/>
          <w:szCs w:val="22"/>
        </w:rPr>
        <w:t xml:space="preserve"> In short, the data were first divided into bins based on their</w:t>
      </w:r>
      <w:r w:rsidR="0016603E" w:rsidRPr="00D87BD0">
        <w:rPr>
          <w:rFonts w:cs="Arial"/>
          <w:sz w:val="22"/>
          <w:szCs w:val="22"/>
        </w:rPr>
        <w:t xml:space="preserve"> mass-to-charge ratio</w:t>
      </w:r>
      <w:r w:rsidR="00322FDF" w:rsidRPr="00D87BD0">
        <w:rPr>
          <w:rFonts w:cs="Arial"/>
          <w:sz w:val="22"/>
          <w:szCs w:val="22"/>
        </w:rPr>
        <w:t xml:space="preserve"> (</w:t>
      </w:r>
      <w:r w:rsidR="0016603E" w:rsidRPr="00D87BD0">
        <w:rPr>
          <w:rFonts w:cs="Arial"/>
          <w:i/>
          <w:sz w:val="22"/>
          <w:szCs w:val="22"/>
        </w:rPr>
        <w:t>m/z</w:t>
      </w:r>
      <w:r w:rsidR="00322FDF" w:rsidRPr="00D87BD0">
        <w:rPr>
          <w:rFonts w:cs="Arial"/>
          <w:sz w:val="22"/>
          <w:szCs w:val="22"/>
        </w:rPr>
        <w:t>).</w:t>
      </w:r>
      <w:r w:rsidR="0016603E" w:rsidRPr="00D87BD0">
        <w:rPr>
          <w:rFonts w:cs="Arial"/>
          <w:sz w:val="22"/>
          <w:szCs w:val="22"/>
        </w:rPr>
        <w:t xml:space="preserve"> In order to avoid boundary effect</w:t>
      </w:r>
      <w:r w:rsidR="000F75FB" w:rsidRPr="00D87BD0">
        <w:rPr>
          <w:rFonts w:cs="Arial"/>
          <w:sz w:val="22"/>
          <w:szCs w:val="22"/>
        </w:rPr>
        <w:t>s</w:t>
      </w:r>
      <w:r w:rsidR="0016603E" w:rsidRPr="00D87BD0">
        <w:rPr>
          <w:rFonts w:cs="Arial"/>
          <w:sz w:val="22"/>
          <w:szCs w:val="22"/>
        </w:rPr>
        <w:t xml:space="preserve"> due to arbitrary splitting, </w:t>
      </w:r>
      <w:r w:rsidR="000F75FB" w:rsidRPr="00D87BD0">
        <w:rPr>
          <w:rFonts w:cs="Arial"/>
          <w:sz w:val="22"/>
          <w:szCs w:val="22"/>
        </w:rPr>
        <w:t xml:space="preserve">pre-set bins </w:t>
      </w:r>
      <w:r w:rsidR="00EC1B50" w:rsidRPr="00D87BD0">
        <w:rPr>
          <w:rFonts w:cs="Arial"/>
          <w:sz w:val="22"/>
          <w:szCs w:val="22"/>
        </w:rPr>
        <w:t xml:space="preserve">of 0.05 </w:t>
      </w:r>
      <w:r w:rsidR="00EC1B50" w:rsidRPr="00D87BD0">
        <w:rPr>
          <w:rFonts w:cs="Arial"/>
          <w:i/>
          <w:sz w:val="22"/>
          <w:szCs w:val="22"/>
        </w:rPr>
        <w:t>m/z</w:t>
      </w:r>
      <w:r w:rsidR="00EC1B50" w:rsidRPr="00D87BD0">
        <w:rPr>
          <w:rFonts w:cs="Arial"/>
          <w:sz w:val="22"/>
          <w:szCs w:val="22"/>
        </w:rPr>
        <w:t xml:space="preserve"> </w:t>
      </w:r>
      <w:r w:rsidR="000F75FB" w:rsidRPr="00D87BD0">
        <w:rPr>
          <w:rFonts w:cs="Arial"/>
          <w:sz w:val="22"/>
          <w:szCs w:val="22"/>
        </w:rPr>
        <w:t xml:space="preserve">were used which </w:t>
      </w:r>
      <w:r w:rsidR="0016603E" w:rsidRPr="00D87BD0">
        <w:rPr>
          <w:rFonts w:cs="Arial"/>
          <w:sz w:val="22"/>
          <w:szCs w:val="22"/>
        </w:rPr>
        <w:t>overlap</w:t>
      </w:r>
      <w:r w:rsidR="00EC1B50" w:rsidRPr="00D87BD0">
        <w:rPr>
          <w:rFonts w:cs="Arial"/>
          <w:sz w:val="22"/>
          <w:szCs w:val="22"/>
        </w:rPr>
        <w:t>ped</w:t>
      </w:r>
      <w:r w:rsidR="0016603E" w:rsidRPr="00D87BD0">
        <w:rPr>
          <w:rFonts w:cs="Arial"/>
          <w:sz w:val="22"/>
          <w:szCs w:val="22"/>
        </w:rPr>
        <w:t xml:space="preserve"> by </w:t>
      </w:r>
      <w:r w:rsidR="00EC1B50" w:rsidRPr="00D87BD0">
        <w:rPr>
          <w:rFonts w:cs="Arial"/>
          <w:sz w:val="22"/>
          <w:szCs w:val="22"/>
        </w:rPr>
        <w:t xml:space="preserve">0.025 </w:t>
      </w:r>
      <w:r w:rsidR="00EC1B50" w:rsidRPr="00D87BD0">
        <w:rPr>
          <w:rFonts w:cs="Arial"/>
          <w:i/>
          <w:sz w:val="22"/>
          <w:szCs w:val="22"/>
        </w:rPr>
        <w:t>m/z</w:t>
      </w:r>
      <w:r w:rsidR="00EC1B50" w:rsidRPr="00D87BD0">
        <w:rPr>
          <w:rFonts w:cs="Arial"/>
          <w:sz w:val="22"/>
          <w:szCs w:val="22"/>
        </w:rPr>
        <w:t xml:space="preserve"> on either side</w:t>
      </w:r>
      <w:r w:rsidR="0016603E" w:rsidRPr="00D87BD0">
        <w:rPr>
          <w:rFonts w:cs="Arial"/>
          <w:sz w:val="22"/>
          <w:szCs w:val="22"/>
        </w:rPr>
        <w:t xml:space="preserve">. For example, adjacent bins </w:t>
      </w:r>
      <w:r w:rsidR="00EC1B50" w:rsidRPr="00D87BD0">
        <w:rPr>
          <w:rFonts w:cs="Arial"/>
          <w:sz w:val="22"/>
          <w:szCs w:val="22"/>
        </w:rPr>
        <w:t>would be</w:t>
      </w:r>
      <w:r w:rsidR="0016603E" w:rsidRPr="00D87BD0">
        <w:rPr>
          <w:rFonts w:cs="Arial"/>
          <w:sz w:val="22"/>
          <w:szCs w:val="22"/>
        </w:rPr>
        <w:t xml:space="preserve"> </w:t>
      </w:r>
      <w:r w:rsidR="00EC1B50" w:rsidRPr="00D87BD0">
        <w:rPr>
          <w:rFonts w:cs="Arial"/>
          <w:sz w:val="22"/>
          <w:szCs w:val="22"/>
        </w:rPr>
        <w:t>7</w:t>
      </w:r>
      <w:r w:rsidR="0016603E" w:rsidRPr="00D87BD0">
        <w:rPr>
          <w:rFonts w:cs="Arial"/>
          <w:sz w:val="22"/>
          <w:szCs w:val="22"/>
        </w:rPr>
        <w:t>00.000</w:t>
      </w:r>
      <w:r w:rsidR="00E815BE" w:rsidRPr="00D87BD0">
        <w:rPr>
          <w:rFonts w:cs="Arial"/>
          <w:sz w:val="22"/>
          <w:szCs w:val="22"/>
        </w:rPr>
        <w:t>-</w:t>
      </w:r>
      <w:r w:rsidR="00EC1B50" w:rsidRPr="00D87BD0">
        <w:rPr>
          <w:rFonts w:cs="Arial"/>
          <w:sz w:val="22"/>
          <w:szCs w:val="22"/>
        </w:rPr>
        <w:t>7</w:t>
      </w:r>
      <w:r w:rsidR="0016603E" w:rsidRPr="00D87BD0">
        <w:rPr>
          <w:rFonts w:cs="Arial"/>
          <w:sz w:val="22"/>
          <w:szCs w:val="22"/>
        </w:rPr>
        <w:t xml:space="preserve">00.050 </w:t>
      </w:r>
      <w:r w:rsidR="0016603E" w:rsidRPr="00D87BD0">
        <w:rPr>
          <w:rFonts w:cs="Arial"/>
          <w:i/>
          <w:sz w:val="22"/>
          <w:szCs w:val="22"/>
        </w:rPr>
        <w:t>m/z</w:t>
      </w:r>
      <w:r w:rsidR="0016603E" w:rsidRPr="00D87BD0">
        <w:rPr>
          <w:rFonts w:cs="Arial"/>
          <w:sz w:val="22"/>
          <w:szCs w:val="22"/>
        </w:rPr>
        <w:t xml:space="preserve">, </w:t>
      </w:r>
      <w:r w:rsidR="00EC1B50" w:rsidRPr="00D87BD0">
        <w:rPr>
          <w:rFonts w:cs="Arial"/>
          <w:sz w:val="22"/>
          <w:szCs w:val="22"/>
        </w:rPr>
        <w:t>7</w:t>
      </w:r>
      <w:r w:rsidR="0016603E" w:rsidRPr="00D87BD0">
        <w:rPr>
          <w:rFonts w:cs="Arial"/>
          <w:sz w:val="22"/>
          <w:szCs w:val="22"/>
        </w:rPr>
        <w:t>00.025</w:t>
      </w:r>
      <w:r w:rsidR="00E815BE" w:rsidRPr="00D87BD0">
        <w:rPr>
          <w:rFonts w:cs="Arial"/>
          <w:sz w:val="22"/>
          <w:szCs w:val="22"/>
        </w:rPr>
        <w:t>-</w:t>
      </w:r>
      <w:r w:rsidR="00EC1B50" w:rsidRPr="00D87BD0">
        <w:rPr>
          <w:rFonts w:cs="Arial"/>
          <w:sz w:val="22"/>
          <w:szCs w:val="22"/>
        </w:rPr>
        <w:t>7</w:t>
      </w:r>
      <w:r w:rsidR="0016603E" w:rsidRPr="00D87BD0">
        <w:rPr>
          <w:rFonts w:cs="Arial"/>
          <w:sz w:val="22"/>
          <w:szCs w:val="22"/>
        </w:rPr>
        <w:t xml:space="preserve">00.075 </w:t>
      </w:r>
      <w:r w:rsidR="0016603E" w:rsidRPr="00D87BD0">
        <w:rPr>
          <w:rFonts w:cs="Arial"/>
          <w:i/>
          <w:sz w:val="22"/>
          <w:szCs w:val="22"/>
        </w:rPr>
        <w:t>m/z</w:t>
      </w:r>
      <w:r w:rsidR="0016603E" w:rsidRPr="00D87BD0">
        <w:rPr>
          <w:rFonts w:cs="Arial"/>
          <w:sz w:val="22"/>
          <w:szCs w:val="22"/>
        </w:rPr>
        <w:t xml:space="preserve">, </w:t>
      </w:r>
      <w:r w:rsidR="00EC1B50" w:rsidRPr="00D87BD0">
        <w:rPr>
          <w:rFonts w:cs="Arial"/>
          <w:sz w:val="22"/>
          <w:szCs w:val="22"/>
        </w:rPr>
        <w:t>7</w:t>
      </w:r>
      <w:r w:rsidR="0016603E" w:rsidRPr="00D87BD0">
        <w:rPr>
          <w:rFonts w:cs="Arial"/>
          <w:sz w:val="22"/>
          <w:szCs w:val="22"/>
        </w:rPr>
        <w:t>00.050</w:t>
      </w:r>
      <w:r w:rsidR="00E815BE" w:rsidRPr="00D87BD0">
        <w:rPr>
          <w:rFonts w:cs="Arial"/>
          <w:sz w:val="22"/>
          <w:szCs w:val="22"/>
        </w:rPr>
        <w:t>-</w:t>
      </w:r>
      <w:r w:rsidR="00EC1B50" w:rsidRPr="00D87BD0">
        <w:rPr>
          <w:rFonts w:cs="Arial"/>
          <w:sz w:val="22"/>
          <w:szCs w:val="22"/>
        </w:rPr>
        <w:t>7</w:t>
      </w:r>
      <w:r w:rsidR="0016603E" w:rsidRPr="00D87BD0">
        <w:rPr>
          <w:rFonts w:cs="Arial"/>
          <w:sz w:val="22"/>
          <w:szCs w:val="22"/>
        </w:rPr>
        <w:t xml:space="preserve">00.100 </w:t>
      </w:r>
      <w:r w:rsidR="0016603E" w:rsidRPr="00D87BD0">
        <w:rPr>
          <w:rFonts w:cs="Arial"/>
          <w:i/>
          <w:sz w:val="22"/>
          <w:szCs w:val="22"/>
        </w:rPr>
        <w:t>m/z</w:t>
      </w:r>
      <w:r w:rsidR="0016603E" w:rsidRPr="00D87BD0">
        <w:rPr>
          <w:rFonts w:cs="Arial"/>
          <w:sz w:val="22"/>
          <w:szCs w:val="22"/>
        </w:rPr>
        <w:t>, etc. Thus, each ion appears twice in two neighbouring bins.</w:t>
      </w:r>
      <w:r w:rsidR="00A33125" w:rsidRPr="00D87BD0">
        <w:rPr>
          <w:rFonts w:cs="Arial"/>
          <w:sz w:val="22"/>
          <w:szCs w:val="22"/>
        </w:rPr>
        <w:t xml:space="preserve"> Following this, the ions </w:t>
      </w:r>
      <w:r w:rsidR="00F555B0" w:rsidRPr="00D87BD0">
        <w:rPr>
          <w:rFonts w:cs="Arial"/>
          <w:sz w:val="22"/>
          <w:szCs w:val="22"/>
        </w:rPr>
        <w:t>we</w:t>
      </w:r>
      <w:r w:rsidR="00A33125" w:rsidRPr="00D87BD0">
        <w:rPr>
          <w:rFonts w:cs="Arial"/>
          <w:sz w:val="22"/>
          <w:szCs w:val="22"/>
        </w:rPr>
        <w:t xml:space="preserve">re aligned within each bin based on the Euclidian distance between </w:t>
      </w:r>
      <w:r w:rsidR="00F555B0" w:rsidRPr="00D87BD0">
        <w:rPr>
          <w:rFonts w:cs="Arial"/>
          <w:sz w:val="22"/>
          <w:szCs w:val="22"/>
        </w:rPr>
        <w:t>every</w:t>
      </w:r>
      <w:r w:rsidR="00A33125" w:rsidRPr="00D87BD0">
        <w:rPr>
          <w:rFonts w:cs="Arial"/>
          <w:sz w:val="22"/>
          <w:szCs w:val="22"/>
        </w:rPr>
        <w:t xml:space="preserve"> ion pair. </w:t>
      </w:r>
      <w:r w:rsidR="005D7F57" w:rsidRPr="00D87BD0">
        <w:rPr>
          <w:rFonts w:cs="Arial"/>
          <w:sz w:val="22"/>
          <w:szCs w:val="22"/>
        </w:rPr>
        <w:t xml:space="preserve">The distance between any two ions </w:t>
      </w:r>
      <w:r w:rsidR="00F555B0" w:rsidRPr="00D87BD0">
        <w:rPr>
          <w:rFonts w:cs="Arial"/>
          <w:sz w:val="22"/>
          <w:szCs w:val="22"/>
        </w:rPr>
        <w:t>within</w:t>
      </w:r>
      <w:r w:rsidR="005D7F57" w:rsidRPr="00D87BD0">
        <w:rPr>
          <w:rFonts w:cs="Arial"/>
          <w:sz w:val="22"/>
          <w:szCs w:val="22"/>
        </w:rPr>
        <w:t xml:space="preserve"> the same spectrum was assigned to infinity t</w:t>
      </w:r>
      <w:r w:rsidR="0016603E" w:rsidRPr="00D87BD0">
        <w:rPr>
          <w:rFonts w:cs="Arial"/>
          <w:sz w:val="22"/>
          <w:szCs w:val="22"/>
        </w:rPr>
        <w:t xml:space="preserve">o avoid grouping </w:t>
      </w:r>
      <w:r w:rsidR="005D7F57" w:rsidRPr="00D87BD0">
        <w:rPr>
          <w:rFonts w:cs="Arial"/>
          <w:sz w:val="22"/>
          <w:szCs w:val="22"/>
        </w:rPr>
        <w:t xml:space="preserve">together </w:t>
      </w:r>
      <w:r w:rsidR="0016603E" w:rsidRPr="00D87BD0">
        <w:rPr>
          <w:rFonts w:cs="Arial"/>
          <w:sz w:val="22"/>
          <w:szCs w:val="22"/>
        </w:rPr>
        <w:t>ions originating from the same sample</w:t>
      </w:r>
      <w:r w:rsidR="005D7F57" w:rsidRPr="00D87BD0">
        <w:rPr>
          <w:rFonts w:cs="Arial"/>
          <w:sz w:val="22"/>
          <w:szCs w:val="22"/>
        </w:rPr>
        <w:t>.</w:t>
      </w:r>
      <w:r w:rsidR="0016603E" w:rsidRPr="00D87BD0">
        <w:rPr>
          <w:rFonts w:cs="Arial"/>
          <w:sz w:val="22"/>
          <w:szCs w:val="22"/>
        </w:rPr>
        <w:t xml:space="preserve"> </w:t>
      </w:r>
      <w:r w:rsidR="00F555B0" w:rsidRPr="00D87BD0">
        <w:rPr>
          <w:rFonts w:cs="Arial"/>
          <w:sz w:val="22"/>
          <w:szCs w:val="22"/>
        </w:rPr>
        <w:t xml:space="preserve">An average hierarchical clustering analysis was then performed on the </w:t>
      </w:r>
      <w:r w:rsidR="0016603E" w:rsidRPr="00D87BD0">
        <w:rPr>
          <w:rFonts w:cs="Arial"/>
          <w:sz w:val="22"/>
          <w:szCs w:val="22"/>
        </w:rPr>
        <w:t>distance values</w:t>
      </w:r>
      <w:r w:rsidR="005248A2" w:rsidRPr="00D87BD0">
        <w:rPr>
          <w:rFonts w:cs="Arial"/>
          <w:sz w:val="22"/>
          <w:szCs w:val="22"/>
        </w:rPr>
        <w:t xml:space="preserve">, resulting in </w:t>
      </w:r>
      <w:r w:rsidR="0016603E" w:rsidRPr="00D87BD0">
        <w:rPr>
          <w:rFonts w:cs="Arial"/>
          <w:sz w:val="22"/>
          <w:szCs w:val="22"/>
        </w:rPr>
        <w:t>cluster</w:t>
      </w:r>
      <w:r w:rsidR="005248A2" w:rsidRPr="00D87BD0">
        <w:rPr>
          <w:rFonts w:cs="Arial"/>
          <w:sz w:val="22"/>
          <w:szCs w:val="22"/>
        </w:rPr>
        <w:t>s</w:t>
      </w:r>
      <w:r w:rsidR="0016603E" w:rsidRPr="00D87BD0">
        <w:rPr>
          <w:rFonts w:cs="Arial"/>
          <w:sz w:val="22"/>
          <w:szCs w:val="22"/>
        </w:rPr>
        <w:t xml:space="preserve"> </w:t>
      </w:r>
      <w:r w:rsidR="005248A2" w:rsidRPr="00D87BD0">
        <w:rPr>
          <w:rFonts w:cs="Arial"/>
          <w:sz w:val="22"/>
          <w:szCs w:val="22"/>
        </w:rPr>
        <w:t xml:space="preserve">of ions with similar </w:t>
      </w:r>
      <w:r w:rsidR="005248A2" w:rsidRPr="00D87BD0">
        <w:rPr>
          <w:rFonts w:cs="Arial"/>
          <w:i/>
          <w:sz w:val="22"/>
          <w:szCs w:val="22"/>
        </w:rPr>
        <w:t>m/z</w:t>
      </w:r>
      <w:r w:rsidR="005248A2" w:rsidRPr="00D87BD0">
        <w:rPr>
          <w:rFonts w:cs="Arial"/>
          <w:sz w:val="22"/>
          <w:szCs w:val="22"/>
        </w:rPr>
        <w:t xml:space="preserve"> values.</w:t>
      </w:r>
      <w:r w:rsidR="00F47163" w:rsidRPr="00D87BD0">
        <w:rPr>
          <w:rFonts w:cs="Arial"/>
          <w:sz w:val="22"/>
          <w:szCs w:val="22"/>
        </w:rPr>
        <w:t xml:space="preserve"> Finally, all </w:t>
      </w:r>
      <w:r w:rsidR="0051647B" w:rsidRPr="00D87BD0">
        <w:rPr>
          <w:rFonts w:cs="Arial"/>
          <w:sz w:val="22"/>
          <w:szCs w:val="22"/>
        </w:rPr>
        <w:t xml:space="preserve">the </w:t>
      </w:r>
      <w:r w:rsidR="00F47163" w:rsidRPr="00D87BD0">
        <w:rPr>
          <w:rFonts w:cs="Arial"/>
          <w:sz w:val="22"/>
          <w:szCs w:val="22"/>
        </w:rPr>
        <w:t>overlapping bins</w:t>
      </w:r>
      <w:r w:rsidR="0051647B" w:rsidRPr="00D87BD0">
        <w:rPr>
          <w:rFonts w:cs="Arial"/>
          <w:sz w:val="22"/>
          <w:szCs w:val="22"/>
        </w:rPr>
        <w:t xml:space="preserve"> were checked</w:t>
      </w:r>
      <w:r w:rsidR="00F47163" w:rsidRPr="00D87BD0">
        <w:rPr>
          <w:rFonts w:cs="Arial"/>
          <w:sz w:val="22"/>
          <w:szCs w:val="22"/>
        </w:rPr>
        <w:t xml:space="preserve"> for ion clusters that </w:t>
      </w:r>
      <w:r w:rsidR="0051647B" w:rsidRPr="00D87BD0">
        <w:rPr>
          <w:rFonts w:cs="Arial"/>
          <w:sz w:val="22"/>
          <w:szCs w:val="22"/>
        </w:rPr>
        <w:t>straddled consecutive bins, as this would result in such an ion being split up</w:t>
      </w:r>
      <w:r w:rsidR="008200D4" w:rsidRPr="00D87BD0">
        <w:rPr>
          <w:rFonts w:cs="Arial"/>
          <w:sz w:val="22"/>
          <w:szCs w:val="22"/>
        </w:rPr>
        <w:t xml:space="preserve"> in the final alignment file</w:t>
      </w:r>
      <w:r w:rsidR="006927A2" w:rsidRPr="00D87BD0">
        <w:rPr>
          <w:rFonts w:cs="Arial"/>
          <w:sz w:val="22"/>
          <w:szCs w:val="22"/>
        </w:rPr>
        <w:t xml:space="preserve">. </w:t>
      </w:r>
      <w:r w:rsidR="005C7BCF" w:rsidRPr="00D87BD0">
        <w:rPr>
          <w:rFonts w:cs="Arial"/>
          <w:sz w:val="22"/>
          <w:szCs w:val="22"/>
        </w:rPr>
        <w:t>The algorithm automatically resolves such cases by combining the two halves of the ion cluster in one bin and removing it from the other</w:t>
      </w:r>
      <w:r w:rsidR="0051647B" w:rsidRPr="00D87BD0">
        <w:rPr>
          <w:rFonts w:cs="Arial"/>
          <w:sz w:val="22"/>
          <w:szCs w:val="22"/>
        </w:rPr>
        <w:t xml:space="preserve"> (see </w:t>
      </w:r>
      <w:r w:rsidR="0072129A" w:rsidRPr="00D87BD0">
        <w:rPr>
          <w:rFonts w:cs="Arial"/>
          <w:sz w:val="22"/>
          <w:szCs w:val="22"/>
        </w:rPr>
        <w:t>Yang 2016</w:t>
      </w:r>
      <w:r w:rsidR="0051647B" w:rsidRPr="00D87BD0">
        <w:rPr>
          <w:rFonts w:cs="Arial"/>
          <w:sz w:val="22"/>
          <w:szCs w:val="22"/>
        </w:rPr>
        <w:t xml:space="preserve"> for details and examples)</w:t>
      </w:r>
      <w:r w:rsidR="00C13880" w:rsidRPr="00D87BD0">
        <w:rPr>
          <w:rFonts w:cs="Arial"/>
          <w:sz w:val="22"/>
          <w:szCs w:val="22"/>
        </w:rPr>
        <w:t>.</w:t>
      </w:r>
    </w:p>
    <w:p w14:paraId="29C4E77D" w14:textId="632C608B" w:rsidR="00DA4E99" w:rsidRPr="00D87BD0" w:rsidRDefault="001727FD" w:rsidP="0047340A">
      <w:pPr>
        <w:spacing w:line="276" w:lineRule="auto"/>
        <w:rPr>
          <w:rFonts w:cs="Arial"/>
          <w:sz w:val="22"/>
          <w:szCs w:val="22"/>
        </w:rPr>
      </w:pPr>
      <w:r w:rsidRPr="00D87BD0">
        <w:rPr>
          <w:rFonts w:cs="Arial"/>
          <w:sz w:val="22"/>
          <w:szCs w:val="22"/>
        </w:rPr>
        <w:t xml:space="preserve">After alignment, individual “background” spectra were subtracted from the associated “sample” spectra, with negative values changed to zero. Subsequently, an average spectrum from all of the blank sample runs was calculated, and this was also subtracted from each of the “sample” spectra. In this way all possible background signals from the instrument or introduced during sample preparation and storage </w:t>
      </w:r>
      <w:r w:rsidR="00B83DAB" w:rsidRPr="00D87BD0">
        <w:rPr>
          <w:rFonts w:cs="Arial"/>
          <w:sz w:val="22"/>
          <w:szCs w:val="22"/>
        </w:rPr>
        <w:t>were excluded from the results.</w:t>
      </w:r>
      <w:r w:rsidR="00DA4E99" w:rsidRPr="00D87BD0">
        <w:rPr>
          <w:rFonts w:cs="Arial"/>
          <w:sz w:val="22"/>
          <w:szCs w:val="22"/>
        </w:rPr>
        <w:t xml:space="preserve"> </w:t>
      </w:r>
      <w:r w:rsidRPr="00D87BD0">
        <w:rPr>
          <w:rFonts w:cs="Arial"/>
          <w:sz w:val="22"/>
          <w:szCs w:val="22"/>
        </w:rPr>
        <w:t>For each sample the average number of counts of each ion were then calculated based on the triplicate injections, with ions present in only one out of th</w:t>
      </w:r>
      <w:r w:rsidR="00DA4E99" w:rsidRPr="00D87BD0">
        <w:rPr>
          <w:rFonts w:cs="Arial"/>
          <w:sz w:val="22"/>
          <w:szCs w:val="22"/>
        </w:rPr>
        <w:t>ree runs removed from the list.</w:t>
      </w:r>
      <w:r w:rsidR="00606D0A" w:rsidRPr="00D87BD0">
        <w:rPr>
          <w:rFonts w:cs="Arial"/>
          <w:sz w:val="22"/>
          <w:szCs w:val="22"/>
        </w:rPr>
        <w:t xml:space="preserve"> Repeatability of the measurements was high, with </w:t>
      </w:r>
      <w:r w:rsidR="005F4453" w:rsidRPr="00D87BD0">
        <w:rPr>
          <w:rFonts w:cs="Arial"/>
          <w:sz w:val="22"/>
          <w:szCs w:val="22"/>
        </w:rPr>
        <w:t xml:space="preserve">a coefficient of variation of </w:t>
      </w:r>
      <w:r w:rsidR="00B31BEB" w:rsidRPr="00D87BD0">
        <w:rPr>
          <w:rFonts w:cs="Arial"/>
          <w:sz w:val="22"/>
          <w:szCs w:val="22"/>
        </w:rPr>
        <w:t xml:space="preserve">less than </w:t>
      </w:r>
      <w:r w:rsidR="00607BA0" w:rsidRPr="00D87BD0">
        <w:rPr>
          <w:rFonts w:cs="Arial"/>
          <w:sz w:val="22"/>
          <w:szCs w:val="22"/>
        </w:rPr>
        <w:t>3% across all ions.</w:t>
      </w:r>
    </w:p>
    <w:p w14:paraId="6D05C7EF" w14:textId="5B916950" w:rsidR="0047340A" w:rsidRPr="00D87BD0" w:rsidRDefault="0047340A" w:rsidP="0047340A">
      <w:pPr>
        <w:spacing w:after="0" w:line="276" w:lineRule="auto"/>
        <w:rPr>
          <w:rFonts w:cs="Arial"/>
          <w:b/>
          <w:sz w:val="22"/>
          <w:szCs w:val="22"/>
        </w:rPr>
      </w:pPr>
      <w:r w:rsidRPr="00D87BD0">
        <w:rPr>
          <w:rFonts w:cs="Arial"/>
          <w:b/>
          <w:sz w:val="22"/>
          <w:szCs w:val="22"/>
        </w:rPr>
        <w:t>3.5 Feature selection, quality control and data normalisation</w:t>
      </w:r>
    </w:p>
    <w:p w14:paraId="25EFB19D" w14:textId="26187166" w:rsidR="002F188E" w:rsidRPr="00D87BD0" w:rsidRDefault="002F188E" w:rsidP="0047340A">
      <w:pPr>
        <w:spacing w:line="276" w:lineRule="auto"/>
        <w:rPr>
          <w:rFonts w:cs="Arial"/>
          <w:color w:val="FF0000"/>
          <w:sz w:val="22"/>
          <w:szCs w:val="22"/>
        </w:rPr>
      </w:pPr>
      <w:r w:rsidRPr="00D87BD0">
        <w:rPr>
          <w:rFonts w:cs="Arial"/>
          <w:sz w:val="22"/>
          <w:szCs w:val="22"/>
        </w:rPr>
        <w:t xml:space="preserve">A combined total of 10235 individual ions (6377 positive and 3858 negative) were detected in the samples. However, around 80% of these ions were present in only one or a few of the samples, but absent or below the limit of detection in the rest. Only 32 ions were consistently detected in all </w:t>
      </w:r>
      <w:r w:rsidRPr="00D87BD0">
        <w:rPr>
          <w:rFonts w:cs="Arial"/>
          <w:sz w:val="22"/>
          <w:szCs w:val="22"/>
        </w:rPr>
        <w:lastRenderedPageBreak/>
        <w:t>samples, 141 ions in 90% or more of the samples, 214 ions in 80% or more, 291 ions in 60% or more, etcetera</w:t>
      </w:r>
      <w:r w:rsidR="00621CE6" w:rsidRPr="00D87BD0">
        <w:rPr>
          <w:rFonts w:cs="Arial"/>
          <w:sz w:val="22"/>
          <w:szCs w:val="22"/>
        </w:rPr>
        <w:t xml:space="preserve"> in a sigmoidal fashion</w:t>
      </w:r>
      <w:r w:rsidRPr="00D87BD0">
        <w:rPr>
          <w:rFonts w:cs="Arial"/>
          <w:sz w:val="22"/>
          <w:szCs w:val="22"/>
        </w:rPr>
        <w:t xml:space="preserve">. Plotting the detection rate versus the abundance of each individual ion showed that the two were unrelated. This distribution presents something of a dilemma in terms of feature selection, since it is unclear which of these low-abundance ions are actual lipids of interest, and which are simply the introduced contaminants and </w:t>
      </w:r>
      <w:r w:rsidR="00C0612D" w:rsidRPr="00D87BD0">
        <w:rPr>
          <w:rFonts w:cs="Arial"/>
          <w:sz w:val="22"/>
          <w:szCs w:val="22"/>
        </w:rPr>
        <w:t>‘</w:t>
      </w:r>
      <w:r w:rsidRPr="00D87BD0">
        <w:rPr>
          <w:rFonts w:cs="Arial"/>
          <w:sz w:val="22"/>
          <w:szCs w:val="22"/>
        </w:rPr>
        <w:t>random noise</w:t>
      </w:r>
      <w:r w:rsidR="00C0612D" w:rsidRPr="00D87BD0">
        <w:rPr>
          <w:rFonts w:cs="Arial"/>
          <w:sz w:val="22"/>
          <w:szCs w:val="22"/>
        </w:rPr>
        <w:t>’</w:t>
      </w:r>
      <w:r w:rsidRPr="00D87BD0">
        <w:rPr>
          <w:rFonts w:cs="Arial"/>
          <w:sz w:val="22"/>
          <w:szCs w:val="22"/>
        </w:rPr>
        <w:t xml:space="preserve"> seen in any untargeted MS analysis. Large amounts of “missing data” are also problematic for statistical analyses, which often require imputation of zero values, and for batch effect correction programmes such as </w:t>
      </w:r>
      <w:r w:rsidR="00EE4711" w:rsidRPr="00D87BD0">
        <w:rPr>
          <w:rFonts w:cs="Arial"/>
          <w:sz w:val="22"/>
          <w:szCs w:val="22"/>
        </w:rPr>
        <w:t xml:space="preserve">the widely used R script “ComBat” </w:t>
      </w:r>
      <w:r w:rsidR="00BB4141" w:rsidRPr="00D87BD0">
        <w:rPr>
          <w:rFonts w:cs="Arial"/>
          <w:sz w:val="22"/>
          <w:szCs w:val="22"/>
        </w:rPr>
        <w:t>(Johnson et al. 2007)</w:t>
      </w:r>
      <w:r w:rsidRPr="00D87BD0">
        <w:rPr>
          <w:rFonts w:cs="Arial"/>
          <w:sz w:val="22"/>
          <w:szCs w:val="22"/>
        </w:rPr>
        <w:t xml:space="preserve">. Hence, a cut-off of 60% detection rate was </w:t>
      </w:r>
      <w:r w:rsidR="00621CE6" w:rsidRPr="00D87BD0">
        <w:rPr>
          <w:rFonts w:cs="Arial"/>
          <w:sz w:val="22"/>
          <w:szCs w:val="22"/>
        </w:rPr>
        <w:t xml:space="preserve">selected based on the </w:t>
      </w:r>
      <w:r w:rsidR="001745BB" w:rsidRPr="00D87BD0">
        <w:rPr>
          <w:rFonts w:cs="Arial"/>
          <w:sz w:val="22"/>
          <w:szCs w:val="22"/>
        </w:rPr>
        <w:t>infl</w:t>
      </w:r>
      <w:r w:rsidR="00621CE6" w:rsidRPr="00D87BD0">
        <w:rPr>
          <w:rFonts w:cs="Arial"/>
          <w:sz w:val="22"/>
          <w:szCs w:val="22"/>
        </w:rPr>
        <w:t>e</w:t>
      </w:r>
      <w:r w:rsidR="001745BB" w:rsidRPr="00D87BD0">
        <w:rPr>
          <w:rFonts w:cs="Arial"/>
          <w:sz w:val="22"/>
          <w:szCs w:val="22"/>
        </w:rPr>
        <w:t>ction</w:t>
      </w:r>
      <w:r w:rsidR="00621CE6" w:rsidRPr="00D87BD0">
        <w:rPr>
          <w:rFonts w:cs="Arial"/>
          <w:sz w:val="22"/>
          <w:szCs w:val="22"/>
        </w:rPr>
        <w:t xml:space="preserve"> point </w:t>
      </w:r>
      <w:r w:rsidR="001745BB" w:rsidRPr="00D87BD0">
        <w:rPr>
          <w:rFonts w:cs="Arial"/>
          <w:sz w:val="22"/>
          <w:szCs w:val="22"/>
        </w:rPr>
        <w:t>of the curve,</w:t>
      </w:r>
      <w:r w:rsidRPr="00D87BD0">
        <w:rPr>
          <w:rFonts w:cs="Arial"/>
          <w:sz w:val="22"/>
          <w:szCs w:val="22"/>
        </w:rPr>
        <w:t xml:space="preserve"> which strikes a balance between inclusivity and statistical rigour. All ions with a lower rate of detection were eliminated from the final data set, irrespective of their abundance.</w:t>
      </w:r>
    </w:p>
    <w:p w14:paraId="4F94008C" w14:textId="77777777" w:rsidR="00EA226D" w:rsidRPr="00D87BD0" w:rsidRDefault="001727FD" w:rsidP="0047340A">
      <w:pPr>
        <w:spacing w:line="276" w:lineRule="auto"/>
        <w:rPr>
          <w:rFonts w:cs="Arial"/>
          <w:sz w:val="22"/>
          <w:szCs w:val="22"/>
        </w:rPr>
      </w:pPr>
      <w:r w:rsidRPr="00D87BD0">
        <w:rPr>
          <w:rFonts w:cs="Arial"/>
          <w:sz w:val="22"/>
          <w:szCs w:val="22"/>
        </w:rPr>
        <w:t>To account for changes in instrument performance over time, the pooled QC runs were examined for significant shifts (&gt;10%) in signal. One such shift was observed</w:t>
      </w:r>
      <w:r w:rsidR="00DA4E99" w:rsidRPr="00D87BD0">
        <w:rPr>
          <w:rFonts w:cs="Arial"/>
          <w:sz w:val="22"/>
          <w:szCs w:val="22"/>
        </w:rPr>
        <w:t xml:space="preserve"> when</w:t>
      </w:r>
      <w:r w:rsidRPr="00D87BD0">
        <w:rPr>
          <w:rFonts w:cs="Arial"/>
          <w:sz w:val="22"/>
          <w:szCs w:val="22"/>
        </w:rPr>
        <w:t xml:space="preserve"> </w:t>
      </w:r>
      <w:r w:rsidR="00DA4E99" w:rsidRPr="00D87BD0">
        <w:rPr>
          <w:rFonts w:cs="Arial"/>
          <w:sz w:val="22"/>
          <w:szCs w:val="22"/>
        </w:rPr>
        <w:t>an emergency shutdown resulted in</w:t>
      </w:r>
      <w:r w:rsidRPr="00D87BD0">
        <w:rPr>
          <w:rFonts w:cs="Arial"/>
          <w:sz w:val="22"/>
          <w:szCs w:val="22"/>
        </w:rPr>
        <w:t xml:space="preserve"> change in the ratio between positive and negative ionisation</w:t>
      </w:r>
      <w:r w:rsidR="00DA4E99" w:rsidRPr="00D87BD0">
        <w:rPr>
          <w:rFonts w:cs="Arial"/>
          <w:sz w:val="22"/>
          <w:szCs w:val="22"/>
        </w:rPr>
        <w:t>.</w:t>
      </w:r>
      <w:r w:rsidRPr="00D87BD0">
        <w:rPr>
          <w:rFonts w:cs="Arial"/>
          <w:sz w:val="22"/>
          <w:szCs w:val="22"/>
        </w:rPr>
        <w:t xml:space="preserve"> </w:t>
      </w:r>
      <w:r w:rsidR="00F423A4" w:rsidRPr="00D87BD0">
        <w:rPr>
          <w:rFonts w:cs="Arial"/>
          <w:sz w:val="22"/>
          <w:szCs w:val="22"/>
        </w:rPr>
        <w:t xml:space="preserve">To control for the introduction of batch effects due to </w:t>
      </w:r>
      <w:r w:rsidR="00DA4E99" w:rsidRPr="00D87BD0">
        <w:rPr>
          <w:rFonts w:cs="Arial"/>
          <w:sz w:val="22"/>
          <w:szCs w:val="22"/>
        </w:rPr>
        <w:t xml:space="preserve">instrument performance and </w:t>
      </w:r>
      <w:r w:rsidR="00F423A4" w:rsidRPr="00D87BD0">
        <w:rPr>
          <w:rFonts w:cs="Arial"/>
          <w:sz w:val="22"/>
          <w:szCs w:val="22"/>
        </w:rPr>
        <w:t xml:space="preserve">known differences in sample work-up dates, all results were </w:t>
      </w:r>
      <w:r w:rsidR="00B94554" w:rsidRPr="00D87BD0">
        <w:rPr>
          <w:rFonts w:cs="Arial"/>
          <w:sz w:val="22"/>
          <w:szCs w:val="22"/>
        </w:rPr>
        <w:t>processed</w:t>
      </w:r>
      <w:r w:rsidR="00F423A4" w:rsidRPr="00D87BD0">
        <w:rPr>
          <w:rFonts w:cs="Arial"/>
          <w:sz w:val="22"/>
          <w:szCs w:val="22"/>
        </w:rPr>
        <w:t xml:space="preserve"> through ComBat using log transformed data and imputation of a small constant value (1/5 of the smallest overall value) for any missing data.</w:t>
      </w:r>
    </w:p>
    <w:p w14:paraId="0D37DAF3" w14:textId="1A10C034" w:rsidR="001727FD" w:rsidRPr="00D87BD0" w:rsidRDefault="00004EC3" w:rsidP="0047340A">
      <w:pPr>
        <w:spacing w:line="276" w:lineRule="auto"/>
        <w:rPr>
          <w:rFonts w:cs="Arial"/>
          <w:sz w:val="22"/>
          <w:szCs w:val="22"/>
        </w:rPr>
      </w:pPr>
      <w:r w:rsidRPr="00D87BD0">
        <w:rPr>
          <w:rFonts w:cs="Arial"/>
          <w:sz w:val="22"/>
          <w:szCs w:val="22"/>
        </w:rPr>
        <w:t>A</w:t>
      </w:r>
      <w:r w:rsidR="00186EBD" w:rsidRPr="00D87BD0">
        <w:rPr>
          <w:rFonts w:cs="Arial"/>
          <w:sz w:val="22"/>
          <w:szCs w:val="22"/>
        </w:rPr>
        <w:t>fter QC a</w:t>
      </w:r>
      <w:r w:rsidR="001727FD" w:rsidRPr="00D87BD0">
        <w:rPr>
          <w:rFonts w:cs="Arial"/>
          <w:sz w:val="22"/>
          <w:szCs w:val="22"/>
        </w:rPr>
        <w:t>ll ions were normalised to the signal intensity of the DMPC internal standard and the original sample volume</w:t>
      </w:r>
      <w:r w:rsidR="00B205BD" w:rsidRPr="00D87BD0">
        <w:rPr>
          <w:rFonts w:cs="Arial"/>
          <w:sz w:val="22"/>
          <w:szCs w:val="22"/>
        </w:rPr>
        <w:t xml:space="preserve"> to obtain</w:t>
      </w:r>
      <w:r w:rsidR="001727FD" w:rsidRPr="00D87BD0">
        <w:rPr>
          <w:rFonts w:cs="Arial"/>
          <w:sz w:val="22"/>
          <w:szCs w:val="22"/>
        </w:rPr>
        <w:t xml:space="preserve"> </w:t>
      </w:r>
      <w:r w:rsidR="00B5126B" w:rsidRPr="00D87BD0">
        <w:rPr>
          <w:rFonts w:cs="Arial"/>
          <w:sz w:val="22"/>
          <w:szCs w:val="22"/>
        </w:rPr>
        <w:t xml:space="preserve">semi-quantitative </w:t>
      </w:r>
      <w:r w:rsidR="00B205BD" w:rsidRPr="00D87BD0">
        <w:rPr>
          <w:rFonts w:cs="Arial"/>
          <w:sz w:val="22"/>
          <w:szCs w:val="22"/>
        </w:rPr>
        <w:t xml:space="preserve">data </w:t>
      </w:r>
      <w:r w:rsidR="00B5126B" w:rsidRPr="00D87BD0">
        <w:rPr>
          <w:rFonts w:cs="Arial"/>
          <w:sz w:val="22"/>
          <w:szCs w:val="22"/>
        </w:rPr>
        <w:t>(</w:t>
      </w:r>
      <w:r w:rsidR="001727FD" w:rsidRPr="00D87BD0">
        <w:rPr>
          <w:rFonts w:cs="Arial"/>
          <w:sz w:val="22"/>
          <w:szCs w:val="22"/>
        </w:rPr>
        <w:t>µM relative to DMPC)</w:t>
      </w:r>
      <w:r w:rsidR="00B205BD" w:rsidRPr="00D87BD0">
        <w:rPr>
          <w:rFonts w:cs="Arial"/>
          <w:sz w:val="22"/>
          <w:szCs w:val="22"/>
        </w:rPr>
        <w:t>. This step a</w:t>
      </w:r>
      <w:r w:rsidR="001727FD" w:rsidRPr="00D87BD0">
        <w:rPr>
          <w:rFonts w:cs="Arial"/>
          <w:sz w:val="22"/>
          <w:szCs w:val="22"/>
        </w:rPr>
        <w:t>ssume</w:t>
      </w:r>
      <w:r w:rsidR="00B205BD" w:rsidRPr="00D87BD0">
        <w:rPr>
          <w:rFonts w:cs="Arial"/>
          <w:sz w:val="22"/>
          <w:szCs w:val="22"/>
        </w:rPr>
        <w:t>s</w:t>
      </w:r>
      <w:r w:rsidR="001727FD" w:rsidRPr="00D87BD0">
        <w:rPr>
          <w:rFonts w:cs="Arial"/>
          <w:sz w:val="22"/>
          <w:szCs w:val="22"/>
        </w:rPr>
        <w:t xml:space="preserve"> comparable ionisation potential within the mass spectrometer</w:t>
      </w:r>
      <w:r w:rsidR="00B205BD" w:rsidRPr="00D87BD0">
        <w:rPr>
          <w:rFonts w:cs="Arial"/>
          <w:sz w:val="22"/>
          <w:szCs w:val="22"/>
        </w:rPr>
        <w:t>, and a</w:t>
      </w:r>
      <w:r w:rsidR="001727FD" w:rsidRPr="00D87BD0">
        <w:rPr>
          <w:rFonts w:cs="Arial"/>
          <w:sz w:val="22"/>
          <w:szCs w:val="22"/>
        </w:rPr>
        <w:t xml:space="preserve"> comparison between DMPE and DMPC internal standard signals </w:t>
      </w:r>
      <w:r w:rsidR="00B5126B" w:rsidRPr="00D87BD0">
        <w:rPr>
          <w:rFonts w:cs="Arial"/>
          <w:sz w:val="22"/>
          <w:szCs w:val="22"/>
        </w:rPr>
        <w:t>across all the</w:t>
      </w:r>
      <w:r w:rsidR="001727FD" w:rsidRPr="00D87BD0">
        <w:rPr>
          <w:rFonts w:cs="Arial"/>
          <w:sz w:val="22"/>
          <w:szCs w:val="22"/>
        </w:rPr>
        <w:t xml:space="preserve"> samples showed no significant ion suppression effect</w:t>
      </w:r>
      <w:r w:rsidR="00B205BD" w:rsidRPr="00D87BD0">
        <w:rPr>
          <w:rFonts w:cs="Arial"/>
          <w:sz w:val="22"/>
          <w:szCs w:val="22"/>
        </w:rPr>
        <w:t>s</w:t>
      </w:r>
      <w:r w:rsidR="0004538D" w:rsidRPr="00D87BD0">
        <w:rPr>
          <w:rFonts w:cs="Arial"/>
          <w:sz w:val="22"/>
          <w:szCs w:val="22"/>
        </w:rPr>
        <w:t xml:space="preserve"> between the two</w:t>
      </w:r>
      <w:r w:rsidR="001727FD" w:rsidRPr="00D87BD0">
        <w:rPr>
          <w:rFonts w:cs="Arial"/>
          <w:sz w:val="22"/>
          <w:szCs w:val="22"/>
        </w:rPr>
        <w:t>.</w:t>
      </w:r>
      <w:r w:rsidR="009C3424" w:rsidRPr="00D87BD0">
        <w:rPr>
          <w:rFonts w:cs="Arial"/>
          <w:sz w:val="22"/>
          <w:szCs w:val="22"/>
        </w:rPr>
        <w:t xml:space="preserve"> </w:t>
      </w:r>
      <w:r w:rsidR="00B205BD" w:rsidRPr="00D87BD0">
        <w:rPr>
          <w:rFonts w:cs="Arial"/>
          <w:sz w:val="22"/>
          <w:szCs w:val="22"/>
        </w:rPr>
        <w:t>Since</w:t>
      </w:r>
      <w:r w:rsidR="009C3424" w:rsidRPr="00D87BD0">
        <w:rPr>
          <w:rFonts w:cs="Arial"/>
          <w:sz w:val="22"/>
          <w:szCs w:val="22"/>
        </w:rPr>
        <w:t xml:space="preserve"> biofluids</w:t>
      </w:r>
      <w:r w:rsidR="00B205BD" w:rsidRPr="00D87BD0">
        <w:rPr>
          <w:rFonts w:cs="Arial"/>
          <w:sz w:val="22"/>
          <w:szCs w:val="22"/>
        </w:rPr>
        <w:t>,</w:t>
      </w:r>
      <w:r w:rsidR="009C3424" w:rsidRPr="00D87BD0">
        <w:rPr>
          <w:rFonts w:cs="Arial"/>
          <w:sz w:val="22"/>
          <w:szCs w:val="22"/>
        </w:rPr>
        <w:t xml:space="preserve"> and particularly induced sputum</w:t>
      </w:r>
      <w:r w:rsidR="00B205BD" w:rsidRPr="00D87BD0">
        <w:rPr>
          <w:rFonts w:cs="Arial"/>
          <w:sz w:val="22"/>
          <w:szCs w:val="22"/>
        </w:rPr>
        <w:t>,</w:t>
      </w:r>
      <w:r w:rsidR="009C3424" w:rsidRPr="00D87BD0">
        <w:rPr>
          <w:rFonts w:cs="Arial"/>
          <w:sz w:val="22"/>
          <w:szCs w:val="22"/>
        </w:rPr>
        <w:t xml:space="preserve"> are subject to variable dilution of analytes during sampling and subsequent workup</w:t>
      </w:r>
      <w:r w:rsidR="00B205BD" w:rsidRPr="00D87BD0">
        <w:rPr>
          <w:rFonts w:cs="Arial"/>
          <w:sz w:val="22"/>
          <w:szCs w:val="22"/>
        </w:rPr>
        <w:t>, the</w:t>
      </w:r>
      <w:r w:rsidR="009C3424" w:rsidRPr="00D87BD0">
        <w:rPr>
          <w:rFonts w:cs="Arial"/>
          <w:sz w:val="22"/>
          <w:szCs w:val="22"/>
        </w:rPr>
        <w:t xml:space="preserve"> MS</w:t>
      </w:r>
      <w:r w:rsidR="00B205BD" w:rsidRPr="00D87BD0">
        <w:rPr>
          <w:rFonts w:cs="Arial"/>
          <w:sz w:val="22"/>
          <w:szCs w:val="22"/>
        </w:rPr>
        <w:t xml:space="preserve"> </w:t>
      </w:r>
      <w:r w:rsidR="009C3424" w:rsidRPr="00D87BD0">
        <w:rPr>
          <w:rFonts w:cs="Arial"/>
          <w:sz w:val="22"/>
          <w:szCs w:val="22"/>
        </w:rPr>
        <w:t xml:space="preserve">data </w:t>
      </w:r>
      <w:r w:rsidR="00B205BD" w:rsidRPr="00D87BD0">
        <w:rPr>
          <w:rFonts w:cs="Arial"/>
          <w:sz w:val="22"/>
          <w:szCs w:val="22"/>
        </w:rPr>
        <w:t xml:space="preserve">were also </w:t>
      </w:r>
      <w:r w:rsidR="00E937D6" w:rsidRPr="00D87BD0">
        <w:rPr>
          <w:rFonts w:cs="Arial"/>
          <w:sz w:val="22"/>
          <w:szCs w:val="22"/>
        </w:rPr>
        <w:t>represented</w:t>
      </w:r>
      <w:r w:rsidR="00B205BD" w:rsidRPr="00D87BD0">
        <w:rPr>
          <w:rFonts w:cs="Arial"/>
          <w:sz w:val="22"/>
          <w:szCs w:val="22"/>
        </w:rPr>
        <w:t xml:space="preserve"> as a fraction of the amount of dipalmitoyl-phosphatidylcholine (DPPC)</w:t>
      </w:r>
      <w:r w:rsidR="008905E9" w:rsidRPr="00D87BD0">
        <w:rPr>
          <w:rFonts w:cs="Arial"/>
          <w:sz w:val="22"/>
          <w:szCs w:val="22"/>
        </w:rPr>
        <w:t xml:space="preserve"> in each </w:t>
      </w:r>
      <w:r w:rsidR="004E2220" w:rsidRPr="00D87BD0">
        <w:rPr>
          <w:rFonts w:cs="Arial"/>
          <w:sz w:val="22"/>
          <w:szCs w:val="22"/>
        </w:rPr>
        <w:t xml:space="preserve">of the </w:t>
      </w:r>
      <w:r w:rsidR="008905E9" w:rsidRPr="00D87BD0">
        <w:rPr>
          <w:rFonts w:cs="Arial"/>
          <w:sz w:val="22"/>
          <w:szCs w:val="22"/>
        </w:rPr>
        <w:t>samples</w:t>
      </w:r>
      <w:r w:rsidR="00484315" w:rsidRPr="00D87BD0">
        <w:rPr>
          <w:rFonts w:cs="Arial"/>
          <w:sz w:val="22"/>
          <w:szCs w:val="22"/>
        </w:rPr>
        <w:t>. T</w:t>
      </w:r>
      <w:r w:rsidR="00B205BD" w:rsidRPr="00D87BD0">
        <w:rPr>
          <w:rFonts w:cs="Arial"/>
          <w:sz w:val="22"/>
          <w:szCs w:val="22"/>
        </w:rPr>
        <w:t xml:space="preserve">his lipid </w:t>
      </w:r>
      <w:r w:rsidR="009C3424" w:rsidRPr="00D87BD0">
        <w:rPr>
          <w:rStyle w:val="IntenseEmphasis"/>
          <w:rFonts w:cs="Arial"/>
          <w:b w:val="0"/>
          <w:bCs w:val="0"/>
          <w:i w:val="0"/>
          <w:iCs w:val="0"/>
          <w:sz w:val="22"/>
          <w:szCs w:val="22"/>
        </w:rPr>
        <w:t xml:space="preserve">is </w:t>
      </w:r>
      <w:r w:rsidR="00B205BD" w:rsidRPr="00D87BD0">
        <w:rPr>
          <w:rStyle w:val="IntenseEmphasis"/>
          <w:rFonts w:cs="Arial"/>
          <w:b w:val="0"/>
          <w:bCs w:val="0"/>
          <w:i w:val="0"/>
          <w:iCs w:val="0"/>
          <w:sz w:val="22"/>
          <w:szCs w:val="22"/>
        </w:rPr>
        <w:t>a biomarker for</w:t>
      </w:r>
      <w:r w:rsidR="009C3424" w:rsidRPr="00D87BD0">
        <w:rPr>
          <w:rStyle w:val="IntenseEmphasis"/>
          <w:rFonts w:cs="Arial"/>
          <w:b w:val="0"/>
          <w:bCs w:val="0"/>
          <w:i w:val="0"/>
          <w:iCs w:val="0"/>
          <w:sz w:val="22"/>
          <w:szCs w:val="22"/>
        </w:rPr>
        <w:t xml:space="preserve"> pulmonary surfactant </w:t>
      </w:r>
      <w:r w:rsidR="008D7160" w:rsidRPr="00D87BD0">
        <w:rPr>
          <w:rStyle w:val="IntenseEmphasis"/>
          <w:rFonts w:cs="Arial"/>
          <w:b w:val="0"/>
          <w:bCs w:val="0"/>
          <w:i w:val="0"/>
          <w:iCs w:val="0"/>
          <w:sz w:val="22"/>
          <w:szCs w:val="22"/>
        </w:rPr>
        <w:t xml:space="preserve">and was therefore chosen </w:t>
      </w:r>
      <w:r w:rsidR="004E2220" w:rsidRPr="00D87BD0">
        <w:rPr>
          <w:rStyle w:val="IntenseEmphasis"/>
          <w:rFonts w:cs="Arial"/>
          <w:b w:val="0"/>
          <w:bCs w:val="0"/>
          <w:i w:val="0"/>
          <w:iCs w:val="0"/>
          <w:sz w:val="22"/>
          <w:szCs w:val="22"/>
        </w:rPr>
        <w:t>analogous to a ‘housekeeping’ gene or protein</w:t>
      </w:r>
      <w:r w:rsidR="008D7160" w:rsidRPr="00D87BD0">
        <w:rPr>
          <w:rStyle w:val="IntenseEmphasis"/>
          <w:rFonts w:cs="Arial"/>
          <w:b w:val="0"/>
          <w:bCs w:val="0"/>
          <w:i w:val="0"/>
          <w:iCs w:val="0"/>
          <w:sz w:val="22"/>
          <w:szCs w:val="22"/>
        </w:rPr>
        <w:t xml:space="preserve"> </w:t>
      </w:r>
      <w:r w:rsidR="00B205BD" w:rsidRPr="00D87BD0">
        <w:rPr>
          <w:rStyle w:val="IntenseEmphasis"/>
          <w:rFonts w:cs="Arial"/>
          <w:b w:val="0"/>
          <w:bCs w:val="0"/>
          <w:i w:val="0"/>
          <w:iCs w:val="0"/>
          <w:sz w:val="22"/>
          <w:szCs w:val="22"/>
        </w:rPr>
        <w:t xml:space="preserve">(see discussion in </w:t>
      </w:r>
      <w:r w:rsidR="004012D8" w:rsidRPr="00D87BD0">
        <w:rPr>
          <w:rStyle w:val="IntenseEmphasis"/>
          <w:rFonts w:cs="Arial"/>
          <w:b w:val="0"/>
          <w:bCs w:val="0"/>
          <w:i w:val="0"/>
          <w:iCs w:val="0"/>
          <w:sz w:val="22"/>
          <w:szCs w:val="22"/>
        </w:rPr>
        <w:t xml:space="preserve">the </w:t>
      </w:r>
      <w:r w:rsidR="00B205BD" w:rsidRPr="00D87BD0">
        <w:rPr>
          <w:rStyle w:val="IntenseEmphasis"/>
          <w:rFonts w:cs="Arial"/>
          <w:b w:val="0"/>
          <w:bCs w:val="0"/>
          <w:i w:val="0"/>
          <w:iCs w:val="0"/>
          <w:sz w:val="22"/>
          <w:szCs w:val="22"/>
        </w:rPr>
        <w:t>main text).</w:t>
      </w:r>
    </w:p>
    <w:p w14:paraId="784330CC" w14:textId="77777777" w:rsidR="002507DF" w:rsidRPr="00D87BD0" w:rsidRDefault="002507DF" w:rsidP="0047340A">
      <w:pPr>
        <w:spacing w:line="276" w:lineRule="auto"/>
        <w:rPr>
          <w:rFonts w:cs="Arial"/>
          <w:sz w:val="22"/>
          <w:szCs w:val="22"/>
        </w:rPr>
      </w:pPr>
    </w:p>
    <w:p w14:paraId="54D66E48" w14:textId="3800E3B7" w:rsidR="00045526" w:rsidRPr="00D87BD0" w:rsidRDefault="00045526" w:rsidP="00045526">
      <w:pPr>
        <w:pStyle w:val="Heading4"/>
        <w:spacing w:after="120" w:line="276" w:lineRule="auto"/>
        <w:rPr>
          <w:rFonts w:asciiTheme="minorHAnsi" w:hAnsiTheme="minorHAnsi" w:cs="Arial"/>
          <w:b/>
          <w:i/>
          <w:sz w:val="24"/>
        </w:rPr>
      </w:pPr>
      <w:r w:rsidRPr="00D87BD0">
        <w:rPr>
          <w:rFonts w:asciiTheme="minorHAnsi" w:hAnsiTheme="minorHAnsi" w:cs="Arial"/>
          <w:b/>
          <w:sz w:val="24"/>
        </w:rPr>
        <w:t>4 Topological clustering and differential feature analysis</w:t>
      </w:r>
    </w:p>
    <w:p w14:paraId="72666857" w14:textId="612BFDD6" w:rsidR="001727FD" w:rsidRPr="00D87BD0" w:rsidRDefault="002A32E5" w:rsidP="0047340A">
      <w:pPr>
        <w:spacing w:after="0" w:line="276" w:lineRule="auto"/>
        <w:rPr>
          <w:rFonts w:cs="Arial"/>
          <w:sz w:val="22"/>
          <w:szCs w:val="22"/>
        </w:rPr>
      </w:pPr>
      <w:r w:rsidRPr="00D87BD0">
        <w:rPr>
          <w:rFonts w:cs="Arial"/>
          <w:sz w:val="22"/>
          <w:szCs w:val="22"/>
        </w:rPr>
        <w:t xml:space="preserve">Topological data analysis (TDA) </w:t>
      </w:r>
      <w:r w:rsidR="001727FD" w:rsidRPr="00D87BD0">
        <w:rPr>
          <w:rFonts w:cs="Arial"/>
          <w:sz w:val="22"/>
          <w:szCs w:val="22"/>
        </w:rPr>
        <w:t>is an unsupervised method for representing highly complex data in a structured 3-dimensional network of nodes (which comprise two or more data points that are similar to each other in multiple dimensions) and edges (lines connecting nodes with at least one shared data point), which retains the</w:t>
      </w:r>
      <w:r w:rsidR="00262076" w:rsidRPr="00D87BD0">
        <w:rPr>
          <w:rFonts w:cs="Arial"/>
          <w:sz w:val="22"/>
          <w:szCs w:val="22"/>
        </w:rPr>
        <w:t xml:space="preserve"> geometric ‘shape’ of the data </w:t>
      </w:r>
      <w:r w:rsidR="004A5F4D" w:rsidRPr="00D87BD0">
        <w:rPr>
          <w:rFonts w:cs="Arial"/>
          <w:sz w:val="22"/>
          <w:szCs w:val="22"/>
        </w:rPr>
        <w:t>(</w:t>
      </w:r>
      <w:proofErr w:type="spellStart"/>
      <w:r w:rsidR="004A5F4D" w:rsidRPr="00D87BD0">
        <w:rPr>
          <w:rFonts w:cs="Arial"/>
          <w:sz w:val="22"/>
          <w:szCs w:val="22"/>
        </w:rPr>
        <w:t>Carlsson</w:t>
      </w:r>
      <w:proofErr w:type="spellEnd"/>
      <w:r w:rsidR="004A5F4D" w:rsidRPr="00D87BD0">
        <w:rPr>
          <w:rFonts w:cs="Arial"/>
          <w:sz w:val="22"/>
          <w:szCs w:val="22"/>
        </w:rPr>
        <w:t xml:space="preserve"> 2009)</w:t>
      </w:r>
      <w:r w:rsidR="001727FD" w:rsidRPr="00D87BD0">
        <w:rPr>
          <w:rFonts w:cs="Arial"/>
          <w:sz w:val="22"/>
          <w:szCs w:val="22"/>
        </w:rPr>
        <w:t xml:space="preserve">. Sub-groups within the dataset show up as </w:t>
      </w:r>
      <w:r w:rsidR="002A127E" w:rsidRPr="00D87BD0">
        <w:rPr>
          <w:rFonts w:cs="Arial"/>
          <w:sz w:val="22"/>
          <w:szCs w:val="22"/>
        </w:rPr>
        <w:t xml:space="preserve">discrete </w:t>
      </w:r>
      <w:r w:rsidR="001727FD" w:rsidRPr="00D87BD0">
        <w:rPr>
          <w:rFonts w:cs="Arial"/>
          <w:sz w:val="22"/>
          <w:szCs w:val="22"/>
        </w:rPr>
        <w:t xml:space="preserve">clusters or flares of highly interconnected nodes and can be selected for further statistical testing using conventional methods </w:t>
      </w:r>
      <w:r w:rsidR="00FA0C56" w:rsidRPr="00D87BD0">
        <w:rPr>
          <w:rFonts w:cs="Arial"/>
          <w:sz w:val="22"/>
          <w:szCs w:val="22"/>
        </w:rPr>
        <w:t>(Bigler et al. 2016; Hinks et al. 2016)</w:t>
      </w:r>
      <w:r w:rsidR="001727FD" w:rsidRPr="00D87BD0">
        <w:rPr>
          <w:rFonts w:cs="Arial"/>
          <w:sz w:val="22"/>
          <w:szCs w:val="22"/>
        </w:rPr>
        <w:t>.</w:t>
      </w:r>
      <w:r w:rsidRPr="00D87BD0">
        <w:rPr>
          <w:rFonts w:cs="Arial"/>
          <w:sz w:val="22"/>
          <w:szCs w:val="22"/>
        </w:rPr>
        <w:t xml:space="preserve"> </w:t>
      </w:r>
      <w:r w:rsidR="002A127E" w:rsidRPr="00D87BD0">
        <w:rPr>
          <w:rFonts w:cs="Arial"/>
          <w:sz w:val="22"/>
          <w:szCs w:val="22"/>
        </w:rPr>
        <w:t xml:space="preserve">For this study, TDA </w:t>
      </w:r>
      <w:r w:rsidRPr="00D87BD0">
        <w:rPr>
          <w:rFonts w:cs="Arial"/>
          <w:sz w:val="22"/>
          <w:szCs w:val="22"/>
        </w:rPr>
        <w:t xml:space="preserve">was used to visualise clusters of participants within the </w:t>
      </w:r>
      <w:r w:rsidR="002A127E" w:rsidRPr="00D87BD0">
        <w:rPr>
          <w:rFonts w:cs="Arial"/>
          <w:sz w:val="22"/>
          <w:szCs w:val="22"/>
        </w:rPr>
        <w:t>healthy non-smoking adults</w:t>
      </w:r>
      <w:r w:rsidRPr="00D87BD0">
        <w:rPr>
          <w:rFonts w:cs="Arial"/>
          <w:sz w:val="22"/>
          <w:szCs w:val="22"/>
        </w:rPr>
        <w:t xml:space="preserve"> with comparable sputum lipid profiles</w:t>
      </w:r>
      <w:r w:rsidR="000054E0" w:rsidRPr="00D87BD0">
        <w:rPr>
          <w:rFonts w:cs="Arial"/>
          <w:sz w:val="22"/>
          <w:szCs w:val="22"/>
        </w:rPr>
        <w:t xml:space="preserve"> (n=41)</w:t>
      </w:r>
      <w:r w:rsidRPr="00D87BD0">
        <w:rPr>
          <w:rFonts w:cs="Arial"/>
          <w:sz w:val="22"/>
          <w:szCs w:val="22"/>
        </w:rPr>
        <w:t>.</w:t>
      </w:r>
      <w:r w:rsidR="00E466C6" w:rsidRPr="00D87BD0">
        <w:rPr>
          <w:rFonts w:cs="Arial"/>
          <w:sz w:val="22"/>
          <w:szCs w:val="22"/>
        </w:rPr>
        <w:t xml:space="preserve"> Analyses were performed using the Ayasdi machine intelligence platform (Ayasdi, Palo Alto, CA, USA).</w:t>
      </w:r>
    </w:p>
    <w:p w14:paraId="3BCC9BD9" w14:textId="25AD3990" w:rsidR="00424947" w:rsidRPr="00D87BD0" w:rsidRDefault="001727FD" w:rsidP="0047340A">
      <w:pPr>
        <w:spacing w:line="276" w:lineRule="auto"/>
        <w:rPr>
          <w:rFonts w:cs="Arial"/>
          <w:sz w:val="22"/>
          <w:szCs w:val="22"/>
        </w:rPr>
      </w:pPr>
      <w:r w:rsidRPr="00D87BD0">
        <w:rPr>
          <w:rFonts w:cs="Arial"/>
          <w:sz w:val="22"/>
          <w:szCs w:val="22"/>
        </w:rPr>
        <w:t xml:space="preserve">TDA was performed on the selected lipid data set (291 ions) using both </w:t>
      </w:r>
      <w:r w:rsidR="002D59B1" w:rsidRPr="00D87BD0">
        <w:rPr>
          <w:rFonts w:cs="Arial"/>
          <w:sz w:val="22"/>
          <w:szCs w:val="22"/>
        </w:rPr>
        <w:t>semi-quantitative data</w:t>
      </w:r>
      <w:r w:rsidRPr="00D87BD0">
        <w:rPr>
          <w:rFonts w:cs="Arial"/>
          <w:sz w:val="22"/>
          <w:szCs w:val="22"/>
        </w:rPr>
        <w:t xml:space="preserve"> and abundances normalised to the amount of DPPC in each sample. For each TDA a normalised correlation metric was chosen to negate the large dynamic range of the data, and this was combined with multidimensional scaling (MDS) lenses at resolution and gains settings appropriate to the size of the data set (see figure legends). Discreet clusters of participants were defined manually within the TDA networks</w:t>
      </w:r>
      <w:r w:rsidR="009B1F72" w:rsidRPr="00D87BD0">
        <w:rPr>
          <w:rFonts w:cs="Arial"/>
          <w:sz w:val="22"/>
          <w:szCs w:val="22"/>
        </w:rPr>
        <w:t xml:space="preserve"> </w:t>
      </w:r>
      <w:r w:rsidR="00595C5F" w:rsidRPr="00D87BD0">
        <w:rPr>
          <w:rFonts w:cs="Arial"/>
          <w:sz w:val="22"/>
          <w:szCs w:val="22"/>
        </w:rPr>
        <w:t>(Bigler et al. 2016; Hinks et al. 2016)</w:t>
      </w:r>
      <w:r w:rsidRPr="00D87BD0">
        <w:rPr>
          <w:rFonts w:cs="Arial"/>
          <w:sz w:val="22"/>
          <w:szCs w:val="22"/>
        </w:rPr>
        <w:t xml:space="preserve">. Finally, differences in lipid composition and </w:t>
      </w:r>
      <w:r w:rsidRPr="00D87BD0">
        <w:rPr>
          <w:rFonts w:cs="Arial"/>
          <w:sz w:val="22"/>
          <w:szCs w:val="22"/>
        </w:rPr>
        <w:lastRenderedPageBreak/>
        <w:t>participant metadata (such as age, gender, BMI, cell counts) between each of the selected subgroups were examined using the Mann-Whitney U test with a significance threshold of p</w:t>
      </w:r>
      <w:r w:rsidR="000A71B2" w:rsidRPr="00D87BD0">
        <w:rPr>
          <w:rFonts w:cs="Arial"/>
          <w:sz w:val="22"/>
          <w:szCs w:val="22"/>
        </w:rPr>
        <w:t>&lt;</w:t>
      </w:r>
      <w:r w:rsidRPr="00D87BD0">
        <w:rPr>
          <w:rFonts w:cs="Arial"/>
          <w:sz w:val="22"/>
          <w:szCs w:val="22"/>
        </w:rPr>
        <w:t>0.05.</w:t>
      </w:r>
      <w:r w:rsidR="0039209F" w:rsidRPr="00D87BD0">
        <w:t xml:space="preserve"> </w:t>
      </w:r>
      <w:r w:rsidR="0039209F" w:rsidRPr="00D87BD0">
        <w:rPr>
          <w:rFonts w:cs="Arial"/>
          <w:sz w:val="22"/>
          <w:szCs w:val="22"/>
        </w:rPr>
        <w:t>No adjustments for multiple testing were done because of the relatively small cohort size, and validation of the results in follow-up studies is therefore warranted.</w:t>
      </w:r>
    </w:p>
    <w:p w14:paraId="7A1095F1" w14:textId="77777777" w:rsidR="00045526" w:rsidRPr="00D87BD0" w:rsidRDefault="00045526" w:rsidP="0047340A">
      <w:pPr>
        <w:spacing w:line="276" w:lineRule="auto"/>
        <w:rPr>
          <w:rFonts w:cs="Arial"/>
          <w:b/>
          <w:sz w:val="22"/>
          <w:szCs w:val="22"/>
        </w:rPr>
      </w:pPr>
    </w:p>
    <w:p w14:paraId="3910B77B" w14:textId="77777777" w:rsidR="00045526" w:rsidRPr="00D87BD0" w:rsidRDefault="00045526">
      <w:pPr>
        <w:spacing w:after="160" w:line="259" w:lineRule="auto"/>
        <w:rPr>
          <w:rFonts w:cs="Arial"/>
          <w:b/>
          <w:sz w:val="24"/>
        </w:rPr>
      </w:pPr>
      <w:r w:rsidRPr="00D87BD0">
        <w:rPr>
          <w:rFonts w:cs="Arial"/>
          <w:b/>
          <w:sz w:val="24"/>
        </w:rPr>
        <w:br w:type="page"/>
      </w:r>
    </w:p>
    <w:p w14:paraId="073B3985" w14:textId="061A4689" w:rsidR="00045526" w:rsidRPr="00D87BD0" w:rsidRDefault="00045526" w:rsidP="00045526">
      <w:pPr>
        <w:spacing w:after="240" w:line="276" w:lineRule="auto"/>
        <w:rPr>
          <w:rFonts w:cs="Arial"/>
          <w:sz w:val="22"/>
          <w:szCs w:val="22"/>
        </w:rPr>
      </w:pPr>
      <w:r w:rsidRPr="00D87BD0">
        <w:rPr>
          <w:rFonts w:cs="Arial"/>
          <w:b/>
          <w:sz w:val="24"/>
        </w:rPr>
        <w:lastRenderedPageBreak/>
        <w:t>References</w:t>
      </w:r>
    </w:p>
    <w:p w14:paraId="7EF533AE" w14:textId="2BC5A801" w:rsidR="00360559" w:rsidRPr="00D87BD0" w:rsidRDefault="00360559" w:rsidP="0047340A">
      <w:pPr>
        <w:spacing w:line="276" w:lineRule="auto"/>
        <w:ind w:left="142" w:hanging="142"/>
        <w:rPr>
          <w:rStyle w:val="IntenseEmphasis"/>
          <w:rFonts w:cs="Arial"/>
          <w:b w:val="0"/>
          <w:bCs w:val="0"/>
          <w:i w:val="0"/>
          <w:iCs w:val="0"/>
          <w:sz w:val="22"/>
          <w:szCs w:val="22"/>
        </w:rPr>
      </w:pPr>
      <w:proofErr w:type="spellStart"/>
      <w:r w:rsidRPr="00D87BD0">
        <w:rPr>
          <w:rStyle w:val="IntenseEmphasis"/>
          <w:rFonts w:cs="Arial"/>
          <w:b w:val="0"/>
          <w:bCs w:val="0"/>
          <w:i w:val="0"/>
          <w:iCs w:val="0"/>
          <w:sz w:val="22"/>
          <w:szCs w:val="22"/>
        </w:rPr>
        <w:t>Auffray</w:t>
      </w:r>
      <w:proofErr w:type="spellEnd"/>
      <w:r w:rsidR="009952B9" w:rsidRPr="00D87BD0">
        <w:rPr>
          <w:rStyle w:val="IntenseEmphasis"/>
          <w:rFonts w:cs="Arial"/>
          <w:b w:val="0"/>
          <w:bCs w:val="0"/>
          <w:i w:val="0"/>
          <w:iCs w:val="0"/>
          <w:sz w:val="22"/>
          <w:szCs w:val="22"/>
        </w:rPr>
        <w:t>,</w:t>
      </w:r>
      <w:r w:rsidRPr="00D87BD0">
        <w:rPr>
          <w:rStyle w:val="IntenseEmphasis"/>
          <w:rFonts w:cs="Arial"/>
          <w:b w:val="0"/>
          <w:bCs w:val="0"/>
          <w:i w:val="0"/>
          <w:iCs w:val="0"/>
          <w:sz w:val="22"/>
          <w:szCs w:val="22"/>
        </w:rPr>
        <w:t xml:space="preserve"> C</w:t>
      </w:r>
      <w:r w:rsidR="009952B9" w:rsidRPr="00D87BD0">
        <w:rPr>
          <w:rStyle w:val="IntenseEmphasis"/>
          <w:rFonts w:cs="Arial"/>
          <w:b w:val="0"/>
          <w:bCs w:val="0"/>
          <w:i w:val="0"/>
          <w:iCs w:val="0"/>
          <w:sz w:val="22"/>
          <w:szCs w:val="22"/>
        </w:rPr>
        <w:t>.</w:t>
      </w:r>
      <w:r w:rsidRPr="00D87BD0">
        <w:rPr>
          <w:rStyle w:val="IntenseEmphasis"/>
          <w:rFonts w:cs="Arial"/>
          <w:b w:val="0"/>
          <w:bCs w:val="0"/>
          <w:i w:val="0"/>
          <w:iCs w:val="0"/>
          <w:sz w:val="22"/>
          <w:szCs w:val="22"/>
        </w:rPr>
        <w:t>, Adcock</w:t>
      </w:r>
      <w:r w:rsidR="009952B9" w:rsidRPr="00D87BD0">
        <w:rPr>
          <w:rStyle w:val="IntenseEmphasis"/>
          <w:rFonts w:cs="Arial"/>
          <w:b w:val="0"/>
          <w:bCs w:val="0"/>
          <w:i w:val="0"/>
          <w:iCs w:val="0"/>
          <w:sz w:val="22"/>
          <w:szCs w:val="22"/>
        </w:rPr>
        <w:t>,</w:t>
      </w:r>
      <w:r w:rsidRPr="00D87BD0">
        <w:rPr>
          <w:rStyle w:val="IntenseEmphasis"/>
          <w:rFonts w:cs="Arial"/>
          <w:b w:val="0"/>
          <w:bCs w:val="0"/>
          <w:i w:val="0"/>
          <w:iCs w:val="0"/>
          <w:sz w:val="22"/>
          <w:szCs w:val="22"/>
        </w:rPr>
        <w:t xml:space="preserve"> I</w:t>
      </w:r>
      <w:r w:rsidR="009952B9" w:rsidRPr="00D87BD0">
        <w:rPr>
          <w:rStyle w:val="IntenseEmphasis"/>
          <w:rFonts w:cs="Arial"/>
          <w:b w:val="0"/>
          <w:bCs w:val="0"/>
          <w:i w:val="0"/>
          <w:iCs w:val="0"/>
          <w:sz w:val="22"/>
          <w:szCs w:val="22"/>
        </w:rPr>
        <w:t xml:space="preserve">. </w:t>
      </w:r>
      <w:r w:rsidRPr="00D87BD0">
        <w:rPr>
          <w:rStyle w:val="IntenseEmphasis"/>
          <w:rFonts w:cs="Arial"/>
          <w:b w:val="0"/>
          <w:bCs w:val="0"/>
          <w:i w:val="0"/>
          <w:iCs w:val="0"/>
          <w:sz w:val="22"/>
          <w:szCs w:val="22"/>
        </w:rPr>
        <w:t>A</w:t>
      </w:r>
      <w:r w:rsidR="009952B9" w:rsidRPr="00D87BD0">
        <w:rPr>
          <w:rStyle w:val="IntenseEmphasis"/>
          <w:rFonts w:cs="Arial"/>
          <w:b w:val="0"/>
          <w:bCs w:val="0"/>
          <w:i w:val="0"/>
          <w:iCs w:val="0"/>
          <w:sz w:val="22"/>
          <w:szCs w:val="22"/>
        </w:rPr>
        <w:t>.</w:t>
      </w:r>
      <w:r w:rsidRPr="00D87BD0">
        <w:rPr>
          <w:rStyle w:val="IntenseEmphasis"/>
          <w:rFonts w:cs="Arial"/>
          <w:b w:val="0"/>
          <w:bCs w:val="0"/>
          <w:i w:val="0"/>
          <w:iCs w:val="0"/>
          <w:sz w:val="22"/>
          <w:szCs w:val="22"/>
        </w:rPr>
        <w:t>, Chung</w:t>
      </w:r>
      <w:r w:rsidR="009952B9" w:rsidRPr="00D87BD0">
        <w:rPr>
          <w:rStyle w:val="IntenseEmphasis"/>
          <w:rFonts w:cs="Arial"/>
          <w:b w:val="0"/>
          <w:bCs w:val="0"/>
          <w:i w:val="0"/>
          <w:iCs w:val="0"/>
          <w:sz w:val="22"/>
          <w:szCs w:val="22"/>
        </w:rPr>
        <w:t>,</w:t>
      </w:r>
      <w:r w:rsidRPr="00D87BD0">
        <w:rPr>
          <w:rStyle w:val="IntenseEmphasis"/>
          <w:rFonts w:cs="Arial"/>
          <w:b w:val="0"/>
          <w:bCs w:val="0"/>
          <w:i w:val="0"/>
          <w:iCs w:val="0"/>
          <w:sz w:val="22"/>
          <w:szCs w:val="22"/>
        </w:rPr>
        <w:t xml:space="preserve"> K</w:t>
      </w:r>
      <w:r w:rsidR="009952B9" w:rsidRPr="00D87BD0">
        <w:rPr>
          <w:rStyle w:val="IntenseEmphasis"/>
          <w:rFonts w:cs="Arial"/>
          <w:b w:val="0"/>
          <w:bCs w:val="0"/>
          <w:i w:val="0"/>
          <w:iCs w:val="0"/>
          <w:sz w:val="22"/>
          <w:szCs w:val="22"/>
        </w:rPr>
        <w:t xml:space="preserve">. </w:t>
      </w:r>
      <w:r w:rsidRPr="00D87BD0">
        <w:rPr>
          <w:rStyle w:val="IntenseEmphasis"/>
          <w:rFonts w:cs="Arial"/>
          <w:b w:val="0"/>
          <w:bCs w:val="0"/>
          <w:i w:val="0"/>
          <w:iCs w:val="0"/>
          <w:sz w:val="22"/>
          <w:szCs w:val="22"/>
        </w:rPr>
        <w:t>F</w:t>
      </w:r>
      <w:r w:rsidR="009952B9" w:rsidRPr="00D87BD0">
        <w:rPr>
          <w:rStyle w:val="IntenseEmphasis"/>
          <w:rFonts w:cs="Arial"/>
          <w:b w:val="0"/>
          <w:bCs w:val="0"/>
          <w:i w:val="0"/>
          <w:iCs w:val="0"/>
          <w:sz w:val="22"/>
          <w:szCs w:val="22"/>
        </w:rPr>
        <w:t>.</w:t>
      </w:r>
      <w:r w:rsidRPr="00D87BD0">
        <w:rPr>
          <w:rStyle w:val="IntenseEmphasis"/>
          <w:rFonts w:cs="Arial"/>
          <w:b w:val="0"/>
          <w:bCs w:val="0"/>
          <w:i w:val="0"/>
          <w:iCs w:val="0"/>
          <w:sz w:val="22"/>
          <w:szCs w:val="22"/>
        </w:rPr>
        <w:t>, Djukanović</w:t>
      </w:r>
      <w:r w:rsidR="009952B9" w:rsidRPr="00D87BD0">
        <w:rPr>
          <w:rStyle w:val="IntenseEmphasis"/>
          <w:rFonts w:cs="Arial"/>
          <w:b w:val="0"/>
          <w:bCs w:val="0"/>
          <w:i w:val="0"/>
          <w:iCs w:val="0"/>
          <w:sz w:val="22"/>
          <w:szCs w:val="22"/>
        </w:rPr>
        <w:t>,</w:t>
      </w:r>
      <w:r w:rsidRPr="00D87BD0">
        <w:rPr>
          <w:rStyle w:val="IntenseEmphasis"/>
          <w:rFonts w:cs="Arial"/>
          <w:b w:val="0"/>
          <w:bCs w:val="0"/>
          <w:i w:val="0"/>
          <w:iCs w:val="0"/>
          <w:sz w:val="22"/>
          <w:szCs w:val="22"/>
        </w:rPr>
        <w:t xml:space="preserve"> R</w:t>
      </w:r>
      <w:r w:rsidR="009952B9" w:rsidRPr="00D87BD0">
        <w:rPr>
          <w:rStyle w:val="IntenseEmphasis"/>
          <w:rFonts w:cs="Arial"/>
          <w:b w:val="0"/>
          <w:bCs w:val="0"/>
          <w:i w:val="0"/>
          <w:iCs w:val="0"/>
          <w:sz w:val="22"/>
          <w:szCs w:val="22"/>
        </w:rPr>
        <w:t>.</w:t>
      </w:r>
      <w:r w:rsidRPr="00D87BD0">
        <w:rPr>
          <w:rStyle w:val="IntenseEmphasis"/>
          <w:rFonts w:cs="Arial"/>
          <w:b w:val="0"/>
          <w:bCs w:val="0"/>
          <w:i w:val="0"/>
          <w:iCs w:val="0"/>
          <w:sz w:val="22"/>
          <w:szCs w:val="22"/>
        </w:rPr>
        <w:t xml:space="preserve">, </w:t>
      </w:r>
      <w:proofErr w:type="spellStart"/>
      <w:r w:rsidRPr="00D87BD0">
        <w:rPr>
          <w:rStyle w:val="IntenseEmphasis"/>
          <w:rFonts w:cs="Arial"/>
          <w:b w:val="0"/>
          <w:bCs w:val="0"/>
          <w:i w:val="0"/>
          <w:iCs w:val="0"/>
          <w:sz w:val="22"/>
          <w:szCs w:val="22"/>
        </w:rPr>
        <w:t>Pison</w:t>
      </w:r>
      <w:proofErr w:type="spellEnd"/>
      <w:r w:rsidR="009952B9" w:rsidRPr="00D87BD0">
        <w:rPr>
          <w:rStyle w:val="IntenseEmphasis"/>
          <w:rFonts w:cs="Arial"/>
          <w:b w:val="0"/>
          <w:bCs w:val="0"/>
          <w:i w:val="0"/>
          <w:iCs w:val="0"/>
          <w:sz w:val="22"/>
          <w:szCs w:val="22"/>
        </w:rPr>
        <w:t>,</w:t>
      </w:r>
      <w:r w:rsidR="00495F2A" w:rsidRPr="00D87BD0">
        <w:rPr>
          <w:rStyle w:val="IntenseEmphasis"/>
          <w:rFonts w:cs="Arial"/>
          <w:b w:val="0"/>
          <w:bCs w:val="0"/>
          <w:i w:val="0"/>
          <w:iCs w:val="0"/>
          <w:sz w:val="22"/>
          <w:szCs w:val="22"/>
        </w:rPr>
        <w:t xml:space="preserve"> </w:t>
      </w:r>
      <w:r w:rsidR="005E7962" w:rsidRPr="00D87BD0">
        <w:rPr>
          <w:rStyle w:val="IntenseEmphasis"/>
          <w:rFonts w:cs="Arial"/>
          <w:b w:val="0"/>
          <w:bCs w:val="0"/>
          <w:i w:val="0"/>
          <w:iCs w:val="0"/>
          <w:sz w:val="22"/>
          <w:szCs w:val="22"/>
        </w:rPr>
        <w:t>C</w:t>
      </w:r>
      <w:r w:rsidR="009952B9" w:rsidRPr="00D87BD0">
        <w:rPr>
          <w:rStyle w:val="IntenseEmphasis"/>
          <w:rFonts w:cs="Arial"/>
          <w:b w:val="0"/>
          <w:bCs w:val="0"/>
          <w:i w:val="0"/>
          <w:iCs w:val="0"/>
          <w:sz w:val="22"/>
          <w:szCs w:val="22"/>
        </w:rPr>
        <w:t>.</w:t>
      </w:r>
      <w:r w:rsidR="005E7962" w:rsidRPr="00D87BD0">
        <w:rPr>
          <w:rStyle w:val="IntenseEmphasis"/>
          <w:rFonts w:cs="Arial"/>
          <w:b w:val="0"/>
          <w:bCs w:val="0"/>
          <w:i w:val="0"/>
          <w:iCs w:val="0"/>
          <w:sz w:val="22"/>
          <w:szCs w:val="22"/>
        </w:rPr>
        <w:t xml:space="preserve">, </w:t>
      </w:r>
      <w:r w:rsidR="009952B9" w:rsidRPr="00D87BD0">
        <w:rPr>
          <w:rStyle w:val="IntenseEmphasis"/>
          <w:rFonts w:cs="Arial"/>
          <w:b w:val="0"/>
          <w:bCs w:val="0"/>
          <w:i w:val="0"/>
          <w:iCs w:val="0"/>
          <w:sz w:val="22"/>
          <w:szCs w:val="22"/>
        </w:rPr>
        <w:t xml:space="preserve">&amp; </w:t>
      </w:r>
      <w:proofErr w:type="spellStart"/>
      <w:r w:rsidRPr="00D87BD0">
        <w:rPr>
          <w:rStyle w:val="IntenseEmphasis"/>
          <w:rFonts w:cs="Arial"/>
          <w:b w:val="0"/>
          <w:bCs w:val="0"/>
          <w:i w:val="0"/>
          <w:iCs w:val="0"/>
          <w:sz w:val="22"/>
          <w:szCs w:val="22"/>
        </w:rPr>
        <w:t>Sterk</w:t>
      </w:r>
      <w:proofErr w:type="spellEnd"/>
      <w:r w:rsidR="009952B9" w:rsidRPr="00D87BD0">
        <w:rPr>
          <w:rStyle w:val="IntenseEmphasis"/>
          <w:rFonts w:cs="Arial"/>
          <w:b w:val="0"/>
          <w:bCs w:val="0"/>
          <w:i w:val="0"/>
          <w:iCs w:val="0"/>
          <w:sz w:val="22"/>
          <w:szCs w:val="22"/>
        </w:rPr>
        <w:t>,</w:t>
      </w:r>
      <w:r w:rsidRPr="00D87BD0">
        <w:rPr>
          <w:rStyle w:val="IntenseEmphasis"/>
          <w:rFonts w:cs="Arial"/>
          <w:b w:val="0"/>
          <w:bCs w:val="0"/>
          <w:i w:val="0"/>
          <w:iCs w:val="0"/>
          <w:sz w:val="22"/>
          <w:szCs w:val="22"/>
        </w:rPr>
        <w:t xml:space="preserve"> P</w:t>
      </w:r>
      <w:r w:rsidR="009952B9" w:rsidRPr="00D87BD0">
        <w:rPr>
          <w:rStyle w:val="IntenseEmphasis"/>
          <w:rFonts w:cs="Arial"/>
          <w:b w:val="0"/>
          <w:bCs w:val="0"/>
          <w:i w:val="0"/>
          <w:iCs w:val="0"/>
          <w:sz w:val="22"/>
          <w:szCs w:val="22"/>
        </w:rPr>
        <w:t xml:space="preserve">. </w:t>
      </w:r>
      <w:r w:rsidRPr="00D87BD0">
        <w:rPr>
          <w:rStyle w:val="IntenseEmphasis"/>
          <w:rFonts w:cs="Arial"/>
          <w:b w:val="0"/>
          <w:bCs w:val="0"/>
          <w:i w:val="0"/>
          <w:iCs w:val="0"/>
          <w:sz w:val="22"/>
          <w:szCs w:val="22"/>
        </w:rPr>
        <w:t xml:space="preserve">J. </w:t>
      </w:r>
      <w:r w:rsidR="009952B9" w:rsidRPr="00D87BD0">
        <w:rPr>
          <w:rStyle w:val="IntenseEmphasis"/>
          <w:rFonts w:cs="Arial"/>
          <w:b w:val="0"/>
          <w:bCs w:val="0"/>
          <w:i w:val="0"/>
          <w:iCs w:val="0"/>
          <w:sz w:val="22"/>
          <w:szCs w:val="22"/>
        </w:rPr>
        <w:t xml:space="preserve">(2010) </w:t>
      </w:r>
      <w:r w:rsidRPr="00D87BD0">
        <w:rPr>
          <w:rStyle w:val="IntenseEmphasis"/>
          <w:rFonts w:cs="Arial"/>
          <w:b w:val="0"/>
          <w:bCs w:val="0"/>
          <w:i w:val="0"/>
          <w:iCs w:val="0"/>
          <w:sz w:val="22"/>
          <w:szCs w:val="22"/>
        </w:rPr>
        <w:t xml:space="preserve">An integrative systems biology approach to understanding pulmonary diseases. </w:t>
      </w:r>
      <w:r w:rsidRPr="00D87BD0">
        <w:rPr>
          <w:rStyle w:val="IntenseEmphasis"/>
          <w:rFonts w:cs="Arial"/>
          <w:b w:val="0"/>
          <w:bCs w:val="0"/>
          <w:iCs w:val="0"/>
          <w:sz w:val="22"/>
          <w:szCs w:val="22"/>
        </w:rPr>
        <w:t>Chest</w:t>
      </w:r>
      <w:r w:rsidR="009952B9" w:rsidRPr="00D87BD0">
        <w:rPr>
          <w:rStyle w:val="IntenseEmphasis"/>
          <w:rFonts w:cs="Arial"/>
          <w:b w:val="0"/>
          <w:bCs w:val="0"/>
          <w:iCs w:val="0"/>
          <w:sz w:val="22"/>
          <w:szCs w:val="22"/>
        </w:rPr>
        <w:t>,</w:t>
      </w:r>
      <w:r w:rsidRPr="00D87BD0">
        <w:rPr>
          <w:rStyle w:val="IntenseEmphasis"/>
          <w:rFonts w:cs="Arial"/>
          <w:b w:val="0"/>
          <w:bCs w:val="0"/>
          <w:iCs w:val="0"/>
          <w:sz w:val="22"/>
          <w:szCs w:val="22"/>
        </w:rPr>
        <w:t xml:space="preserve"> 13</w:t>
      </w:r>
      <w:r w:rsidR="005E7962" w:rsidRPr="00D87BD0">
        <w:rPr>
          <w:rStyle w:val="IntenseEmphasis"/>
          <w:rFonts w:cs="Arial"/>
          <w:b w:val="0"/>
          <w:bCs w:val="0"/>
          <w:iCs w:val="0"/>
          <w:sz w:val="22"/>
          <w:szCs w:val="22"/>
        </w:rPr>
        <w:t>7</w:t>
      </w:r>
      <w:r w:rsidR="005E7962" w:rsidRPr="00D87BD0">
        <w:rPr>
          <w:rStyle w:val="IntenseEmphasis"/>
          <w:rFonts w:cs="Arial"/>
          <w:b w:val="0"/>
          <w:bCs w:val="0"/>
          <w:i w:val="0"/>
          <w:iCs w:val="0"/>
          <w:sz w:val="22"/>
          <w:szCs w:val="22"/>
        </w:rPr>
        <w:t>(</w:t>
      </w:r>
      <w:r w:rsidR="00495F2A" w:rsidRPr="00D87BD0">
        <w:rPr>
          <w:rStyle w:val="IntenseEmphasis"/>
          <w:rFonts w:cs="Arial"/>
          <w:b w:val="0"/>
          <w:bCs w:val="0"/>
          <w:i w:val="0"/>
          <w:iCs w:val="0"/>
          <w:sz w:val="22"/>
          <w:szCs w:val="22"/>
        </w:rPr>
        <w:t>6):</w:t>
      </w:r>
      <w:r w:rsidRPr="00D87BD0">
        <w:rPr>
          <w:rStyle w:val="IntenseEmphasis"/>
          <w:rFonts w:cs="Arial"/>
          <w:b w:val="0"/>
          <w:bCs w:val="0"/>
          <w:i w:val="0"/>
          <w:iCs w:val="0"/>
          <w:sz w:val="22"/>
          <w:szCs w:val="22"/>
        </w:rPr>
        <w:t xml:space="preserve"> 1410-1416.</w:t>
      </w:r>
      <w:r w:rsidR="005C18B5" w:rsidRPr="00D87BD0">
        <w:t xml:space="preserve"> </w:t>
      </w:r>
      <w:hyperlink r:id="rId8" w:history="1">
        <w:r w:rsidR="005C18B5" w:rsidRPr="00D87BD0">
          <w:rPr>
            <w:rStyle w:val="Hyperlink"/>
            <w:rFonts w:cs="Arial"/>
            <w:sz w:val="22"/>
            <w:szCs w:val="22"/>
          </w:rPr>
          <w:t>https://doi.org/10.1378/chest.09-1850</w:t>
        </w:r>
      </w:hyperlink>
      <w:r w:rsidR="005C18B5" w:rsidRPr="00D87BD0">
        <w:rPr>
          <w:rStyle w:val="IntenseEmphasis"/>
          <w:rFonts w:cs="Arial"/>
          <w:b w:val="0"/>
          <w:bCs w:val="0"/>
          <w:i w:val="0"/>
          <w:iCs w:val="0"/>
          <w:sz w:val="22"/>
          <w:szCs w:val="22"/>
        </w:rPr>
        <w:t>.</w:t>
      </w:r>
    </w:p>
    <w:p w14:paraId="077A2B7D" w14:textId="3606120A" w:rsidR="00E06E96" w:rsidRPr="00D87BD0" w:rsidRDefault="00E06E96" w:rsidP="0047340A">
      <w:pPr>
        <w:spacing w:line="276" w:lineRule="auto"/>
        <w:ind w:left="142" w:hanging="142"/>
        <w:rPr>
          <w:rStyle w:val="IntenseEmphasis"/>
          <w:rFonts w:cs="Arial"/>
          <w:b w:val="0"/>
          <w:bCs w:val="0"/>
          <w:i w:val="0"/>
          <w:iCs w:val="0"/>
          <w:sz w:val="22"/>
          <w:szCs w:val="22"/>
        </w:rPr>
      </w:pPr>
      <w:proofErr w:type="spellStart"/>
      <w:r w:rsidRPr="00D87BD0">
        <w:rPr>
          <w:rStyle w:val="IntenseEmphasis"/>
          <w:rFonts w:cs="Arial"/>
          <w:b w:val="0"/>
          <w:bCs w:val="0"/>
          <w:i w:val="0"/>
          <w:iCs w:val="0"/>
          <w:sz w:val="22"/>
          <w:szCs w:val="22"/>
        </w:rPr>
        <w:t>Bafadhel</w:t>
      </w:r>
      <w:proofErr w:type="spellEnd"/>
      <w:r w:rsidRPr="00D87BD0">
        <w:rPr>
          <w:rStyle w:val="IntenseEmphasis"/>
          <w:rFonts w:cs="Arial"/>
          <w:b w:val="0"/>
          <w:bCs w:val="0"/>
          <w:i w:val="0"/>
          <w:iCs w:val="0"/>
          <w:sz w:val="22"/>
          <w:szCs w:val="22"/>
        </w:rPr>
        <w:t xml:space="preserve">, M., McCormick, M., </w:t>
      </w:r>
      <w:proofErr w:type="spellStart"/>
      <w:r w:rsidRPr="00D87BD0">
        <w:rPr>
          <w:rStyle w:val="IntenseEmphasis"/>
          <w:rFonts w:cs="Arial"/>
          <w:b w:val="0"/>
          <w:bCs w:val="0"/>
          <w:i w:val="0"/>
          <w:iCs w:val="0"/>
          <w:sz w:val="22"/>
          <w:szCs w:val="22"/>
        </w:rPr>
        <w:t>Saha</w:t>
      </w:r>
      <w:proofErr w:type="spellEnd"/>
      <w:r w:rsidRPr="00D87BD0">
        <w:rPr>
          <w:rStyle w:val="IntenseEmphasis"/>
          <w:rFonts w:cs="Arial"/>
          <w:b w:val="0"/>
          <w:bCs w:val="0"/>
          <w:i w:val="0"/>
          <w:iCs w:val="0"/>
          <w:sz w:val="22"/>
          <w:szCs w:val="22"/>
        </w:rPr>
        <w:t xml:space="preserve">, S., McKenna, S., Shelley, M., </w:t>
      </w:r>
      <w:proofErr w:type="spellStart"/>
      <w:r w:rsidRPr="00D87BD0">
        <w:rPr>
          <w:rStyle w:val="IntenseEmphasis"/>
          <w:rFonts w:cs="Arial"/>
          <w:b w:val="0"/>
          <w:bCs w:val="0"/>
          <w:i w:val="0"/>
          <w:iCs w:val="0"/>
          <w:sz w:val="22"/>
          <w:szCs w:val="22"/>
        </w:rPr>
        <w:t>Hargadon</w:t>
      </w:r>
      <w:proofErr w:type="spellEnd"/>
      <w:r w:rsidRPr="00D87BD0">
        <w:rPr>
          <w:rStyle w:val="IntenseEmphasis"/>
          <w:rFonts w:cs="Arial"/>
          <w:b w:val="0"/>
          <w:bCs w:val="0"/>
          <w:i w:val="0"/>
          <w:iCs w:val="0"/>
          <w:sz w:val="22"/>
          <w:szCs w:val="22"/>
        </w:rPr>
        <w:t xml:space="preserve">, B., et al. (2011) Profiling of sputum inflammatory mediators in asthma and chronic obstructive pulmonary disease. </w:t>
      </w:r>
      <w:r w:rsidRPr="00D87BD0">
        <w:rPr>
          <w:rStyle w:val="IntenseEmphasis"/>
          <w:rFonts w:cs="Arial"/>
          <w:b w:val="0"/>
          <w:bCs w:val="0"/>
          <w:iCs w:val="0"/>
          <w:sz w:val="22"/>
          <w:szCs w:val="22"/>
        </w:rPr>
        <w:t>Respiration, 83</w:t>
      </w:r>
      <w:r w:rsidRPr="00D87BD0">
        <w:rPr>
          <w:rStyle w:val="IntenseEmphasis"/>
          <w:rFonts w:cs="Arial"/>
          <w:b w:val="0"/>
          <w:bCs w:val="0"/>
          <w:i w:val="0"/>
          <w:iCs w:val="0"/>
          <w:sz w:val="22"/>
          <w:szCs w:val="22"/>
        </w:rPr>
        <w:t>: 36-44.</w:t>
      </w:r>
      <w:r w:rsidR="004B4EBE" w:rsidRPr="00D87BD0">
        <w:t xml:space="preserve"> </w:t>
      </w:r>
      <w:hyperlink r:id="rId9" w:history="1">
        <w:r w:rsidR="004B4EBE" w:rsidRPr="00D87BD0">
          <w:rPr>
            <w:rStyle w:val="Hyperlink"/>
            <w:rFonts w:cs="Arial"/>
            <w:sz w:val="22"/>
            <w:szCs w:val="22"/>
          </w:rPr>
          <w:t>https://doi.org/10.1159/000330667</w:t>
        </w:r>
      </w:hyperlink>
      <w:r w:rsidR="004B4EBE" w:rsidRPr="00D87BD0">
        <w:rPr>
          <w:rStyle w:val="IntenseEmphasis"/>
          <w:rFonts w:cs="Arial"/>
          <w:b w:val="0"/>
          <w:bCs w:val="0"/>
          <w:i w:val="0"/>
          <w:iCs w:val="0"/>
          <w:sz w:val="22"/>
          <w:szCs w:val="22"/>
        </w:rPr>
        <w:t>.</w:t>
      </w:r>
    </w:p>
    <w:p w14:paraId="1FCC982B" w14:textId="5668F9D5" w:rsidR="00360559" w:rsidRPr="00D87BD0" w:rsidRDefault="009952B9" w:rsidP="0047340A">
      <w:pPr>
        <w:spacing w:line="276" w:lineRule="auto"/>
        <w:ind w:left="142" w:hanging="142"/>
        <w:rPr>
          <w:rStyle w:val="IntenseEmphasis"/>
          <w:rFonts w:cs="Arial"/>
          <w:b w:val="0"/>
          <w:bCs w:val="0"/>
          <w:i w:val="0"/>
          <w:iCs w:val="0"/>
          <w:sz w:val="22"/>
          <w:szCs w:val="22"/>
        </w:rPr>
      </w:pPr>
      <w:r w:rsidRPr="00D87BD0">
        <w:rPr>
          <w:rStyle w:val="IntenseEmphasis"/>
          <w:rFonts w:cs="Arial"/>
          <w:b w:val="0"/>
          <w:bCs w:val="0"/>
          <w:i w:val="0"/>
          <w:iCs w:val="0"/>
          <w:sz w:val="22"/>
          <w:szCs w:val="22"/>
        </w:rPr>
        <w:t>B</w:t>
      </w:r>
      <w:r w:rsidR="00360559" w:rsidRPr="00D87BD0">
        <w:rPr>
          <w:rStyle w:val="IntenseEmphasis"/>
          <w:rFonts w:cs="Arial"/>
          <w:b w:val="0"/>
          <w:bCs w:val="0"/>
          <w:i w:val="0"/>
          <w:iCs w:val="0"/>
          <w:sz w:val="22"/>
          <w:szCs w:val="22"/>
        </w:rPr>
        <w:t>el</w:t>
      </w:r>
      <w:r w:rsidRPr="00D87BD0">
        <w:rPr>
          <w:rStyle w:val="IntenseEmphasis"/>
          <w:rFonts w:cs="Arial"/>
          <w:b w:val="0"/>
          <w:bCs w:val="0"/>
          <w:i w:val="0"/>
          <w:iCs w:val="0"/>
          <w:sz w:val="22"/>
          <w:szCs w:val="22"/>
        </w:rPr>
        <w:t>,</w:t>
      </w:r>
      <w:r w:rsidR="00360559" w:rsidRPr="00D87BD0">
        <w:rPr>
          <w:rStyle w:val="IntenseEmphasis"/>
          <w:rFonts w:cs="Arial"/>
          <w:b w:val="0"/>
          <w:bCs w:val="0"/>
          <w:i w:val="0"/>
          <w:iCs w:val="0"/>
          <w:sz w:val="22"/>
          <w:szCs w:val="22"/>
        </w:rPr>
        <w:t xml:space="preserve"> E</w:t>
      </w:r>
      <w:r w:rsidRPr="00D87BD0">
        <w:rPr>
          <w:rStyle w:val="IntenseEmphasis"/>
          <w:rFonts w:cs="Arial"/>
          <w:b w:val="0"/>
          <w:bCs w:val="0"/>
          <w:i w:val="0"/>
          <w:iCs w:val="0"/>
          <w:sz w:val="22"/>
          <w:szCs w:val="22"/>
        </w:rPr>
        <w:t xml:space="preserve">. </w:t>
      </w:r>
      <w:r w:rsidR="00360559" w:rsidRPr="00D87BD0">
        <w:rPr>
          <w:rStyle w:val="IntenseEmphasis"/>
          <w:rFonts w:cs="Arial"/>
          <w:b w:val="0"/>
          <w:bCs w:val="0"/>
          <w:i w:val="0"/>
          <w:iCs w:val="0"/>
          <w:sz w:val="22"/>
          <w:szCs w:val="22"/>
        </w:rPr>
        <w:t>H</w:t>
      </w:r>
      <w:r w:rsidRPr="00D87BD0">
        <w:rPr>
          <w:rStyle w:val="IntenseEmphasis"/>
          <w:rFonts w:cs="Arial"/>
          <w:b w:val="0"/>
          <w:bCs w:val="0"/>
          <w:i w:val="0"/>
          <w:iCs w:val="0"/>
          <w:sz w:val="22"/>
          <w:szCs w:val="22"/>
        </w:rPr>
        <w:t>.</w:t>
      </w:r>
      <w:r w:rsidR="00360559" w:rsidRPr="00D87BD0">
        <w:rPr>
          <w:rStyle w:val="IntenseEmphasis"/>
          <w:rFonts w:cs="Arial"/>
          <w:b w:val="0"/>
          <w:bCs w:val="0"/>
          <w:i w:val="0"/>
          <w:iCs w:val="0"/>
          <w:sz w:val="22"/>
          <w:szCs w:val="22"/>
        </w:rPr>
        <w:t>, Sousa</w:t>
      </w:r>
      <w:r w:rsidRPr="00D87BD0">
        <w:rPr>
          <w:rStyle w:val="IntenseEmphasis"/>
          <w:rFonts w:cs="Arial"/>
          <w:b w:val="0"/>
          <w:bCs w:val="0"/>
          <w:i w:val="0"/>
          <w:iCs w:val="0"/>
          <w:sz w:val="22"/>
          <w:szCs w:val="22"/>
        </w:rPr>
        <w:t>,</w:t>
      </w:r>
      <w:r w:rsidR="00360559" w:rsidRPr="00D87BD0">
        <w:rPr>
          <w:rStyle w:val="IntenseEmphasis"/>
          <w:rFonts w:cs="Arial"/>
          <w:b w:val="0"/>
          <w:bCs w:val="0"/>
          <w:i w:val="0"/>
          <w:iCs w:val="0"/>
          <w:sz w:val="22"/>
          <w:szCs w:val="22"/>
        </w:rPr>
        <w:t xml:space="preserve"> A</w:t>
      </w:r>
      <w:r w:rsidRPr="00D87BD0">
        <w:rPr>
          <w:rStyle w:val="IntenseEmphasis"/>
          <w:rFonts w:cs="Arial"/>
          <w:b w:val="0"/>
          <w:bCs w:val="0"/>
          <w:i w:val="0"/>
          <w:iCs w:val="0"/>
          <w:sz w:val="22"/>
          <w:szCs w:val="22"/>
        </w:rPr>
        <w:t>. R.</w:t>
      </w:r>
      <w:r w:rsidR="00360559" w:rsidRPr="00D87BD0">
        <w:rPr>
          <w:rStyle w:val="IntenseEmphasis"/>
          <w:rFonts w:cs="Arial"/>
          <w:b w:val="0"/>
          <w:bCs w:val="0"/>
          <w:i w:val="0"/>
          <w:iCs w:val="0"/>
          <w:sz w:val="22"/>
          <w:szCs w:val="22"/>
        </w:rPr>
        <w:t>, Fleming</w:t>
      </w:r>
      <w:r w:rsidRPr="00D87BD0">
        <w:rPr>
          <w:rStyle w:val="IntenseEmphasis"/>
          <w:rFonts w:cs="Arial"/>
          <w:b w:val="0"/>
          <w:bCs w:val="0"/>
          <w:i w:val="0"/>
          <w:iCs w:val="0"/>
          <w:sz w:val="22"/>
          <w:szCs w:val="22"/>
        </w:rPr>
        <w:t>,</w:t>
      </w:r>
      <w:r w:rsidR="00360559" w:rsidRPr="00D87BD0">
        <w:rPr>
          <w:rStyle w:val="IntenseEmphasis"/>
          <w:rFonts w:cs="Arial"/>
          <w:b w:val="0"/>
          <w:bCs w:val="0"/>
          <w:i w:val="0"/>
          <w:iCs w:val="0"/>
          <w:sz w:val="22"/>
          <w:szCs w:val="22"/>
        </w:rPr>
        <w:t xml:space="preserve"> L</w:t>
      </w:r>
      <w:r w:rsidRPr="00D87BD0">
        <w:rPr>
          <w:rStyle w:val="IntenseEmphasis"/>
          <w:rFonts w:cs="Arial"/>
          <w:b w:val="0"/>
          <w:bCs w:val="0"/>
          <w:i w:val="0"/>
          <w:iCs w:val="0"/>
          <w:sz w:val="22"/>
          <w:szCs w:val="22"/>
        </w:rPr>
        <w:t>.</w:t>
      </w:r>
      <w:r w:rsidR="00360559" w:rsidRPr="00D87BD0">
        <w:rPr>
          <w:rStyle w:val="IntenseEmphasis"/>
          <w:rFonts w:cs="Arial"/>
          <w:b w:val="0"/>
          <w:bCs w:val="0"/>
          <w:i w:val="0"/>
          <w:iCs w:val="0"/>
          <w:sz w:val="22"/>
          <w:szCs w:val="22"/>
        </w:rPr>
        <w:t>, Bush</w:t>
      </w:r>
      <w:r w:rsidRPr="00D87BD0">
        <w:rPr>
          <w:rStyle w:val="IntenseEmphasis"/>
          <w:rFonts w:cs="Arial"/>
          <w:b w:val="0"/>
          <w:bCs w:val="0"/>
          <w:i w:val="0"/>
          <w:iCs w:val="0"/>
          <w:sz w:val="22"/>
          <w:szCs w:val="22"/>
        </w:rPr>
        <w:t>,</w:t>
      </w:r>
      <w:r w:rsidR="00360559" w:rsidRPr="00D87BD0">
        <w:rPr>
          <w:rStyle w:val="IntenseEmphasis"/>
          <w:rFonts w:cs="Arial"/>
          <w:b w:val="0"/>
          <w:bCs w:val="0"/>
          <w:i w:val="0"/>
          <w:iCs w:val="0"/>
          <w:sz w:val="22"/>
          <w:szCs w:val="22"/>
        </w:rPr>
        <w:t xml:space="preserve"> A</w:t>
      </w:r>
      <w:r w:rsidRPr="00D87BD0">
        <w:rPr>
          <w:rStyle w:val="IntenseEmphasis"/>
          <w:rFonts w:cs="Arial"/>
          <w:b w:val="0"/>
          <w:bCs w:val="0"/>
          <w:i w:val="0"/>
          <w:iCs w:val="0"/>
          <w:sz w:val="22"/>
          <w:szCs w:val="22"/>
        </w:rPr>
        <w:t>.</w:t>
      </w:r>
      <w:r w:rsidR="00360559" w:rsidRPr="00D87BD0">
        <w:rPr>
          <w:rStyle w:val="IntenseEmphasis"/>
          <w:rFonts w:cs="Arial"/>
          <w:b w:val="0"/>
          <w:bCs w:val="0"/>
          <w:i w:val="0"/>
          <w:iCs w:val="0"/>
          <w:sz w:val="22"/>
          <w:szCs w:val="22"/>
        </w:rPr>
        <w:t>, Chung</w:t>
      </w:r>
      <w:r w:rsidRPr="00D87BD0">
        <w:rPr>
          <w:rStyle w:val="IntenseEmphasis"/>
          <w:rFonts w:cs="Arial"/>
          <w:b w:val="0"/>
          <w:bCs w:val="0"/>
          <w:i w:val="0"/>
          <w:iCs w:val="0"/>
          <w:sz w:val="22"/>
          <w:szCs w:val="22"/>
        </w:rPr>
        <w:t>,</w:t>
      </w:r>
      <w:r w:rsidR="00360559" w:rsidRPr="00D87BD0">
        <w:rPr>
          <w:rStyle w:val="IntenseEmphasis"/>
          <w:rFonts w:cs="Arial"/>
          <w:b w:val="0"/>
          <w:bCs w:val="0"/>
          <w:i w:val="0"/>
          <w:iCs w:val="0"/>
          <w:sz w:val="22"/>
          <w:szCs w:val="22"/>
        </w:rPr>
        <w:t xml:space="preserve"> </w:t>
      </w:r>
      <w:r w:rsidR="002E158A" w:rsidRPr="00D87BD0">
        <w:rPr>
          <w:rStyle w:val="IntenseEmphasis"/>
          <w:rFonts w:cs="Arial"/>
          <w:b w:val="0"/>
          <w:bCs w:val="0"/>
          <w:i w:val="0"/>
          <w:iCs w:val="0"/>
          <w:sz w:val="22"/>
          <w:szCs w:val="22"/>
        </w:rPr>
        <w:t>K</w:t>
      </w:r>
      <w:r w:rsidRPr="00D87BD0">
        <w:rPr>
          <w:rStyle w:val="IntenseEmphasis"/>
          <w:rFonts w:cs="Arial"/>
          <w:b w:val="0"/>
          <w:bCs w:val="0"/>
          <w:i w:val="0"/>
          <w:iCs w:val="0"/>
          <w:sz w:val="22"/>
          <w:szCs w:val="22"/>
        </w:rPr>
        <w:t xml:space="preserve">. </w:t>
      </w:r>
      <w:r w:rsidR="00360559" w:rsidRPr="00D87BD0">
        <w:rPr>
          <w:rStyle w:val="IntenseEmphasis"/>
          <w:rFonts w:cs="Arial"/>
          <w:b w:val="0"/>
          <w:bCs w:val="0"/>
          <w:i w:val="0"/>
          <w:iCs w:val="0"/>
          <w:sz w:val="22"/>
          <w:szCs w:val="22"/>
        </w:rPr>
        <w:t>F</w:t>
      </w:r>
      <w:r w:rsidRPr="00D87BD0">
        <w:rPr>
          <w:rStyle w:val="IntenseEmphasis"/>
          <w:rFonts w:cs="Arial"/>
          <w:b w:val="0"/>
          <w:bCs w:val="0"/>
          <w:i w:val="0"/>
          <w:iCs w:val="0"/>
          <w:sz w:val="22"/>
          <w:szCs w:val="22"/>
        </w:rPr>
        <w:t>.</w:t>
      </w:r>
      <w:r w:rsidR="00360559" w:rsidRPr="00D87BD0">
        <w:rPr>
          <w:rStyle w:val="IntenseEmphasis"/>
          <w:rFonts w:cs="Arial"/>
          <w:b w:val="0"/>
          <w:bCs w:val="0"/>
          <w:i w:val="0"/>
          <w:iCs w:val="0"/>
          <w:sz w:val="22"/>
          <w:szCs w:val="22"/>
        </w:rPr>
        <w:t xml:space="preserve">, </w:t>
      </w:r>
      <w:proofErr w:type="spellStart"/>
      <w:r w:rsidR="00360559" w:rsidRPr="00D87BD0">
        <w:rPr>
          <w:rStyle w:val="IntenseEmphasis"/>
          <w:rFonts w:cs="Arial"/>
          <w:b w:val="0"/>
          <w:bCs w:val="0"/>
          <w:i w:val="0"/>
          <w:iCs w:val="0"/>
          <w:sz w:val="22"/>
          <w:szCs w:val="22"/>
        </w:rPr>
        <w:t>Versnel</w:t>
      </w:r>
      <w:proofErr w:type="spellEnd"/>
      <w:r w:rsidRPr="00D87BD0">
        <w:rPr>
          <w:rStyle w:val="IntenseEmphasis"/>
          <w:rFonts w:cs="Arial"/>
          <w:b w:val="0"/>
          <w:bCs w:val="0"/>
          <w:i w:val="0"/>
          <w:iCs w:val="0"/>
          <w:sz w:val="22"/>
          <w:szCs w:val="22"/>
        </w:rPr>
        <w:t>,</w:t>
      </w:r>
      <w:r w:rsidR="00360559" w:rsidRPr="00D87BD0">
        <w:rPr>
          <w:rStyle w:val="IntenseEmphasis"/>
          <w:rFonts w:cs="Arial"/>
          <w:b w:val="0"/>
          <w:bCs w:val="0"/>
          <w:i w:val="0"/>
          <w:iCs w:val="0"/>
          <w:sz w:val="22"/>
          <w:szCs w:val="22"/>
        </w:rPr>
        <w:t xml:space="preserve"> J</w:t>
      </w:r>
      <w:r w:rsidRPr="00D87BD0">
        <w:rPr>
          <w:rStyle w:val="IntenseEmphasis"/>
          <w:rFonts w:cs="Arial"/>
          <w:b w:val="0"/>
          <w:bCs w:val="0"/>
          <w:i w:val="0"/>
          <w:iCs w:val="0"/>
          <w:sz w:val="22"/>
          <w:szCs w:val="22"/>
        </w:rPr>
        <w:t>.</w:t>
      </w:r>
      <w:r w:rsidR="00360559" w:rsidRPr="00D87BD0">
        <w:rPr>
          <w:rStyle w:val="IntenseEmphasis"/>
          <w:rFonts w:cs="Arial"/>
          <w:b w:val="0"/>
          <w:bCs w:val="0"/>
          <w:i w:val="0"/>
          <w:iCs w:val="0"/>
          <w:sz w:val="22"/>
          <w:szCs w:val="22"/>
        </w:rPr>
        <w:t xml:space="preserve">, </w:t>
      </w:r>
      <w:r w:rsidR="00790974" w:rsidRPr="00D87BD0">
        <w:rPr>
          <w:rStyle w:val="IntenseEmphasis"/>
          <w:rFonts w:cs="Arial"/>
          <w:b w:val="0"/>
          <w:bCs w:val="0"/>
          <w:i w:val="0"/>
          <w:iCs w:val="0"/>
          <w:sz w:val="22"/>
          <w:szCs w:val="22"/>
        </w:rPr>
        <w:t xml:space="preserve">et al. </w:t>
      </w:r>
      <w:r w:rsidRPr="00D87BD0">
        <w:rPr>
          <w:rStyle w:val="IntenseEmphasis"/>
          <w:rFonts w:cs="Arial"/>
          <w:b w:val="0"/>
          <w:bCs w:val="0"/>
          <w:i w:val="0"/>
          <w:iCs w:val="0"/>
          <w:sz w:val="22"/>
          <w:szCs w:val="22"/>
        </w:rPr>
        <w:t xml:space="preserve">(2011) </w:t>
      </w:r>
      <w:r w:rsidR="00360559" w:rsidRPr="00D87BD0">
        <w:rPr>
          <w:rStyle w:val="IntenseEmphasis"/>
          <w:rFonts w:cs="Arial"/>
          <w:b w:val="0"/>
          <w:bCs w:val="0"/>
          <w:i w:val="0"/>
          <w:iCs w:val="0"/>
          <w:sz w:val="22"/>
          <w:szCs w:val="22"/>
        </w:rPr>
        <w:t xml:space="preserve">Diagnosis and definition of severe refractory asthma: an international consensus statement from the Innovative Medicine Initiative (IMI). </w:t>
      </w:r>
      <w:r w:rsidR="00360559" w:rsidRPr="00D87BD0">
        <w:rPr>
          <w:rStyle w:val="IntenseEmphasis"/>
          <w:rFonts w:cs="Arial"/>
          <w:b w:val="0"/>
          <w:bCs w:val="0"/>
          <w:iCs w:val="0"/>
          <w:sz w:val="22"/>
          <w:szCs w:val="22"/>
        </w:rPr>
        <w:t>Thorax</w:t>
      </w:r>
      <w:r w:rsidRPr="00D87BD0">
        <w:rPr>
          <w:rStyle w:val="IntenseEmphasis"/>
          <w:rFonts w:cs="Arial"/>
          <w:b w:val="0"/>
          <w:bCs w:val="0"/>
          <w:iCs w:val="0"/>
          <w:sz w:val="22"/>
          <w:szCs w:val="22"/>
        </w:rPr>
        <w:t>,</w:t>
      </w:r>
      <w:r w:rsidR="00360559" w:rsidRPr="00D87BD0">
        <w:rPr>
          <w:rStyle w:val="IntenseEmphasis"/>
          <w:rFonts w:cs="Arial"/>
          <w:b w:val="0"/>
          <w:bCs w:val="0"/>
          <w:iCs w:val="0"/>
          <w:sz w:val="22"/>
          <w:szCs w:val="22"/>
        </w:rPr>
        <w:t xml:space="preserve"> 66</w:t>
      </w:r>
      <w:r w:rsidR="005F58A6" w:rsidRPr="00D87BD0">
        <w:rPr>
          <w:rStyle w:val="IntenseEmphasis"/>
          <w:rFonts w:cs="Arial"/>
          <w:b w:val="0"/>
          <w:bCs w:val="0"/>
          <w:i w:val="0"/>
          <w:iCs w:val="0"/>
          <w:sz w:val="22"/>
          <w:szCs w:val="22"/>
        </w:rPr>
        <w:t>(10)</w:t>
      </w:r>
      <w:r w:rsidR="002E158A" w:rsidRPr="00D87BD0">
        <w:rPr>
          <w:rStyle w:val="IntenseEmphasis"/>
          <w:rFonts w:cs="Arial"/>
          <w:b w:val="0"/>
          <w:bCs w:val="0"/>
          <w:i w:val="0"/>
          <w:iCs w:val="0"/>
          <w:sz w:val="22"/>
          <w:szCs w:val="22"/>
        </w:rPr>
        <w:t>:</w:t>
      </w:r>
      <w:r w:rsidR="00360559" w:rsidRPr="00D87BD0">
        <w:rPr>
          <w:rStyle w:val="IntenseEmphasis"/>
          <w:rFonts w:cs="Arial"/>
          <w:b w:val="0"/>
          <w:bCs w:val="0"/>
          <w:i w:val="0"/>
          <w:iCs w:val="0"/>
          <w:sz w:val="22"/>
          <w:szCs w:val="22"/>
        </w:rPr>
        <w:t xml:space="preserve"> 910-917.</w:t>
      </w:r>
      <w:r w:rsidR="004B4EBE" w:rsidRPr="00D87BD0">
        <w:t xml:space="preserve"> </w:t>
      </w:r>
      <w:hyperlink r:id="rId10" w:history="1">
        <w:r w:rsidR="004B4EBE" w:rsidRPr="00D87BD0">
          <w:rPr>
            <w:rStyle w:val="Hyperlink"/>
            <w:rFonts w:cs="Arial"/>
            <w:sz w:val="22"/>
            <w:szCs w:val="22"/>
          </w:rPr>
          <w:t>https://doi.org/10.1136/thx.2010.153643</w:t>
        </w:r>
      </w:hyperlink>
      <w:r w:rsidR="004B4EBE" w:rsidRPr="00D87BD0">
        <w:rPr>
          <w:rStyle w:val="IntenseEmphasis"/>
          <w:rFonts w:cs="Arial"/>
          <w:b w:val="0"/>
          <w:bCs w:val="0"/>
          <w:i w:val="0"/>
          <w:iCs w:val="0"/>
          <w:sz w:val="22"/>
          <w:szCs w:val="22"/>
        </w:rPr>
        <w:t>.</w:t>
      </w:r>
    </w:p>
    <w:p w14:paraId="4F567548" w14:textId="77777777" w:rsidR="006A52A3" w:rsidRPr="00D87BD0" w:rsidRDefault="006A52A3" w:rsidP="0047340A">
      <w:pPr>
        <w:spacing w:line="276" w:lineRule="auto"/>
        <w:ind w:left="142" w:hanging="142"/>
        <w:rPr>
          <w:rStyle w:val="IntenseEmphasis"/>
          <w:rFonts w:cs="Arial"/>
          <w:b w:val="0"/>
          <w:bCs w:val="0"/>
          <w:i w:val="0"/>
          <w:iCs w:val="0"/>
          <w:sz w:val="22"/>
          <w:szCs w:val="22"/>
        </w:rPr>
      </w:pPr>
      <w:r w:rsidRPr="00D87BD0">
        <w:rPr>
          <w:rStyle w:val="IntenseEmphasis"/>
          <w:rFonts w:cs="Arial"/>
          <w:b w:val="0"/>
          <w:bCs w:val="0"/>
          <w:i w:val="0"/>
          <w:iCs w:val="0"/>
          <w:sz w:val="22"/>
          <w:szCs w:val="22"/>
        </w:rPr>
        <w:t xml:space="preserve">Bigler, J., Boedigheimer, M., Schofield, J. P. R., Skipp, P. J., Corfield, J., Rowe, A., et al. (2016). A severe asthma disease signature from gene expression profiling of peripheral blood from UBIOPRED cohorts. </w:t>
      </w:r>
      <w:r w:rsidRPr="00D87BD0">
        <w:rPr>
          <w:rStyle w:val="IntenseEmphasis"/>
          <w:rFonts w:cs="Arial"/>
          <w:b w:val="0"/>
          <w:bCs w:val="0"/>
          <w:iCs w:val="0"/>
          <w:sz w:val="22"/>
          <w:szCs w:val="22"/>
        </w:rPr>
        <w:t>American Journal of Respiratory and Critical Care Medicine, 195</w:t>
      </w:r>
      <w:r w:rsidRPr="00D87BD0">
        <w:rPr>
          <w:rStyle w:val="IntenseEmphasis"/>
          <w:rFonts w:cs="Arial"/>
          <w:b w:val="0"/>
          <w:bCs w:val="0"/>
          <w:i w:val="0"/>
          <w:iCs w:val="0"/>
          <w:sz w:val="22"/>
          <w:szCs w:val="22"/>
        </w:rPr>
        <w:t>(10), 1311-1320.</w:t>
      </w:r>
      <w:r w:rsidRPr="00D87BD0">
        <w:t xml:space="preserve"> </w:t>
      </w:r>
      <w:hyperlink r:id="rId11" w:history="1">
        <w:r w:rsidRPr="00D87BD0">
          <w:rPr>
            <w:rStyle w:val="Hyperlink"/>
            <w:rFonts w:cs="Arial"/>
            <w:sz w:val="22"/>
            <w:szCs w:val="22"/>
          </w:rPr>
          <w:t>https://doi.org/10.1164/rccm.201604-0866OC</w:t>
        </w:r>
      </w:hyperlink>
      <w:r w:rsidRPr="00D87BD0">
        <w:rPr>
          <w:rStyle w:val="IntenseEmphasis"/>
          <w:rFonts w:cs="Arial"/>
          <w:b w:val="0"/>
          <w:bCs w:val="0"/>
          <w:i w:val="0"/>
          <w:iCs w:val="0"/>
          <w:sz w:val="22"/>
          <w:szCs w:val="22"/>
        </w:rPr>
        <w:t>.</w:t>
      </w:r>
    </w:p>
    <w:p w14:paraId="42DE1D47" w14:textId="77777777" w:rsidR="006A52A3" w:rsidRPr="00D87BD0" w:rsidRDefault="006A52A3" w:rsidP="0047340A">
      <w:pPr>
        <w:spacing w:line="276" w:lineRule="auto"/>
        <w:ind w:left="142" w:hanging="142"/>
        <w:rPr>
          <w:rStyle w:val="IntenseEmphasis"/>
          <w:rFonts w:cs="Arial"/>
          <w:b w:val="0"/>
          <w:bCs w:val="0"/>
          <w:i w:val="0"/>
          <w:iCs w:val="0"/>
          <w:sz w:val="22"/>
          <w:szCs w:val="22"/>
        </w:rPr>
      </w:pPr>
      <w:r w:rsidRPr="00D87BD0">
        <w:rPr>
          <w:rStyle w:val="IntenseEmphasis"/>
          <w:rFonts w:cs="Arial"/>
          <w:b w:val="0"/>
          <w:bCs w:val="0"/>
          <w:i w:val="0"/>
          <w:iCs w:val="0"/>
          <w:sz w:val="22"/>
          <w:szCs w:val="22"/>
        </w:rPr>
        <w:t xml:space="preserve">Bligh, E. G., &amp; Dyer, W. J. (1959). A rapid method of total lipid extraction and purification. </w:t>
      </w:r>
      <w:r w:rsidRPr="00D87BD0">
        <w:rPr>
          <w:rStyle w:val="IntenseEmphasis"/>
          <w:rFonts w:cs="Arial"/>
          <w:b w:val="0"/>
          <w:bCs w:val="0"/>
          <w:iCs w:val="0"/>
          <w:sz w:val="22"/>
          <w:szCs w:val="22"/>
        </w:rPr>
        <w:t>Canadian Journal of Biochemistry and Physiology, 37</w:t>
      </w:r>
      <w:r w:rsidRPr="00D87BD0">
        <w:rPr>
          <w:rStyle w:val="IntenseEmphasis"/>
          <w:rFonts w:cs="Arial"/>
          <w:b w:val="0"/>
          <w:bCs w:val="0"/>
          <w:i w:val="0"/>
          <w:iCs w:val="0"/>
          <w:sz w:val="22"/>
          <w:szCs w:val="22"/>
        </w:rPr>
        <w:t>(8), 911-917.</w:t>
      </w:r>
      <w:r w:rsidRPr="00D87BD0">
        <w:t xml:space="preserve"> </w:t>
      </w:r>
      <w:hyperlink r:id="rId12" w:history="1">
        <w:r w:rsidRPr="00D87BD0">
          <w:rPr>
            <w:rStyle w:val="Hyperlink"/>
            <w:rFonts w:cs="Arial"/>
            <w:sz w:val="22"/>
            <w:szCs w:val="22"/>
          </w:rPr>
          <w:t>https://doi.org/10.1139/o59-099</w:t>
        </w:r>
      </w:hyperlink>
      <w:r w:rsidRPr="00D87BD0">
        <w:rPr>
          <w:rStyle w:val="IntenseEmphasis"/>
          <w:rFonts w:cs="Arial"/>
          <w:b w:val="0"/>
          <w:bCs w:val="0"/>
          <w:i w:val="0"/>
          <w:iCs w:val="0"/>
          <w:sz w:val="22"/>
          <w:szCs w:val="22"/>
        </w:rPr>
        <w:t>.</w:t>
      </w:r>
    </w:p>
    <w:p w14:paraId="54EACE83" w14:textId="33BCA3B2" w:rsidR="00217043" w:rsidRPr="00D87BD0" w:rsidRDefault="00217043" w:rsidP="0047340A">
      <w:pPr>
        <w:spacing w:line="276" w:lineRule="auto"/>
        <w:rPr>
          <w:rStyle w:val="IntenseEmphasis"/>
          <w:rFonts w:cs="Arial"/>
          <w:b w:val="0"/>
          <w:bCs w:val="0"/>
          <w:i w:val="0"/>
          <w:iCs w:val="0"/>
          <w:sz w:val="22"/>
          <w:szCs w:val="22"/>
        </w:rPr>
      </w:pPr>
      <w:proofErr w:type="spellStart"/>
      <w:r w:rsidRPr="00D87BD0">
        <w:rPr>
          <w:rStyle w:val="IntenseEmphasis"/>
          <w:rFonts w:cs="Arial"/>
          <w:b w:val="0"/>
          <w:bCs w:val="0"/>
          <w:i w:val="0"/>
          <w:iCs w:val="0"/>
          <w:sz w:val="22"/>
          <w:szCs w:val="22"/>
        </w:rPr>
        <w:t>Carlsson</w:t>
      </w:r>
      <w:proofErr w:type="spellEnd"/>
      <w:r w:rsidRPr="00D87BD0">
        <w:rPr>
          <w:rStyle w:val="IntenseEmphasis"/>
          <w:rFonts w:cs="Arial"/>
          <w:b w:val="0"/>
          <w:bCs w:val="0"/>
          <w:i w:val="0"/>
          <w:iCs w:val="0"/>
          <w:sz w:val="22"/>
          <w:szCs w:val="22"/>
        </w:rPr>
        <w:t xml:space="preserve">, G. (2009) Topology and data. </w:t>
      </w:r>
      <w:r w:rsidRPr="00D87BD0">
        <w:rPr>
          <w:rStyle w:val="IntenseEmphasis"/>
          <w:rFonts w:cs="Arial"/>
          <w:b w:val="0"/>
          <w:bCs w:val="0"/>
          <w:iCs w:val="0"/>
          <w:sz w:val="22"/>
          <w:szCs w:val="22"/>
        </w:rPr>
        <w:t>Bulletin of the American Mathematical Society, 46</w:t>
      </w:r>
      <w:r w:rsidRPr="00D87BD0">
        <w:rPr>
          <w:rStyle w:val="IntenseEmphasis"/>
          <w:rFonts w:cs="Arial"/>
          <w:b w:val="0"/>
          <w:bCs w:val="0"/>
          <w:i w:val="0"/>
          <w:iCs w:val="0"/>
          <w:sz w:val="22"/>
          <w:szCs w:val="22"/>
        </w:rPr>
        <w:t>(2): 255–308.</w:t>
      </w:r>
      <w:r w:rsidR="004B4EBE" w:rsidRPr="00D87BD0">
        <w:t xml:space="preserve"> </w:t>
      </w:r>
      <w:hyperlink r:id="rId13" w:history="1">
        <w:r w:rsidR="004B4EBE" w:rsidRPr="00D87BD0">
          <w:rPr>
            <w:rStyle w:val="Hyperlink"/>
            <w:rFonts w:cs="Arial"/>
            <w:sz w:val="22"/>
            <w:szCs w:val="22"/>
          </w:rPr>
          <w:t>https://doi.org/10.1090/S0273-0979-09-01249-X</w:t>
        </w:r>
      </w:hyperlink>
      <w:r w:rsidR="004B4EBE" w:rsidRPr="00D87BD0">
        <w:rPr>
          <w:rStyle w:val="IntenseEmphasis"/>
          <w:rFonts w:cs="Arial"/>
          <w:b w:val="0"/>
          <w:bCs w:val="0"/>
          <w:i w:val="0"/>
          <w:iCs w:val="0"/>
          <w:sz w:val="22"/>
          <w:szCs w:val="22"/>
        </w:rPr>
        <w:t>.</w:t>
      </w:r>
    </w:p>
    <w:p w14:paraId="65155B7D" w14:textId="6DA75E1C" w:rsidR="00217043" w:rsidRPr="00D87BD0" w:rsidRDefault="00217043" w:rsidP="0047340A">
      <w:pPr>
        <w:spacing w:line="276" w:lineRule="auto"/>
        <w:ind w:left="142" w:hanging="142"/>
        <w:rPr>
          <w:rStyle w:val="IntenseEmphasis"/>
          <w:rFonts w:cs="Arial"/>
          <w:b w:val="0"/>
          <w:bCs w:val="0"/>
          <w:i w:val="0"/>
          <w:iCs w:val="0"/>
          <w:sz w:val="22"/>
          <w:szCs w:val="22"/>
        </w:rPr>
      </w:pPr>
      <w:r w:rsidRPr="00D87BD0">
        <w:rPr>
          <w:rStyle w:val="IntenseEmphasis"/>
          <w:rFonts w:cs="Arial"/>
          <w:b w:val="0"/>
          <w:bCs w:val="0"/>
          <w:i w:val="0"/>
          <w:iCs w:val="0"/>
          <w:sz w:val="22"/>
          <w:szCs w:val="22"/>
        </w:rPr>
        <w:t xml:space="preserve">Djukanović, R., </w:t>
      </w:r>
      <w:proofErr w:type="spellStart"/>
      <w:r w:rsidRPr="00D87BD0">
        <w:rPr>
          <w:rStyle w:val="IntenseEmphasis"/>
          <w:rFonts w:cs="Arial"/>
          <w:b w:val="0"/>
          <w:bCs w:val="0"/>
          <w:i w:val="0"/>
          <w:iCs w:val="0"/>
          <w:sz w:val="22"/>
          <w:szCs w:val="22"/>
        </w:rPr>
        <w:t>Sterk</w:t>
      </w:r>
      <w:proofErr w:type="spellEnd"/>
      <w:r w:rsidRPr="00D87BD0">
        <w:rPr>
          <w:rStyle w:val="IntenseEmphasis"/>
          <w:rFonts w:cs="Arial"/>
          <w:b w:val="0"/>
          <w:bCs w:val="0"/>
          <w:i w:val="0"/>
          <w:iCs w:val="0"/>
          <w:sz w:val="22"/>
          <w:szCs w:val="22"/>
        </w:rPr>
        <w:t xml:space="preserve">, P. J., </w:t>
      </w:r>
      <w:proofErr w:type="spellStart"/>
      <w:r w:rsidRPr="00D87BD0">
        <w:rPr>
          <w:rStyle w:val="IntenseEmphasis"/>
          <w:rFonts w:cs="Arial"/>
          <w:b w:val="0"/>
          <w:bCs w:val="0"/>
          <w:i w:val="0"/>
          <w:iCs w:val="0"/>
          <w:sz w:val="22"/>
          <w:szCs w:val="22"/>
        </w:rPr>
        <w:t>Fahy</w:t>
      </w:r>
      <w:proofErr w:type="spellEnd"/>
      <w:r w:rsidRPr="00D87BD0">
        <w:rPr>
          <w:rStyle w:val="IntenseEmphasis"/>
          <w:rFonts w:cs="Arial"/>
          <w:b w:val="0"/>
          <w:bCs w:val="0"/>
          <w:i w:val="0"/>
          <w:iCs w:val="0"/>
          <w:sz w:val="22"/>
          <w:szCs w:val="22"/>
        </w:rPr>
        <w:t xml:space="preserve">, J. V., &amp; </w:t>
      </w:r>
      <w:proofErr w:type="spellStart"/>
      <w:r w:rsidRPr="00D87BD0">
        <w:rPr>
          <w:rStyle w:val="IntenseEmphasis"/>
          <w:rFonts w:cs="Arial"/>
          <w:b w:val="0"/>
          <w:bCs w:val="0"/>
          <w:i w:val="0"/>
          <w:iCs w:val="0"/>
          <w:sz w:val="22"/>
          <w:szCs w:val="22"/>
        </w:rPr>
        <w:t>Hargreave</w:t>
      </w:r>
      <w:proofErr w:type="spellEnd"/>
      <w:r w:rsidRPr="00D87BD0">
        <w:rPr>
          <w:rStyle w:val="IntenseEmphasis"/>
          <w:rFonts w:cs="Arial"/>
          <w:b w:val="0"/>
          <w:bCs w:val="0"/>
          <w:i w:val="0"/>
          <w:iCs w:val="0"/>
          <w:sz w:val="22"/>
          <w:szCs w:val="22"/>
        </w:rPr>
        <w:t xml:space="preserve">, F. E. (2002) Standardised methodology of sputum induction and processing. </w:t>
      </w:r>
      <w:r w:rsidRPr="00D87BD0">
        <w:rPr>
          <w:rStyle w:val="IntenseEmphasis"/>
          <w:rFonts w:cs="Arial"/>
          <w:b w:val="0"/>
          <w:bCs w:val="0"/>
          <w:iCs w:val="0"/>
          <w:sz w:val="22"/>
          <w:szCs w:val="22"/>
        </w:rPr>
        <w:t>European Respiratory Journal, 20</w:t>
      </w:r>
      <w:r w:rsidRPr="00D87BD0">
        <w:rPr>
          <w:rStyle w:val="IntenseEmphasis"/>
          <w:rFonts w:cs="Arial"/>
          <w:b w:val="0"/>
          <w:bCs w:val="0"/>
          <w:i w:val="0"/>
          <w:iCs w:val="0"/>
          <w:sz w:val="22"/>
          <w:szCs w:val="22"/>
        </w:rPr>
        <w:t>(</w:t>
      </w:r>
      <w:r w:rsidR="004B4EBE" w:rsidRPr="00D87BD0">
        <w:rPr>
          <w:rStyle w:val="IntenseEmphasis"/>
          <w:rFonts w:cs="Arial"/>
          <w:b w:val="0"/>
          <w:bCs w:val="0"/>
          <w:i w:val="0"/>
          <w:iCs w:val="0"/>
          <w:sz w:val="22"/>
          <w:szCs w:val="22"/>
        </w:rPr>
        <w:t xml:space="preserve">37 </w:t>
      </w:r>
      <w:proofErr w:type="spellStart"/>
      <w:r w:rsidR="004B4EBE" w:rsidRPr="00D87BD0">
        <w:rPr>
          <w:rStyle w:val="IntenseEmphasis"/>
          <w:rFonts w:cs="Arial"/>
          <w:b w:val="0"/>
          <w:bCs w:val="0"/>
          <w:i w:val="0"/>
          <w:iCs w:val="0"/>
          <w:sz w:val="22"/>
          <w:szCs w:val="22"/>
        </w:rPr>
        <w:t>suppl</w:t>
      </w:r>
      <w:proofErr w:type="spellEnd"/>
      <w:r w:rsidRPr="00D87BD0">
        <w:rPr>
          <w:rStyle w:val="IntenseEmphasis"/>
          <w:rFonts w:cs="Arial"/>
          <w:b w:val="0"/>
          <w:bCs w:val="0"/>
          <w:i w:val="0"/>
          <w:iCs w:val="0"/>
          <w:sz w:val="22"/>
          <w:szCs w:val="22"/>
        </w:rPr>
        <w:t>): 1s-2s.</w:t>
      </w:r>
      <w:r w:rsidR="004B4EBE" w:rsidRPr="00D87BD0">
        <w:t xml:space="preserve"> </w:t>
      </w:r>
      <w:hyperlink r:id="rId14" w:history="1">
        <w:r w:rsidR="004B4EBE" w:rsidRPr="00D87BD0">
          <w:rPr>
            <w:rStyle w:val="Hyperlink"/>
            <w:rFonts w:cs="Arial"/>
            <w:sz w:val="22"/>
            <w:szCs w:val="22"/>
          </w:rPr>
          <w:t>https://doi.org/10.1183/09031936.02.00000102</w:t>
        </w:r>
      </w:hyperlink>
      <w:r w:rsidR="004B4EBE" w:rsidRPr="00D87BD0">
        <w:rPr>
          <w:rStyle w:val="IntenseEmphasis"/>
          <w:rFonts w:cs="Arial"/>
          <w:b w:val="0"/>
          <w:bCs w:val="0"/>
          <w:i w:val="0"/>
          <w:iCs w:val="0"/>
          <w:sz w:val="22"/>
          <w:szCs w:val="22"/>
        </w:rPr>
        <w:t>.</w:t>
      </w:r>
    </w:p>
    <w:p w14:paraId="136B5383" w14:textId="77777777" w:rsidR="006A52A3" w:rsidRPr="00D87BD0" w:rsidRDefault="006A52A3" w:rsidP="0047340A">
      <w:pPr>
        <w:spacing w:line="276" w:lineRule="auto"/>
        <w:ind w:left="142" w:hanging="142"/>
        <w:rPr>
          <w:rStyle w:val="IntenseEmphasis"/>
          <w:rFonts w:cs="Arial"/>
          <w:b w:val="0"/>
          <w:bCs w:val="0"/>
          <w:i w:val="0"/>
          <w:iCs w:val="0"/>
          <w:sz w:val="22"/>
          <w:szCs w:val="22"/>
        </w:rPr>
      </w:pPr>
      <w:r w:rsidRPr="00D87BD0">
        <w:rPr>
          <w:rStyle w:val="IntenseEmphasis"/>
          <w:rFonts w:cs="Arial"/>
          <w:b w:val="0"/>
          <w:bCs w:val="0"/>
          <w:i w:val="0"/>
          <w:iCs w:val="0"/>
          <w:sz w:val="22"/>
          <w:szCs w:val="22"/>
        </w:rPr>
        <w:t xml:space="preserve">Hinks, T. S. C., Brown, T., Lau, L. C. K., </w:t>
      </w:r>
      <w:proofErr w:type="spellStart"/>
      <w:r w:rsidRPr="00D87BD0">
        <w:rPr>
          <w:rStyle w:val="IntenseEmphasis"/>
          <w:rFonts w:cs="Arial"/>
          <w:b w:val="0"/>
          <w:bCs w:val="0"/>
          <w:i w:val="0"/>
          <w:iCs w:val="0"/>
          <w:sz w:val="22"/>
          <w:szCs w:val="22"/>
        </w:rPr>
        <w:t>Rupani</w:t>
      </w:r>
      <w:proofErr w:type="spellEnd"/>
      <w:r w:rsidRPr="00D87BD0">
        <w:rPr>
          <w:rStyle w:val="IntenseEmphasis"/>
          <w:rFonts w:cs="Arial"/>
          <w:b w:val="0"/>
          <w:bCs w:val="0"/>
          <w:i w:val="0"/>
          <w:iCs w:val="0"/>
          <w:sz w:val="22"/>
          <w:szCs w:val="22"/>
        </w:rPr>
        <w:t xml:space="preserve">, H., Barber, C., Elliott, S., et al. (2016). Multidimensional </w:t>
      </w:r>
      <w:proofErr w:type="spellStart"/>
      <w:r w:rsidRPr="00D87BD0">
        <w:rPr>
          <w:rStyle w:val="IntenseEmphasis"/>
          <w:rFonts w:cs="Arial"/>
          <w:b w:val="0"/>
          <w:bCs w:val="0"/>
          <w:i w:val="0"/>
          <w:iCs w:val="0"/>
          <w:sz w:val="22"/>
          <w:szCs w:val="22"/>
        </w:rPr>
        <w:t>endotyping</w:t>
      </w:r>
      <w:proofErr w:type="spellEnd"/>
      <w:r w:rsidRPr="00D87BD0">
        <w:rPr>
          <w:rStyle w:val="IntenseEmphasis"/>
          <w:rFonts w:cs="Arial"/>
          <w:b w:val="0"/>
          <w:bCs w:val="0"/>
          <w:i w:val="0"/>
          <w:iCs w:val="0"/>
          <w:sz w:val="22"/>
          <w:szCs w:val="22"/>
        </w:rPr>
        <w:t xml:space="preserve"> in patients with severe asthma reveals inflammatory heterogeneity in matrix metalloproteinases and </w:t>
      </w:r>
      <w:proofErr w:type="spellStart"/>
      <w:r w:rsidRPr="00D87BD0">
        <w:rPr>
          <w:rStyle w:val="IntenseEmphasis"/>
          <w:rFonts w:cs="Arial"/>
          <w:b w:val="0"/>
          <w:bCs w:val="0"/>
          <w:i w:val="0"/>
          <w:iCs w:val="0"/>
          <w:sz w:val="22"/>
          <w:szCs w:val="22"/>
        </w:rPr>
        <w:t>chitinase</w:t>
      </w:r>
      <w:proofErr w:type="spellEnd"/>
      <w:r w:rsidRPr="00D87BD0">
        <w:rPr>
          <w:rStyle w:val="IntenseEmphasis"/>
          <w:rFonts w:cs="Arial"/>
          <w:b w:val="0"/>
          <w:bCs w:val="0"/>
          <w:i w:val="0"/>
          <w:iCs w:val="0"/>
          <w:sz w:val="22"/>
          <w:szCs w:val="22"/>
        </w:rPr>
        <w:t xml:space="preserve"> 3–like protein 1. </w:t>
      </w:r>
      <w:r w:rsidRPr="00D87BD0">
        <w:rPr>
          <w:rStyle w:val="IntenseEmphasis"/>
          <w:rFonts w:cs="Arial"/>
          <w:b w:val="0"/>
          <w:bCs w:val="0"/>
          <w:iCs w:val="0"/>
          <w:sz w:val="22"/>
          <w:szCs w:val="22"/>
        </w:rPr>
        <w:t>The Journal of Allergy and Clinical Immunology, 138</w:t>
      </w:r>
      <w:r w:rsidRPr="00D87BD0">
        <w:rPr>
          <w:rStyle w:val="IntenseEmphasis"/>
          <w:rFonts w:cs="Arial"/>
          <w:b w:val="0"/>
          <w:bCs w:val="0"/>
          <w:i w:val="0"/>
          <w:iCs w:val="0"/>
          <w:sz w:val="22"/>
          <w:szCs w:val="22"/>
        </w:rPr>
        <w:t>(1), 61-75.</w:t>
      </w:r>
      <w:r w:rsidRPr="00D87BD0">
        <w:t xml:space="preserve"> </w:t>
      </w:r>
      <w:hyperlink r:id="rId15" w:history="1">
        <w:r w:rsidRPr="00D87BD0">
          <w:rPr>
            <w:rStyle w:val="Hyperlink"/>
            <w:rFonts w:cs="Arial"/>
            <w:sz w:val="22"/>
            <w:szCs w:val="22"/>
          </w:rPr>
          <w:t>https://doi.org/10.1016/j.jaci.2015.11.020</w:t>
        </w:r>
      </w:hyperlink>
      <w:r w:rsidRPr="00D87BD0">
        <w:rPr>
          <w:rStyle w:val="IntenseEmphasis"/>
          <w:rFonts w:cs="Arial"/>
          <w:b w:val="0"/>
          <w:bCs w:val="0"/>
          <w:i w:val="0"/>
          <w:iCs w:val="0"/>
          <w:sz w:val="22"/>
          <w:szCs w:val="22"/>
        </w:rPr>
        <w:t>.</w:t>
      </w:r>
    </w:p>
    <w:p w14:paraId="33A1F8E7" w14:textId="77777777" w:rsidR="006357CD" w:rsidRPr="00D87BD0" w:rsidRDefault="006357CD" w:rsidP="0047340A">
      <w:pPr>
        <w:tabs>
          <w:tab w:val="left" w:pos="0"/>
        </w:tabs>
        <w:spacing w:line="276" w:lineRule="auto"/>
        <w:ind w:left="142" w:hanging="142"/>
        <w:rPr>
          <w:rStyle w:val="IntenseEmphasis"/>
          <w:rFonts w:cs="Arial"/>
          <w:b w:val="0"/>
          <w:bCs w:val="0"/>
          <w:i w:val="0"/>
          <w:iCs w:val="0"/>
          <w:sz w:val="22"/>
          <w:szCs w:val="22"/>
        </w:rPr>
      </w:pPr>
      <w:r w:rsidRPr="00D87BD0">
        <w:rPr>
          <w:rStyle w:val="IntenseEmphasis"/>
          <w:rFonts w:cs="Arial"/>
          <w:b w:val="0"/>
          <w:bCs w:val="0"/>
          <w:i w:val="0"/>
          <w:iCs w:val="0"/>
          <w:sz w:val="22"/>
          <w:szCs w:val="22"/>
        </w:rPr>
        <w:t xml:space="preserve">Hsu, F. F., &amp; Turk, J. (2003). Electrospray ionization/tandem quadrupole mass spectrometric studies on phosphatidylcholines: the fragmentation processes. </w:t>
      </w:r>
      <w:r w:rsidRPr="00D87BD0">
        <w:rPr>
          <w:rStyle w:val="IntenseEmphasis"/>
          <w:rFonts w:cs="Arial"/>
          <w:b w:val="0"/>
          <w:bCs w:val="0"/>
          <w:iCs w:val="0"/>
          <w:sz w:val="22"/>
          <w:szCs w:val="22"/>
        </w:rPr>
        <w:t>Journal of American Society for Mass Spectrometry, 14</w:t>
      </w:r>
      <w:r w:rsidRPr="00D87BD0">
        <w:rPr>
          <w:rStyle w:val="IntenseEmphasis"/>
          <w:rFonts w:cs="Arial"/>
          <w:b w:val="0"/>
          <w:bCs w:val="0"/>
          <w:i w:val="0"/>
          <w:iCs w:val="0"/>
          <w:sz w:val="22"/>
          <w:szCs w:val="22"/>
        </w:rPr>
        <w:t>(4), 352-363.</w:t>
      </w:r>
      <w:r w:rsidRPr="00D87BD0">
        <w:t xml:space="preserve"> </w:t>
      </w:r>
      <w:hyperlink r:id="rId16" w:history="1">
        <w:r w:rsidRPr="00D87BD0">
          <w:rPr>
            <w:rStyle w:val="Hyperlink"/>
            <w:rFonts w:cs="Arial"/>
            <w:sz w:val="22"/>
            <w:szCs w:val="22"/>
          </w:rPr>
          <w:t>https://doi.org/10.1016/S1044-0305(03)00064-3</w:t>
        </w:r>
      </w:hyperlink>
      <w:r w:rsidRPr="00D87BD0">
        <w:rPr>
          <w:rStyle w:val="IntenseEmphasis"/>
          <w:rFonts w:cs="Arial"/>
          <w:b w:val="0"/>
          <w:bCs w:val="0"/>
          <w:i w:val="0"/>
          <w:iCs w:val="0"/>
          <w:sz w:val="22"/>
          <w:szCs w:val="22"/>
        </w:rPr>
        <w:t>.</w:t>
      </w:r>
    </w:p>
    <w:p w14:paraId="0BDF13AB" w14:textId="5B425D91" w:rsidR="00217043" w:rsidRPr="00D87BD0" w:rsidRDefault="00217043" w:rsidP="0047340A">
      <w:pPr>
        <w:spacing w:line="276" w:lineRule="auto"/>
        <w:ind w:left="142" w:hanging="142"/>
        <w:rPr>
          <w:rStyle w:val="IntenseEmphasis"/>
          <w:rFonts w:cs="Arial"/>
          <w:b w:val="0"/>
          <w:bCs w:val="0"/>
          <w:i w:val="0"/>
          <w:iCs w:val="0"/>
          <w:sz w:val="22"/>
          <w:szCs w:val="22"/>
        </w:rPr>
      </w:pPr>
      <w:r w:rsidRPr="00D87BD0">
        <w:rPr>
          <w:rStyle w:val="IntenseEmphasis"/>
          <w:rFonts w:cs="Arial"/>
          <w:b w:val="0"/>
          <w:bCs w:val="0"/>
          <w:i w:val="0"/>
          <w:iCs w:val="0"/>
          <w:sz w:val="22"/>
          <w:szCs w:val="22"/>
        </w:rPr>
        <w:t xml:space="preserve">Johnson, W. E., Li, C., &amp; </w:t>
      </w:r>
      <w:proofErr w:type="spellStart"/>
      <w:r w:rsidRPr="00D87BD0">
        <w:rPr>
          <w:rStyle w:val="IntenseEmphasis"/>
          <w:rFonts w:cs="Arial"/>
          <w:b w:val="0"/>
          <w:bCs w:val="0"/>
          <w:i w:val="0"/>
          <w:iCs w:val="0"/>
          <w:sz w:val="22"/>
          <w:szCs w:val="22"/>
        </w:rPr>
        <w:t>Rabinovic</w:t>
      </w:r>
      <w:proofErr w:type="spellEnd"/>
      <w:r w:rsidRPr="00D87BD0">
        <w:rPr>
          <w:rStyle w:val="IntenseEmphasis"/>
          <w:rFonts w:cs="Arial"/>
          <w:b w:val="0"/>
          <w:bCs w:val="0"/>
          <w:i w:val="0"/>
          <w:iCs w:val="0"/>
          <w:sz w:val="22"/>
          <w:szCs w:val="22"/>
        </w:rPr>
        <w:t xml:space="preserve">, A. (2007) Adjusting batch effects in microarray expression data using empirical Bayes methods. </w:t>
      </w:r>
      <w:r w:rsidRPr="00D87BD0">
        <w:rPr>
          <w:rStyle w:val="IntenseEmphasis"/>
          <w:rFonts w:cs="Arial"/>
          <w:b w:val="0"/>
          <w:bCs w:val="0"/>
          <w:iCs w:val="0"/>
          <w:sz w:val="22"/>
          <w:szCs w:val="22"/>
        </w:rPr>
        <w:t>Biostatistics, 8</w:t>
      </w:r>
      <w:r w:rsidRPr="00D87BD0">
        <w:rPr>
          <w:rStyle w:val="IntenseEmphasis"/>
          <w:rFonts w:cs="Arial"/>
          <w:b w:val="0"/>
          <w:bCs w:val="0"/>
          <w:i w:val="0"/>
          <w:iCs w:val="0"/>
          <w:sz w:val="22"/>
          <w:szCs w:val="22"/>
        </w:rPr>
        <w:t>(1), 118-127.</w:t>
      </w:r>
      <w:r w:rsidR="0020220A" w:rsidRPr="00D87BD0">
        <w:t xml:space="preserve"> </w:t>
      </w:r>
      <w:hyperlink r:id="rId17" w:history="1">
        <w:r w:rsidR="0020220A" w:rsidRPr="00D87BD0">
          <w:rPr>
            <w:rStyle w:val="Hyperlink"/>
            <w:rFonts w:cs="Arial"/>
            <w:sz w:val="22"/>
            <w:szCs w:val="22"/>
          </w:rPr>
          <w:t>https://doi.org/10.1093/biostatistics/kxj037</w:t>
        </w:r>
      </w:hyperlink>
      <w:r w:rsidR="0020220A" w:rsidRPr="00D87BD0">
        <w:rPr>
          <w:rStyle w:val="IntenseEmphasis"/>
          <w:rFonts w:cs="Arial"/>
          <w:b w:val="0"/>
          <w:bCs w:val="0"/>
          <w:i w:val="0"/>
          <w:iCs w:val="0"/>
          <w:sz w:val="22"/>
          <w:szCs w:val="22"/>
        </w:rPr>
        <w:t>.</w:t>
      </w:r>
    </w:p>
    <w:p w14:paraId="02AD3FAD" w14:textId="77777777" w:rsidR="006357CD" w:rsidRPr="00D87BD0" w:rsidRDefault="006357CD" w:rsidP="0047340A">
      <w:pPr>
        <w:tabs>
          <w:tab w:val="left" w:pos="0"/>
        </w:tabs>
        <w:spacing w:line="276" w:lineRule="auto"/>
        <w:ind w:left="142" w:hanging="142"/>
        <w:rPr>
          <w:rStyle w:val="IntenseEmphasis"/>
          <w:rFonts w:cs="Arial"/>
          <w:b w:val="0"/>
          <w:bCs w:val="0"/>
          <w:i w:val="0"/>
          <w:iCs w:val="0"/>
          <w:sz w:val="22"/>
          <w:szCs w:val="22"/>
        </w:rPr>
      </w:pPr>
      <w:r w:rsidRPr="00D87BD0">
        <w:rPr>
          <w:rStyle w:val="IntenseEmphasis"/>
          <w:rFonts w:cs="Arial"/>
          <w:b w:val="0"/>
          <w:bCs w:val="0"/>
          <w:i w:val="0"/>
          <w:iCs w:val="0"/>
          <w:sz w:val="22"/>
          <w:szCs w:val="22"/>
        </w:rPr>
        <w:t xml:space="preserve">Shaw, D. E., Sousa, A. R., Fowler, S. J., Fleming, L. J., Roberts, G., Corfield, J., et al. (2015). Clinical and inflammatory characteristics of the European U-BIOPRED adult severe asthma cohort. </w:t>
      </w:r>
      <w:r w:rsidRPr="00D87BD0">
        <w:rPr>
          <w:rStyle w:val="IntenseEmphasis"/>
          <w:rFonts w:cs="Arial"/>
          <w:b w:val="0"/>
          <w:bCs w:val="0"/>
          <w:iCs w:val="0"/>
          <w:sz w:val="22"/>
          <w:szCs w:val="22"/>
        </w:rPr>
        <w:t>European Respiratory Journal, 46</w:t>
      </w:r>
      <w:r w:rsidRPr="00D87BD0">
        <w:rPr>
          <w:rStyle w:val="IntenseEmphasis"/>
          <w:rFonts w:cs="Arial"/>
          <w:b w:val="0"/>
          <w:bCs w:val="0"/>
          <w:i w:val="0"/>
          <w:iCs w:val="0"/>
          <w:sz w:val="22"/>
          <w:szCs w:val="22"/>
        </w:rPr>
        <w:t>(5), 1308-1321.</w:t>
      </w:r>
      <w:r w:rsidRPr="00D87BD0">
        <w:t xml:space="preserve"> </w:t>
      </w:r>
      <w:hyperlink r:id="rId18" w:history="1">
        <w:r w:rsidRPr="00D87BD0">
          <w:rPr>
            <w:rStyle w:val="Hyperlink"/>
            <w:rFonts w:cs="Arial"/>
            <w:sz w:val="22"/>
            <w:szCs w:val="22"/>
          </w:rPr>
          <w:t>https://doi.org/10.1183/13993003.50779-2015</w:t>
        </w:r>
      </w:hyperlink>
      <w:r w:rsidRPr="00D87BD0">
        <w:rPr>
          <w:rStyle w:val="IntenseEmphasis"/>
          <w:rFonts w:cs="Arial"/>
          <w:b w:val="0"/>
          <w:bCs w:val="0"/>
          <w:i w:val="0"/>
          <w:iCs w:val="0"/>
          <w:sz w:val="22"/>
          <w:szCs w:val="22"/>
        </w:rPr>
        <w:t>.</w:t>
      </w:r>
    </w:p>
    <w:p w14:paraId="16537F0D" w14:textId="0B2E8E0D" w:rsidR="0020220A" w:rsidRPr="00D87BD0" w:rsidRDefault="00495F2A" w:rsidP="0047340A">
      <w:pPr>
        <w:spacing w:line="276" w:lineRule="auto"/>
        <w:ind w:left="142" w:hanging="142"/>
        <w:rPr>
          <w:rStyle w:val="IntenseEmphasis"/>
          <w:rFonts w:cs="Arial"/>
          <w:b w:val="0"/>
          <w:bCs w:val="0"/>
          <w:i w:val="0"/>
          <w:iCs w:val="0"/>
          <w:sz w:val="22"/>
          <w:szCs w:val="22"/>
        </w:rPr>
      </w:pPr>
      <w:r w:rsidRPr="00D87BD0">
        <w:rPr>
          <w:rStyle w:val="IntenseEmphasis"/>
          <w:rFonts w:cs="Arial"/>
          <w:b w:val="0"/>
          <w:bCs w:val="0"/>
          <w:i w:val="0"/>
          <w:iCs w:val="0"/>
          <w:sz w:val="22"/>
          <w:szCs w:val="22"/>
        </w:rPr>
        <w:t>Wheelock</w:t>
      </w:r>
      <w:r w:rsidR="00C307AD" w:rsidRPr="00D87BD0">
        <w:rPr>
          <w:rStyle w:val="IntenseEmphasis"/>
          <w:rFonts w:cs="Arial"/>
          <w:b w:val="0"/>
          <w:bCs w:val="0"/>
          <w:i w:val="0"/>
          <w:iCs w:val="0"/>
          <w:sz w:val="22"/>
          <w:szCs w:val="22"/>
        </w:rPr>
        <w:t>,</w:t>
      </w:r>
      <w:r w:rsidRPr="00D87BD0">
        <w:rPr>
          <w:rStyle w:val="IntenseEmphasis"/>
          <w:rFonts w:cs="Arial"/>
          <w:b w:val="0"/>
          <w:bCs w:val="0"/>
          <w:i w:val="0"/>
          <w:iCs w:val="0"/>
          <w:sz w:val="22"/>
          <w:szCs w:val="22"/>
        </w:rPr>
        <w:t xml:space="preserve"> </w:t>
      </w:r>
      <w:r w:rsidR="002E158A" w:rsidRPr="00D87BD0">
        <w:rPr>
          <w:rStyle w:val="IntenseEmphasis"/>
          <w:rFonts w:cs="Arial"/>
          <w:b w:val="0"/>
          <w:bCs w:val="0"/>
          <w:i w:val="0"/>
          <w:iCs w:val="0"/>
          <w:sz w:val="22"/>
          <w:szCs w:val="22"/>
        </w:rPr>
        <w:t>C</w:t>
      </w:r>
      <w:r w:rsidR="00C307AD" w:rsidRPr="00D87BD0">
        <w:rPr>
          <w:rStyle w:val="IntenseEmphasis"/>
          <w:rFonts w:cs="Arial"/>
          <w:b w:val="0"/>
          <w:bCs w:val="0"/>
          <w:i w:val="0"/>
          <w:iCs w:val="0"/>
          <w:sz w:val="22"/>
          <w:szCs w:val="22"/>
        </w:rPr>
        <w:t xml:space="preserve">. </w:t>
      </w:r>
      <w:r w:rsidRPr="00D87BD0">
        <w:rPr>
          <w:rStyle w:val="IntenseEmphasis"/>
          <w:rFonts w:cs="Arial"/>
          <w:b w:val="0"/>
          <w:bCs w:val="0"/>
          <w:i w:val="0"/>
          <w:iCs w:val="0"/>
          <w:sz w:val="22"/>
          <w:szCs w:val="22"/>
        </w:rPr>
        <w:t>E</w:t>
      </w:r>
      <w:r w:rsidR="00C307AD" w:rsidRPr="00D87BD0">
        <w:rPr>
          <w:rStyle w:val="IntenseEmphasis"/>
          <w:rFonts w:cs="Arial"/>
          <w:b w:val="0"/>
          <w:bCs w:val="0"/>
          <w:i w:val="0"/>
          <w:iCs w:val="0"/>
          <w:sz w:val="22"/>
          <w:szCs w:val="22"/>
        </w:rPr>
        <w:t>.</w:t>
      </w:r>
      <w:r w:rsidRPr="00D87BD0">
        <w:rPr>
          <w:rStyle w:val="IntenseEmphasis"/>
          <w:rFonts w:cs="Arial"/>
          <w:b w:val="0"/>
          <w:bCs w:val="0"/>
          <w:i w:val="0"/>
          <w:iCs w:val="0"/>
          <w:sz w:val="22"/>
          <w:szCs w:val="22"/>
        </w:rPr>
        <w:t>, Goss</w:t>
      </w:r>
      <w:r w:rsidR="00C307AD" w:rsidRPr="00D87BD0">
        <w:rPr>
          <w:rStyle w:val="IntenseEmphasis"/>
          <w:rFonts w:cs="Arial"/>
          <w:b w:val="0"/>
          <w:bCs w:val="0"/>
          <w:i w:val="0"/>
          <w:iCs w:val="0"/>
          <w:sz w:val="22"/>
          <w:szCs w:val="22"/>
        </w:rPr>
        <w:t>,</w:t>
      </w:r>
      <w:r w:rsidRPr="00D87BD0">
        <w:rPr>
          <w:rStyle w:val="IntenseEmphasis"/>
          <w:rFonts w:cs="Arial"/>
          <w:b w:val="0"/>
          <w:bCs w:val="0"/>
          <w:i w:val="0"/>
          <w:iCs w:val="0"/>
          <w:sz w:val="22"/>
          <w:szCs w:val="22"/>
        </w:rPr>
        <w:t xml:space="preserve"> V</w:t>
      </w:r>
      <w:r w:rsidR="00C307AD" w:rsidRPr="00D87BD0">
        <w:rPr>
          <w:rStyle w:val="IntenseEmphasis"/>
          <w:rFonts w:cs="Arial"/>
          <w:b w:val="0"/>
          <w:bCs w:val="0"/>
          <w:i w:val="0"/>
          <w:iCs w:val="0"/>
          <w:sz w:val="22"/>
          <w:szCs w:val="22"/>
        </w:rPr>
        <w:t xml:space="preserve">. </w:t>
      </w:r>
      <w:r w:rsidRPr="00D87BD0">
        <w:rPr>
          <w:rStyle w:val="IntenseEmphasis"/>
          <w:rFonts w:cs="Arial"/>
          <w:b w:val="0"/>
          <w:bCs w:val="0"/>
          <w:i w:val="0"/>
          <w:iCs w:val="0"/>
          <w:sz w:val="22"/>
          <w:szCs w:val="22"/>
        </w:rPr>
        <w:t>M</w:t>
      </w:r>
      <w:r w:rsidR="00C307AD" w:rsidRPr="00D87BD0">
        <w:rPr>
          <w:rStyle w:val="IntenseEmphasis"/>
          <w:rFonts w:cs="Arial"/>
          <w:b w:val="0"/>
          <w:bCs w:val="0"/>
          <w:i w:val="0"/>
          <w:iCs w:val="0"/>
          <w:sz w:val="22"/>
          <w:szCs w:val="22"/>
        </w:rPr>
        <w:t>.</w:t>
      </w:r>
      <w:r w:rsidRPr="00D87BD0">
        <w:rPr>
          <w:rStyle w:val="IntenseEmphasis"/>
          <w:rFonts w:cs="Arial"/>
          <w:b w:val="0"/>
          <w:bCs w:val="0"/>
          <w:i w:val="0"/>
          <w:iCs w:val="0"/>
          <w:sz w:val="22"/>
          <w:szCs w:val="22"/>
        </w:rPr>
        <w:t xml:space="preserve">, </w:t>
      </w:r>
      <w:proofErr w:type="spellStart"/>
      <w:r w:rsidRPr="00D87BD0">
        <w:rPr>
          <w:rStyle w:val="IntenseEmphasis"/>
          <w:rFonts w:cs="Arial"/>
          <w:b w:val="0"/>
          <w:bCs w:val="0"/>
          <w:i w:val="0"/>
          <w:iCs w:val="0"/>
          <w:sz w:val="22"/>
          <w:szCs w:val="22"/>
        </w:rPr>
        <w:t>Balgoma</w:t>
      </w:r>
      <w:proofErr w:type="spellEnd"/>
      <w:r w:rsidR="00C307AD" w:rsidRPr="00D87BD0">
        <w:rPr>
          <w:rStyle w:val="IntenseEmphasis"/>
          <w:rFonts w:cs="Arial"/>
          <w:b w:val="0"/>
          <w:bCs w:val="0"/>
          <w:i w:val="0"/>
          <w:iCs w:val="0"/>
          <w:sz w:val="22"/>
          <w:szCs w:val="22"/>
        </w:rPr>
        <w:t>,</w:t>
      </w:r>
      <w:r w:rsidRPr="00D87BD0">
        <w:rPr>
          <w:rStyle w:val="IntenseEmphasis"/>
          <w:rFonts w:cs="Arial"/>
          <w:b w:val="0"/>
          <w:bCs w:val="0"/>
          <w:i w:val="0"/>
          <w:iCs w:val="0"/>
          <w:sz w:val="22"/>
          <w:szCs w:val="22"/>
        </w:rPr>
        <w:t xml:space="preserve"> D</w:t>
      </w:r>
      <w:r w:rsidR="00C307AD" w:rsidRPr="00D87BD0">
        <w:rPr>
          <w:rStyle w:val="IntenseEmphasis"/>
          <w:rFonts w:cs="Arial"/>
          <w:b w:val="0"/>
          <w:bCs w:val="0"/>
          <w:i w:val="0"/>
          <w:iCs w:val="0"/>
          <w:sz w:val="22"/>
          <w:szCs w:val="22"/>
        </w:rPr>
        <w:t>.</w:t>
      </w:r>
      <w:r w:rsidRPr="00D87BD0">
        <w:rPr>
          <w:rStyle w:val="IntenseEmphasis"/>
          <w:rFonts w:cs="Arial"/>
          <w:b w:val="0"/>
          <w:bCs w:val="0"/>
          <w:i w:val="0"/>
          <w:iCs w:val="0"/>
          <w:sz w:val="22"/>
          <w:szCs w:val="22"/>
        </w:rPr>
        <w:t>, Nicholas</w:t>
      </w:r>
      <w:r w:rsidR="00C307AD" w:rsidRPr="00D87BD0">
        <w:rPr>
          <w:rStyle w:val="IntenseEmphasis"/>
          <w:rFonts w:cs="Arial"/>
          <w:b w:val="0"/>
          <w:bCs w:val="0"/>
          <w:i w:val="0"/>
          <w:iCs w:val="0"/>
          <w:sz w:val="22"/>
          <w:szCs w:val="22"/>
        </w:rPr>
        <w:t>,</w:t>
      </w:r>
      <w:r w:rsidRPr="00D87BD0">
        <w:rPr>
          <w:rStyle w:val="IntenseEmphasis"/>
          <w:rFonts w:cs="Arial"/>
          <w:b w:val="0"/>
          <w:bCs w:val="0"/>
          <w:i w:val="0"/>
          <w:iCs w:val="0"/>
          <w:sz w:val="22"/>
          <w:szCs w:val="22"/>
        </w:rPr>
        <w:t xml:space="preserve"> B</w:t>
      </w:r>
      <w:r w:rsidR="00C307AD" w:rsidRPr="00D87BD0">
        <w:rPr>
          <w:rStyle w:val="IntenseEmphasis"/>
          <w:rFonts w:cs="Arial"/>
          <w:b w:val="0"/>
          <w:bCs w:val="0"/>
          <w:i w:val="0"/>
          <w:iCs w:val="0"/>
          <w:sz w:val="22"/>
          <w:szCs w:val="22"/>
        </w:rPr>
        <w:t>.</w:t>
      </w:r>
      <w:r w:rsidRPr="00D87BD0">
        <w:rPr>
          <w:rStyle w:val="IntenseEmphasis"/>
          <w:rFonts w:cs="Arial"/>
          <w:b w:val="0"/>
          <w:bCs w:val="0"/>
          <w:i w:val="0"/>
          <w:iCs w:val="0"/>
          <w:sz w:val="22"/>
          <w:szCs w:val="22"/>
        </w:rPr>
        <w:t>, Brandsma</w:t>
      </w:r>
      <w:r w:rsidR="00C307AD" w:rsidRPr="00D87BD0">
        <w:rPr>
          <w:rStyle w:val="IntenseEmphasis"/>
          <w:rFonts w:cs="Arial"/>
          <w:b w:val="0"/>
          <w:bCs w:val="0"/>
          <w:i w:val="0"/>
          <w:iCs w:val="0"/>
          <w:sz w:val="22"/>
          <w:szCs w:val="22"/>
        </w:rPr>
        <w:t>,</w:t>
      </w:r>
      <w:r w:rsidRPr="00D87BD0">
        <w:rPr>
          <w:rStyle w:val="IntenseEmphasis"/>
          <w:rFonts w:cs="Arial"/>
          <w:b w:val="0"/>
          <w:bCs w:val="0"/>
          <w:i w:val="0"/>
          <w:iCs w:val="0"/>
          <w:sz w:val="22"/>
          <w:szCs w:val="22"/>
        </w:rPr>
        <w:t xml:space="preserve"> J</w:t>
      </w:r>
      <w:r w:rsidR="00C307AD" w:rsidRPr="00D87BD0">
        <w:rPr>
          <w:rStyle w:val="IntenseEmphasis"/>
          <w:rFonts w:cs="Arial"/>
          <w:b w:val="0"/>
          <w:bCs w:val="0"/>
          <w:i w:val="0"/>
          <w:iCs w:val="0"/>
          <w:sz w:val="22"/>
          <w:szCs w:val="22"/>
        </w:rPr>
        <w:t>.</w:t>
      </w:r>
      <w:r w:rsidRPr="00D87BD0">
        <w:rPr>
          <w:rStyle w:val="IntenseEmphasis"/>
          <w:rFonts w:cs="Arial"/>
          <w:b w:val="0"/>
          <w:bCs w:val="0"/>
          <w:i w:val="0"/>
          <w:iCs w:val="0"/>
          <w:sz w:val="22"/>
          <w:szCs w:val="22"/>
        </w:rPr>
        <w:t>, Skipp</w:t>
      </w:r>
      <w:r w:rsidR="00C307AD" w:rsidRPr="00D87BD0">
        <w:rPr>
          <w:rStyle w:val="IntenseEmphasis"/>
          <w:rFonts w:cs="Arial"/>
          <w:b w:val="0"/>
          <w:bCs w:val="0"/>
          <w:i w:val="0"/>
          <w:iCs w:val="0"/>
          <w:sz w:val="22"/>
          <w:szCs w:val="22"/>
        </w:rPr>
        <w:t>,</w:t>
      </w:r>
      <w:r w:rsidRPr="00D87BD0">
        <w:rPr>
          <w:rStyle w:val="IntenseEmphasis"/>
          <w:rFonts w:cs="Arial"/>
          <w:b w:val="0"/>
          <w:bCs w:val="0"/>
          <w:i w:val="0"/>
          <w:iCs w:val="0"/>
          <w:sz w:val="22"/>
          <w:szCs w:val="22"/>
        </w:rPr>
        <w:t xml:space="preserve"> P</w:t>
      </w:r>
      <w:r w:rsidR="00C307AD" w:rsidRPr="00D87BD0">
        <w:rPr>
          <w:rStyle w:val="IntenseEmphasis"/>
          <w:rFonts w:cs="Arial"/>
          <w:b w:val="0"/>
          <w:bCs w:val="0"/>
          <w:i w:val="0"/>
          <w:iCs w:val="0"/>
          <w:sz w:val="22"/>
          <w:szCs w:val="22"/>
        </w:rPr>
        <w:t xml:space="preserve">. </w:t>
      </w:r>
      <w:r w:rsidRPr="00D87BD0">
        <w:rPr>
          <w:rStyle w:val="IntenseEmphasis"/>
          <w:rFonts w:cs="Arial"/>
          <w:b w:val="0"/>
          <w:bCs w:val="0"/>
          <w:i w:val="0"/>
          <w:iCs w:val="0"/>
          <w:sz w:val="22"/>
          <w:szCs w:val="22"/>
        </w:rPr>
        <w:t>J</w:t>
      </w:r>
      <w:r w:rsidR="00C307AD" w:rsidRPr="00D87BD0">
        <w:rPr>
          <w:rStyle w:val="IntenseEmphasis"/>
          <w:rFonts w:cs="Arial"/>
          <w:b w:val="0"/>
          <w:bCs w:val="0"/>
          <w:i w:val="0"/>
          <w:iCs w:val="0"/>
          <w:sz w:val="22"/>
          <w:szCs w:val="22"/>
        </w:rPr>
        <w:t>.</w:t>
      </w:r>
      <w:r w:rsidRPr="00D87BD0">
        <w:rPr>
          <w:rStyle w:val="IntenseEmphasis"/>
          <w:rFonts w:cs="Arial"/>
          <w:b w:val="0"/>
          <w:bCs w:val="0"/>
          <w:i w:val="0"/>
          <w:iCs w:val="0"/>
          <w:sz w:val="22"/>
          <w:szCs w:val="22"/>
        </w:rPr>
        <w:t>, et al.</w:t>
      </w:r>
      <w:r w:rsidR="00C307AD" w:rsidRPr="00D87BD0">
        <w:rPr>
          <w:rStyle w:val="IntenseEmphasis"/>
          <w:rFonts w:cs="Arial"/>
          <w:b w:val="0"/>
          <w:bCs w:val="0"/>
          <w:i w:val="0"/>
          <w:iCs w:val="0"/>
          <w:sz w:val="22"/>
          <w:szCs w:val="22"/>
        </w:rPr>
        <w:t xml:space="preserve"> (2013)</w:t>
      </w:r>
      <w:r w:rsidRPr="00D87BD0">
        <w:rPr>
          <w:rStyle w:val="IntenseEmphasis"/>
          <w:rFonts w:cs="Arial"/>
          <w:b w:val="0"/>
          <w:bCs w:val="0"/>
          <w:i w:val="0"/>
          <w:iCs w:val="0"/>
          <w:sz w:val="22"/>
          <w:szCs w:val="22"/>
        </w:rPr>
        <w:t xml:space="preserve"> Application of 'omics technologies to biomarker discovery in inflammatory lung diseases. </w:t>
      </w:r>
      <w:r w:rsidRPr="00D87BD0">
        <w:rPr>
          <w:rStyle w:val="IntenseEmphasis"/>
          <w:rFonts w:cs="Arial"/>
          <w:b w:val="0"/>
          <w:bCs w:val="0"/>
          <w:iCs w:val="0"/>
          <w:sz w:val="22"/>
          <w:szCs w:val="22"/>
        </w:rPr>
        <w:t>Eur</w:t>
      </w:r>
      <w:r w:rsidR="00C307AD" w:rsidRPr="00D87BD0">
        <w:rPr>
          <w:rStyle w:val="IntenseEmphasis"/>
          <w:rFonts w:cs="Arial"/>
          <w:b w:val="0"/>
          <w:bCs w:val="0"/>
          <w:iCs w:val="0"/>
          <w:sz w:val="22"/>
          <w:szCs w:val="22"/>
        </w:rPr>
        <w:t>opean</w:t>
      </w:r>
      <w:r w:rsidRPr="00D87BD0">
        <w:rPr>
          <w:rStyle w:val="IntenseEmphasis"/>
          <w:rFonts w:cs="Arial"/>
          <w:b w:val="0"/>
          <w:bCs w:val="0"/>
          <w:iCs w:val="0"/>
          <w:sz w:val="22"/>
          <w:szCs w:val="22"/>
        </w:rPr>
        <w:t xml:space="preserve"> Respir</w:t>
      </w:r>
      <w:r w:rsidR="00C307AD" w:rsidRPr="00D87BD0">
        <w:rPr>
          <w:rStyle w:val="IntenseEmphasis"/>
          <w:rFonts w:cs="Arial"/>
          <w:b w:val="0"/>
          <w:bCs w:val="0"/>
          <w:iCs w:val="0"/>
          <w:sz w:val="22"/>
          <w:szCs w:val="22"/>
        </w:rPr>
        <w:t>atory</w:t>
      </w:r>
      <w:r w:rsidRPr="00D87BD0">
        <w:rPr>
          <w:rStyle w:val="IntenseEmphasis"/>
          <w:rFonts w:cs="Arial"/>
          <w:b w:val="0"/>
          <w:bCs w:val="0"/>
          <w:iCs w:val="0"/>
          <w:sz w:val="22"/>
          <w:szCs w:val="22"/>
        </w:rPr>
        <w:t xml:space="preserve"> J</w:t>
      </w:r>
      <w:r w:rsidR="00C307AD" w:rsidRPr="00D87BD0">
        <w:rPr>
          <w:rStyle w:val="IntenseEmphasis"/>
          <w:rFonts w:cs="Arial"/>
          <w:b w:val="0"/>
          <w:bCs w:val="0"/>
          <w:iCs w:val="0"/>
          <w:sz w:val="22"/>
          <w:szCs w:val="22"/>
        </w:rPr>
        <w:t>ournal,</w:t>
      </w:r>
      <w:r w:rsidRPr="00D87BD0">
        <w:rPr>
          <w:rStyle w:val="IntenseEmphasis"/>
          <w:rFonts w:cs="Arial"/>
          <w:b w:val="0"/>
          <w:bCs w:val="0"/>
          <w:iCs w:val="0"/>
          <w:sz w:val="22"/>
          <w:szCs w:val="22"/>
        </w:rPr>
        <w:t xml:space="preserve"> 42</w:t>
      </w:r>
      <w:r w:rsidRPr="00D87BD0">
        <w:rPr>
          <w:rStyle w:val="IntenseEmphasis"/>
          <w:rFonts w:cs="Arial"/>
          <w:b w:val="0"/>
          <w:bCs w:val="0"/>
          <w:i w:val="0"/>
          <w:iCs w:val="0"/>
          <w:sz w:val="22"/>
          <w:szCs w:val="22"/>
        </w:rPr>
        <w:t>(3): 802-825.</w:t>
      </w:r>
      <w:r w:rsidR="0020220A" w:rsidRPr="00D87BD0">
        <w:t xml:space="preserve"> </w:t>
      </w:r>
      <w:hyperlink r:id="rId19" w:history="1">
        <w:r w:rsidR="0020220A" w:rsidRPr="00D87BD0">
          <w:rPr>
            <w:rStyle w:val="Hyperlink"/>
            <w:rFonts w:cs="Arial"/>
            <w:sz w:val="22"/>
            <w:szCs w:val="22"/>
          </w:rPr>
          <w:t>https://doi.org/10.1183/09031936.00078812</w:t>
        </w:r>
      </w:hyperlink>
      <w:r w:rsidR="0020220A" w:rsidRPr="00D87BD0">
        <w:rPr>
          <w:rStyle w:val="IntenseEmphasis"/>
          <w:rFonts w:cs="Arial"/>
          <w:b w:val="0"/>
          <w:bCs w:val="0"/>
          <w:i w:val="0"/>
          <w:iCs w:val="0"/>
          <w:sz w:val="22"/>
          <w:szCs w:val="22"/>
        </w:rPr>
        <w:t>.</w:t>
      </w:r>
    </w:p>
    <w:p w14:paraId="106D4AD3" w14:textId="1C3DC8D4" w:rsidR="005F7DA4" w:rsidRPr="00D87BD0" w:rsidRDefault="00BD60A2" w:rsidP="0047340A">
      <w:pPr>
        <w:spacing w:line="276" w:lineRule="auto"/>
        <w:ind w:left="142" w:hanging="142"/>
        <w:rPr>
          <w:rStyle w:val="IntenseEmphasis"/>
          <w:rFonts w:cs="Arial"/>
          <w:b w:val="0"/>
          <w:bCs w:val="0"/>
          <w:i w:val="0"/>
          <w:iCs w:val="0"/>
          <w:sz w:val="22"/>
          <w:szCs w:val="22"/>
        </w:rPr>
      </w:pPr>
      <w:r w:rsidRPr="00D87BD0">
        <w:rPr>
          <w:rStyle w:val="IntenseEmphasis"/>
          <w:rFonts w:cs="Arial"/>
          <w:b w:val="0"/>
          <w:bCs w:val="0"/>
          <w:i w:val="0"/>
          <w:iCs w:val="0"/>
          <w:sz w:val="22"/>
          <w:szCs w:val="22"/>
        </w:rPr>
        <w:t xml:space="preserve">Yang, X. (2016). Analysing </w:t>
      </w:r>
      <w:proofErr w:type="spellStart"/>
      <w:r w:rsidRPr="00D87BD0">
        <w:rPr>
          <w:rStyle w:val="IntenseEmphasis"/>
          <w:rFonts w:cs="Arial"/>
          <w:b w:val="0"/>
          <w:bCs w:val="0"/>
          <w:i w:val="0"/>
          <w:iCs w:val="0"/>
          <w:sz w:val="22"/>
          <w:szCs w:val="22"/>
        </w:rPr>
        <w:t>datafied</w:t>
      </w:r>
      <w:proofErr w:type="spellEnd"/>
      <w:r w:rsidRPr="00D87BD0">
        <w:rPr>
          <w:rStyle w:val="IntenseEmphasis"/>
          <w:rFonts w:cs="Arial"/>
          <w:b w:val="0"/>
          <w:bCs w:val="0"/>
          <w:i w:val="0"/>
          <w:iCs w:val="0"/>
          <w:sz w:val="22"/>
          <w:szCs w:val="22"/>
        </w:rPr>
        <w:t xml:space="preserve"> life. PhD Thesis, Imperial College London, pp. 288.</w:t>
      </w:r>
      <w:r w:rsidRPr="00D87BD0">
        <w:t xml:space="preserve"> </w:t>
      </w:r>
      <w:hyperlink r:id="rId20" w:history="1">
        <w:r w:rsidRPr="00D87BD0">
          <w:rPr>
            <w:rStyle w:val="Hyperlink"/>
            <w:rFonts w:cs="Arial"/>
            <w:sz w:val="22"/>
            <w:szCs w:val="22"/>
          </w:rPr>
          <w:t>https://spiral.imperial.ac.uk/handle/10044/1/33722</w:t>
        </w:r>
      </w:hyperlink>
      <w:r w:rsidRPr="00D87BD0">
        <w:rPr>
          <w:rStyle w:val="IntenseEmphasis"/>
          <w:rFonts w:cs="Arial"/>
          <w:b w:val="0"/>
          <w:bCs w:val="0"/>
          <w:i w:val="0"/>
          <w:iCs w:val="0"/>
          <w:sz w:val="22"/>
          <w:szCs w:val="22"/>
        </w:rPr>
        <w:t>.</w:t>
      </w:r>
      <w:r w:rsidR="005F7DA4" w:rsidRPr="00D87BD0">
        <w:rPr>
          <w:rStyle w:val="IntenseEmphasis"/>
          <w:rFonts w:cs="Arial"/>
          <w:b w:val="0"/>
          <w:bCs w:val="0"/>
          <w:i w:val="0"/>
          <w:iCs w:val="0"/>
          <w:sz w:val="22"/>
          <w:szCs w:val="22"/>
        </w:rPr>
        <w:br w:type="page"/>
      </w:r>
    </w:p>
    <w:p w14:paraId="18AAD7F7" w14:textId="248BAF93" w:rsidR="004905C6" w:rsidRPr="00D87BD0" w:rsidRDefault="004905C6" w:rsidP="004905C6">
      <w:pPr>
        <w:spacing w:after="240" w:line="276" w:lineRule="auto"/>
        <w:rPr>
          <w:rFonts w:cs="Arial"/>
          <w:sz w:val="22"/>
          <w:szCs w:val="22"/>
        </w:rPr>
      </w:pPr>
      <w:r w:rsidRPr="00D87BD0">
        <w:rPr>
          <w:rFonts w:cs="Arial"/>
          <w:b/>
          <w:sz w:val="24"/>
        </w:rPr>
        <w:lastRenderedPageBreak/>
        <w:t>Supplementary figures</w:t>
      </w:r>
    </w:p>
    <w:p w14:paraId="7E79790A" w14:textId="29A0B657" w:rsidR="005F7DA4" w:rsidRPr="00D87BD0" w:rsidRDefault="005F7DA4" w:rsidP="0047340A">
      <w:pPr>
        <w:spacing w:after="240" w:line="276" w:lineRule="auto"/>
        <w:rPr>
          <w:rStyle w:val="IntenseEmphasis"/>
          <w:rFonts w:cs="Arial"/>
          <w:b w:val="0"/>
          <w:bCs w:val="0"/>
          <w:i w:val="0"/>
          <w:iCs w:val="0"/>
          <w:sz w:val="22"/>
          <w:szCs w:val="22"/>
        </w:rPr>
      </w:pPr>
      <w:r w:rsidRPr="00D87BD0">
        <w:rPr>
          <w:rStyle w:val="IntenseEmphasis"/>
          <w:rFonts w:cs="Arial"/>
          <w:bCs w:val="0"/>
          <w:i w:val="0"/>
          <w:iCs w:val="0"/>
          <w:sz w:val="22"/>
          <w:szCs w:val="22"/>
        </w:rPr>
        <w:t>Fig</w:t>
      </w:r>
      <w:r w:rsidR="00751930" w:rsidRPr="00D87BD0">
        <w:rPr>
          <w:rStyle w:val="IntenseEmphasis"/>
          <w:rFonts w:cs="Arial"/>
          <w:bCs w:val="0"/>
          <w:i w:val="0"/>
          <w:iCs w:val="0"/>
          <w:sz w:val="22"/>
          <w:szCs w:val="22"/>
        </w:rPr>
        <w:t>.</w:t>
      </w:r>
      <w:r w:rsidRPr="00D87BD0">
        <w:rPr>
          <w:rStyle w:val="IntenseEmphasis"/>
          <w:rFonts w:cs="Arial"/>
          <w:bCs w:val="0"/>
          <w:i w:val="0"/>
          <w:iCs w:val="0"/>
          <w:sz w:val="22"/>
          <w:szCs w:val="22"/>
        </w:rPr>
        <w:t xml:space="preserve"> S1:</w:t>
      </w:r>
      <w:r w:rsidRPr="00D87BD0">
        <w:rPr>
          <w:rStyle w:val="IntenseEmphasis"/>
          <w:rFonts w:cs="Arial"/>
          <w:b w:val="0"/>
          <w:bCs w:val="0"/>
          <w:i w:val="0"/>
          <w:iCs w:val="0"/>
          <w:sz w:val="22"/>
          <w:szCs w:val="22"/>
        </w:rPr>
        <w:t xml:space="preserve"> TDA networks of lipid concentrations show a consistent presence of two groups within the healthy non-smoking sputum sample set (the small intermediate cluster has low persistence and joins either group A or B at slightly altered resolution or gain settings). TDA was performed on 291 ions and use a normalised correlation metric and two MDS lenses. The network is coloured by the total amount of lipid measured (average value of the samples in each node), with blue indicating low, and red high concentrations. The figure was obtained with the Ayasdi machine intelligence platform (www.ayasdi.com/platform).</w:t>
      </w:r>
    </w:p>
    <w:p w14:paraId="1525713E" w14:textId="77777777" w:rsidR="005F7DA4" w:rsidRPr="00D87BD0" w:rsidRDefault="005F7DA4" w:rsidP="0047340A">
      <w:pPr>
        <w:spacing w:after="160" w:line="276" w:lineRule="auto"/>
        <w:rPr>
          <w:rStyle w:val="IntenseEmphasis"/>
          <w:rFonts w:cs="Arial"/>
          <w:bCs w:val="0"/>
          <w:i w:val="0"/>
          <w:iCs w:val="0"/>
          <w:sz w:val="22"/>
          <w:szCs w:val="22"/>
        </w:rPr>
      </w:pPr>
      <w:r w:rsidRPr="00D87BD0">
        <w:rPr>
          <w:sz w:val="22"/>
        </w:rPr>
        <w:object w:dxaOrig="9712" w:dyaOrig="4887" w14:anchorId="72ECB8C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0pt;height:228pt" o:ole="">
            <v:imagedata r:id="rId21" o:title=""/>
          </v:shape>
          <o:OLEObject Type="Embed" ProgID="CorelDraw.Graphic.18" ShapeID="_x0000_i1025" DrawAspect="Content" ObjectID="_1594488660" r:id="rId22"/>
        </w:object>
      </w:r>
      <w:r w:rsidRPr="00D87BD0">
        <w:rPr>
          <w:rStyle w:val="IntenseEmphasis"/>
          <w:rFonts w:cs="Arial"/>
          <w:b w:val="0"/>
          <w:bCs w:val="0"/>
          <w:i w:val="0"/>
          <w:iCs w:val="0"/>
          <w:sz w:val="22"/>
          <w:szCs w:val="22"/>
        </w:rPr>
        <w:br w:type="page"/>
      </w:r>
    </w:p>
    <w:p w14:paraId="58760DB2" w14:textId="6EF68DE7" w:rsidR="005F7DA4" w:rsidRPr="00D87BD0" w:rsidRDefault="005F7DA4" w:rsidP="0047340A">
      <w:pPr>
        <w:spacing w:before="120" w:after="240" w:line="276" w:lineRule="auto"/>
        <w:rPr>
          <w:rStyle w:val="IntenseEmphasis"/>
          <w:rFonts w:cs="Arial"/>
          <w:b w:val="0"/>
          <w:bCs w:val="0"/>
          <w:i w:val="0"/>
          <w:iCs w:val="0"/>
          <w:sz w:val="22"/>
          <w:szCs w:val="22"/>
        </w:rPr>
      </w:pPr>
      <w:r w:rsidRPr="00D87BD0">
        <w:rPr>
          <w:rStyle w:val="IntenseEmphasis"/>
          <w:rFonts w:cs="Arial"/>
          <w:bCs w:val="0"/>
          <w:i w:val="0"/>
          <w:iCs w:val="0"/>
          <w:sz w:val="22"/>
          <w:szCs w:val="22"/>
        </w:rPr>
        <w:lastRenderedPageBreak/>
        <w:t>Fig</w:t>
      </w:r>
      <w:r w:rsidR="00751930" w:rsidRPr="00D87BD0">
        <w:rPr>
          <w:rStyle w:val="IntenseEmphasis"/>
          <w:rFonts w:cs="Arial"/>
          <w:bCs w:val="0"/>
          <w:i w:val="0"/>
          <w:iCs w:val="0"/>
          <w:sz w:val="22"/>
          <w:szCs w:val="22"/>
        </w:rPr>
        <w:t>.</w:t>
      </w:r>
      <w:r w:rsidRPr="00D87BD0">
        <w:rPr>
          <w:rStyle w:val="IntenseEmphasis"/>
          <w:rFonts w:cs="Arial"/>
          <w:bCs w:val="0"/>
          <w:i w:val="0"/>
          <w:iCs w:val="0"/>
          <w:sz w:val="22"/>
          <w:szCs w:val="22"/>
        </w:rPr>
        <w:t xml:space="preserve"> S2:</w:t>
      </w:r>
      <w:r w:rsidRPr="00D87BD0">
        <w:rPr>
          <w:rStyle w:val="IntenseEmphasis"/>
          <w:rFonts w:cs="Arial"/>
          <w:b w:val="0"/>
          <w:bCs w:val="0"/>
          <w:i w:val="0"/>
          <w:iCs w:val="0"/>
          <w:sz w:val="22"/>
          <w:szCs w:val="22"/>
        </w:rPr>
        <w:t xml:space="preserve"> Comparison of differential cell counts between the two TDA groups showed significant differences in lymphocytes (higher in group B) and squamous epithelial cells (higher in group A), but not macrophages, neutrophils or eosinophils.</w:t>
      </w:r>
    </w:p>
    <w:p w14:paraId="43F84C04" w14:textId="77777777" w:rsidR="005F7DA4" w:rsidRPr="00D87BD0" w:rsidRDefault="005F7DA4" w:rsidP="0047340A">
      <w:pPr>
        <w:spacing w:line="276" w:lineRule="auto"/>
        <w:rPr>
          <w:rFonts w:cs="Arial"/>
          <w:sz w:val="24"/>
          <w:szCs w:val="22"/>
        </w:rPr>
      </w:pPr>
      <w:r w:rsidRPr="00D87BD0">
        <w:rPr>
          <w:noProof/>
          <w:sz w:val="22"/>
          <w:lang w:eastAsia="en-GB"/>
        </w:rPr>
        <w:drawing>
          <wp:inline distT="0" distB="0" distL="0" distR="0" wp14:anchorId="278913F1" wp14:editId="50CEB9E6">
            <wp:extent cx="5737860" cy="3977640"/>
            <wp:effectExtent l="0" t="0" r="0" b="3810"/>
            <wp:docPr id="2" name="Picture 2" descr="Fig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gure 4"/>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737860" cy="3977640"/>
                    </a:xfrm>
                    <a:prstGeom prst="rect">
                      <a:avLst/>
                    </a:prstGeom>
                    <a:noFill/>
                    <a:ln>
                      <a:noFill/>
                    </a:ln>
                  </pic:spPr>
                </pic:pic>
              </a:graphicData>
            </a:graphic>
          </wp:inline>
        </w:drawing>
      </w:r>
      <w:bookmarkStart w:id="0" w:name="_GoBack"/>
      <w:bookmarkEnd w:id="0"/>
    </w:p>
    <w:p w14:paraId="6CDFBFF7" w14:textId="77777777" w:rsidR="00424947" w:rsidRDefault="00424947" w:rsidP="0047340A">
      <w:pPr>
        <w:spacing w:line="276" w:lineRule="auto"/>
        <w:ind w:left="142" w:hanging="142"/>
        <w:rPr>
          <w:rStyle w:val="IntenseEmphasis"/>
          <w:rFonts w:cs="Arial"/>
          <w:b w:val="0"/>
          <w:bCs w:val="0"/>
          <w:i w:val="0"/>
          <w:iCs w:val="0"/>
          <w:sz w:val="22"/>
          <w:szCs w:val="22"/>
        </w:rPr>
      </w:pPr>
    </w:p>
    <w:sectPr w:rsidR="00424947" w:rsidSect="00EE3231">
      <w:footerReference w:type="default" r:id="rId2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B1DFFE7" w14:textId="77777777" w:rsidR="009A50B1" w:rsidRDefault="009A50B1">
      <w:pPr>
        <w:spacing w:after="0" w:line="240" w:lineRule="auto"/>
      </w:pPr>
      <w:r>
        <w:separator/>
      </w:r>
    </w:p>
  </w:endnote>
  <w:endnote w:type="continuationSeparator" w:id="0">
    <w:p w14:paraId="56754692" w14:textId="77777777" w:rsidR="009A50B1" w:rsidRDefault="009A50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47224364"/>
      <w:docPartObj>
        <w:docPartGallery w:val="Page Numbers (Bottom of Page)"/>
        <w:docPartUnique/>
      </w:docPartObj>
    </w:sdtPr>
    <w:sdtEndPr>
      <w:rPr>
        <w:noProof/>
      </w:rPr>
    </w:sdtEndPr>
    <w:sdtContent>
      <w:p w14:paraId="52CA87A3" w14:textId="77777777" w:rsidR="00295BEC" w:rsidRDefault="00565451">
        <w:pPr>
          <w:pStyle w:val="Footer"/>
          <w:jc w:val="center"/>
        </w:pPr>
        <w:r>
          <w:fldChar w:fldCharType="begin"/>
        </w:r>
        <w:r>
          <w:instrText xml:space="preserve"> PAGE   \* MERGEFORMAT </w:instrText>
        </w:r>
        <w:r>
          <w:fldChar w:fldCharType="separate"/>
        </w:r>
        <w:r w:rsidR="00D87BD0">
          <w:rPr>
            <w:noProof/>
          </w:rPr>
          <w:t>1</w:t>
        </w:r>
        <w:r>
          <w:rPr>
            <w:noProof/>
          </w:rPr>
          <w:fldChar w:fldCharType="end"/>
        </w:r>
      </w:p>
    </w:sdtContent>
  </w:sdt>
  <w:p w14:paraId="3EC25D4B" w14:textId="77777777" w:rsidR="00295BEC" w:rsidRDefault="00D87BD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E65BF26" w14:textId="77777777" w:rsidR="009A50B1" w:rsidRDefault="009A50B1">
      <w:pPr>
        <w:spacing w:after="0" w:line="240" w:lineRule="auto"/>
      </w:pPr>
      <w:r>
        <w:separator/>
      </w:r>
    </w:p>
  </w:footnote>
  <w:footnote w:type="continuationSeparator" w:id="0">
    <w:p w14:paraId="605B4B3D" w14:textId="77777777" w:rsidR="009A50B1" w:rsidRDefault="009A50B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067528"/>
    <w:multiLevelType w:val="hybridMultilevel"/>
    <w:tmpl w:val="36BC571E"/>
    <w:lvl w:ilvl="0" w:tplc="2E3C1A38">
      <w:start w:val="4"/>
      <w:numFmt w:val="bullet"/>
      <w:lvlText w:val=""/>
      <w:lvlJc w:val="left"/>
      <w:pPr>
        <w:ind w:left="720" w:hanging="360"/>
      </w:pPr>
      <w:rPr>
        <w:rFonts w:ascii="Symbol" w:eastAsiaTheme="minorEastAsia"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EB20BDF"/>
    <w:multiLevelType w:val="hybridMultilevel"/>
    <w:tmpl w:val="32D6939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4D7844D6"/>
    <w:multiLevelType w:val="hybridMultilevel"/>
    <w:tmpl w:val="1D6AE34A"/>
    <w:lvl w:ilvl="0" w:tplc="DFE6F7CE">
      <w:start w:val="10"/>
      <w:numFmt w:val="bullet"/>
      <w:lvlText w:val=""/>
      <w:lvlJc w:val="left"/>
      <w:pPr>
        <w:ind w:left="720" w:hanging="360"/>
      </w:pPr>
      <w:rPr>
        <w:rFonts w:ascii="Symbol" w:eastAsiaTheme="minorEastAsia"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8DE6886"/>
    <w:multiLevelType w:val="hybridMultilevel"/>
    <w:tmpl w:val="4412DB5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EFMGR.InstantFormat" w:val="&lt;ENInstantFormat&gt;&lt;Enabled&gt;0&lt;/Enabled&gt;&lt;ScanUnformatted&gt;1&lt;/ScanUnformatted&gt;&lt;ScanChanges&gt;1&lt;/ScanChanges&gt;&lt;/ENInstantFormat&gt;"/>
  </w:docVars>
  <w:rsids>
    <w:rsidRoot w:val="001727FD"/>
    <w:rsid w:val="00004EC3"/>
    <w:rsid w:val="000054E0"/>
    <w:rsid w:val="000134CB"/>
    <w:rsid w:val="0001433A"/>
    <w:rsid w:val="00016B43"/>
    <w:rsid w:val="000204C6"/>
    <w:rsid w:val="00042519"/>
    <w:rsid w:val="00043649"/>
    <w:rsid w:val="0004538D"/>
    <w:rsid w:val="00045526"/>
    <w:rsid w:val="000466EA"/>
    <w:rsid w:val="00054883"/>
    <w:rsid w:val="00056620"/>
    <w:rsid w:val="00062B63"/>
    <w:rsid w:val="00070F77"/>
    <w:rsid w:val="00072449"/>
    <w:rsid w:val="00083092"/>
    <w:rsid w:val="00085D45"/>
    <w:rsid w:val="0009252C"/>
    <w:rsid w:val="00093B8E"/>
    <w:rsid w:val="000969F6"/>
    <w:rsid w:val="000975B3"/>
    <w:rsid w:val="000A71B2"/>
    <w:rsid w:val="000B333F"/>
    <w:rsid w:val="000C1665"/>
    <w:rsid w:val="000D2CE4"/>
    <w:rsid w:val="000E00B7"/>
    <w:rsid w:val="000E05A8"/>
    <w:rsid w:val="000E703A"/>
    <w:rsid w:val="000F377D"/>
    <w:rsid w:val="000F75FB"/>
    <w:rsid w:val="00104F62"/>
    <w:rsid w:val="00113892"/>
    <w:rsid w:val="00116D7B"/>
    <w:rsid w:val="00117F30"/>
    <w:rsid w:val="0013064A"/>
    <w:rsid w:val="00141488"/>
    <w:rsid w:val="001452CB"/>
    <w:rsid w:val="00146C1E"/>
    <w:rsid w:val="00161896"/>
    <w:rsid w:val="00163048"/>
    <w:rsid w:val="0016603E"/>
    <w:rsid w:val="001727FD"/>
    <w:rsid w:val="001745BB"/>
    <w:rsid w:val="0017794F"/>
    <w:rsid w:val="00182136"/>
    <w:rsid w:val="001835A3"/>
    <w:rsid w:val="00184514"/>
    <w:rsid w:val="00186656"/>
    <w:rsid w:val="00186EBD"/>
    <w:rsid w:val="001907B7"/>
    <w:rsid w:val="0019286E"/>
    <w:rsid w:val="001B2FEA"/>
    <w:rsid w:val="001C0723"/>
    <w:rsid w:val="001C4B2F"/>
    <w:rsid w:val="001C5D09"/>
    <w:rsid w:val="001C7BA3"/>
    <w:rsid w:val="001C7E26"/>
    <w:rsid w:val="001D0496"/>
    <w:rsid w:val="001D7E2D"/>
    <w:rsid w:val="001E4077"/>
    <w:rsid w:val="001F0A71"/>
    <w:rsid w:val="001F5701"/>
    <w:rsid w:val="001F71D0"/>
    <w:rsid w:val="0020220A"/>
    <w:rsid w:val="00202521"/>
    <w:rsid w:val="002077B7"/>
    <w:rsid w:val="00217043"/>
    <w:rsid w:val="00224665"/>
    <w:rsid w:val="00230443"/>
    <w:rsid w:val="00231C6D"/>
    <w:rsid w:val="00233164"/>
    <w:rsid w:val="002413AF"/>
    <w:rsid w:val="002444C4"/>
    <w:rsid w:val="002507DF"/>
    <w:rsid w:val="0025095D"/>
    <w:rsid w:val="002520A1"/>
    <w:rsid w:val="00254D19"/>
    <w:rsid w:val="002572D7"/>
    <w:rsid w:val="00260987"/>
    <w:rsid w:val="00261DC1"/>
    <w:rsid w:val="00262076"/>
    <w:rsid w:val="0026311C"/>
    <w:rsid w:val="00272D04"/>
    <w:rsid w:val="00276F33"/>
    <w:rsid w:val="00276FEC"/>
    <w:rsid w:val="00296F2C"/>
    <w:rsid w:val="00297572"/>
    <w:rsid w:val="002A127E"/>
    <w:rsid w:val="002A32E5"/>
    <w:rsid w:val="002A6AC8"/>
    <w:rsid w:val="002B0C96"/>
    <w:rsid w:val="002B746A"/>
    <w:rsid w:val="002C00CE"/>
    <w:rsid w:val="002C0215"/>
    <w:rsid w:val="002D1826"/>
    <w:rsid w:val="002D59B1"/>
    <w:rsid w:val="002D6D53"/>
    <w:rsid w:val="002E158A"/>
    <w:rsid w:val="002E3EDE"/>
    <w:rsid w:val="002F09E3"/>
    <w:rsid w:val="002F188E"/>
    <w:rsid w:val="003001BA"/>
    <w:rsid w:val="00301248"/>
    <w:rsid w:val="00302B75"/>
    <w:rsid w:val="00303F3A"/>
    <w:rsid w:val="00322FDF"/>
    <w:rsid w:val="0032398B"/>
    <w:rsid w:val="00335AD2"/>
    <w:rsid w:val="00352AFB"/>
    <w:rsid w:val="00354A62"/>
    <w:rsid w:val="00360559"/>
    <w:rsid w:val="003714FB"/>
    <w:rsid w:val="003748E0"/>
    <w:rsid w:val="00374EFB"/>
    <w:rsid w:val="003827EF"/>
    <w:rsid w:val="00386B2B"/>
    <w:rsid w:val="0039209F"/>
    <w:rsid w:val="003A21C8"/>
    <w:rsid w:val="003A633D"/>
    <w:rsid w:val="003B0363"/>
    <w:rsid w:val="003B2452"/>
    <w:rsid w:val="003B51CE"/>
    <w:rsid w:val="003C753E"/>
    <w:rsid w:val="003C7AF6"/>
    <w:rsid w:val="003D05AD"/>
    <w:rsid w:val="003D54A7"/>
    <w:rsid w:val="003E0347"/>
    <w:rsid w:val="003E3705"/>
    <w:rsid w:val="003E7365"/>
    <w:rsid w:val="003F07EA"/>
    <w:rsid w:val="003F71BA"/>
    <w:rsid w:val="004012D8"/>
    <w:rsid w:val="00401F8F"/>
    <w:rsid w:val="004035A9"/>
    <w:rsid w:val="00404C73"/>
    <w:rsid w:val="00405A7B"/>
    <w:rsid w:val="00407D93"/>
    <w:rsid w:val="00416D41"/>
    <w:rsid w:val="00423BEE"/>
    <w:rsid w:val="00424947"/>
    <w:rsid w:val="004344B6"/>
    <w:rsid w:val="00441668"/>
    <w:rsid w:val="0044708D"/>
    <w:rsid w:val="00450029"/>
    <w:rsid w:val="004527A8"/>
    <w:rsid w:val="0045751F"/>
    <w:rsid w:val="00471C71"/>
    <w:rsid w:val="004729E3"/>
    <w:rsid w:val="0047340A"/>
    <w:rsid w:val="00481277"/>
    <w:rsid w:val="00484315"/>
    <w:rsid w:val="004905C6"/>
    <w:rsid w:val="00491C4C"/>
    <w:rsid w:val="0049313A"/>
    <w:rsid w:val="004935DE"/>
    <w:rsid w:val="00495F2A"/>
    <w:rsid w:val="004A2599"/>
    <w:rsid w:val="004A5F4D"/>
    <w:rsid w:val="004B4EBE"/>
    <w:rsid w:val="004B7660"/>
    <w:rsid w:val="004C72CA"/>
    <w:rsid w:val="004C7A6D"/>
    <w:rsid w:val="004C7E7D"/>
    <w:rsid w:val="004D2A29"/>
    <w:rsid w:val="004D2D62"/>
    <w:rsid w:val="004D6D6F"/>
    <w:rsid w:val="004E076D"/>
    <w:rsid w:val="004E14E2"/>
    <w:rsid w:val="004E2069"/>
    <w:rsid w:val="004E2220"/>
    <w:rsid w:val="004E4919"/>
    <w:rsid w:val="004E542A"/>
    <w:rsid w:val="004F3DC3"/>
    <w:rsid w:val="004F6B8D"/>
    <w:rsid w:val="0050153A"/>
    <w:rsid w:val="00503A6B"/>
    <w:rsid w:val="00504D54"/>
    <w:rsid w:val="00515E57"/>
    <w:rsid w:val="0051647B"/>
    <w:rsid w:val="005248A2"/>
    <w:rsid w:val="0053334A"/>
    <w:rsid w:val="00536546"/>
    <w:rsid w:val="005474ED"/>
    <w:rsid w:val="0056009C"/>
    <w:rsid w:val="00562BBD"/>
    <w:rsid w:val="00565451"/>
    <w:rsid w:val="00565903"/>
    <w:rsid w:val="0057637C"/>
    <w:rsid w:val="005923DB"/>
    <w:rsid w:val="00595C5F"/>
    <w:rsid w:val="00597209"/>
    <w:rsid w:val="005A30B9"/>
    <w:rsid w:val="005A488A"/>
    <w:rsid w:val="005A5371"/>
    <w:rsid w:val="005B0C3B"/>
    <w:rsid w:val="005B36D0"/>
    <w:rsid w:val="005B3A5D"/>
    <w:rsid w:val="005C18B5"/>
    <w:rsid w:val="005C1F45"/>
    <w:rsid w:val="005C7BCF"/>
    <w:rsid w:val="005D7F57"/>
    <w:rsid w:val="005E0D98"/>
    <w:rsid w:val="005E0F9D"/>
    <w:rsid w:val="005E7962"/>
    <w:rsid w:val="005F4453"/>
    <w:rsid w:val="005F58A6"/>
    <w:rsid w:val="005F6AEA"/>
    <w:rsid w:val="005F7DA4"/>
    <w:rsid w:val="00606D0A"/>
    <w:rsid w:val="00607983"/>
    <w:rsid w:val="00607BA0"/>
    <w:rsid w:val="00614421"/>
    <w:rsid w:val="00621CE6"/>
    <w:rsid w:val="00623F66"/>
    <w:rsid w:val="00627D97"/>
    <w:rsid w:val="00631B66"/>
    <w:rsid w:val="006357CD"/>
    <w:rsid w:val="00646D9C"/>
    <w:rsid w:val="00655570"/>
    <w:rsid w:val="00662AA9"/>
    <w:rsid w:val="006738E1"/>
    <w:rsid w:val="00680C5A"/>
    <w:rsid w:val="00681D8D"/>
    <w:rsid w:val="006868E1"/>
    <w:rsid w:val="00687B02"/>
    <w:rsid w:val="00690729"/>
    <w:rsid w:val="006927A2"/>
    <w:rsid w:val="006A0BF0"/>
    <w:rsid w:val="006A455E"/>
    <w:rsid w:val="006A52A3"/>
    <w:rsid w:val="006B0AA8"/>
    <w:rsid w:val="006B0DD5"/>
    <w:rsid w:val="006B6048"/>
    <w:rsid w:val="006C0E98"/>
    <w:rsid w:val="006C2A28"/>
    <w:rsid w:val="006C76FC"/>
    <w:rsid w:val="006D086A"/>
    <w:rsid w:val="006D202B"/>
    <w:rsid w:val="006D2A30"/>
    <w:rsid w:val="006E185C"/>
    <w:rsid w:val="006E6115"/>
    <w:rsid w:val="006F5135"/>
    <w:rsid w:val="006F64B2"/>
    <w:rsid w:val="006F6BC2"/>
    <w:rsid w:val="006F744A"/>
    <w:rsid w:val="00706159"/>
    <w:rsid w:val="00706BA7"/>
    <w:rsid w:val="00715220"/>
    <w:rsid w:val="00720D30"/>
    <w:rsid w:val="0072129A"/>
    <w:rsid w:val="00723E9C"/>
    <w:rsid w:val="00724CE0"/>
    <w:rsid w:val="00727F08"/>
    <w:rsid w:val="007338E3"/>
    <w:rsid w:val="00751930"/>
    <w:rsid w:val="00752F5C"/>
    <w:rsid w:val="00761205"/>
    <w:rsid w:val="00763BDF"/>
    <w:rsid w:val="00772408"/>
    <w:rsid w:val="007849D0"/>
    <w:rsid w:val="00790974"/>
    <w:rsid w:val="007961B9"/>
    <w:rsid w:val="007A20BE"/>
    <w:rsid w:val="007A2E6D"/>
    <w:rsid w:val="007B0238"/>
    <w:rsid w:val="007C0E0E"/>
    <w:rsid w:val="007C42D6"/>
    <w:rsid w:val="007D11BB"/>
    <w:rsid w:val="007E5B0E"/>
    <w:rsid w:val="007E6623"/>
    <w:rsid w:val="008078A5"/>
    <w:rsid w:val="00812DFE"/>
    <w:rsid w:val="00817F25"/>
    <w:rsid w:val="008200D4"/>
    <w:rsid w:val="0083084B"/>
    <w:rsid w:val="00831E6A"/>
    <w:rsid w:val="0083588E"/>
    <w:rsid w:val="00837CF1"/>
    <w:rsid w:val="00842154"/>
    <w:rsid w:val="00844A6A"/>
    <w:rsid w:val="0085571F"/>
    <w:rsid w:val="00857961"/>
    <w:rsid w:val="008905E9"/>
    <w:rsid w:val="00897B01"/>
    <w:rsid w:val="008A5CE1"/>
    <w:rsid w:val="008C1890"/>
    <w:rsid w:val="008C70E9"/>
    <w:rsid w:val="008D2243"/>
    <w:rsid w:val="008D7160"/>
    <w:rsid w:val="008E0954"/>
    <w:rsid w:val="008E300A"/>
    <w:rsid w:val="008E5F24"/>
    <w:rsid w:val="008E6A1B"/>
    <w:rsid w:val="008E6B8C"/>
    <w:rsid w:val="008F5320"/>
    <w:rsid w:val="008F779C"/>
    <w:rsid w:val="00901715"/>
    <w:rsid w:val="00910ABD"/>
    <w:rsid w:val="00912EEC"/>
    <w:rsid w:val="009152B8"/>
    <w:rsid w:val="00916974"/>
    <w:rsid w:val="009234CD"/>
    <w:rsid w:val="00924F96"/>
    <w:rsid w:val="00932417"/>
    <w:rsid w:val="00933623"/>
    <w:rsid w:val="00946E57"/>
    <w:rsid w:val="00956451"/>
    <w:rsid w:val="0096314A"/>
    <w:rsid w:val="00966E73"/>
    <w:rsid w:val="00984F69"/>
    <w:rsid w:val="009927D2"/>
    <w:rsid w:val="009952B9"/>
    <w:rsid w:val="009A50B1"/>
    <w:rsid w:val="009B190A"/>
    <w:rsid w:val="009B1F72"/>
    <w:rsid w:val="009C1701"/>
    <w:rsid w:val="009C3424"/>
    <w:rsid w:val="009C698B"/>
    <w:rsid w:val="009F51A1"/>
    <w:rsid w:val="009F79F4"/>
    <w:rsid w:val="00A02776"/>
    <w:rsid w:val="00A10C71"/>
    <w:rsid w:val="00A14D77"/>
    <w:rsid w:val="00A15E89"/>
    <w:rsid w:val="00A20867"/>
    <w:rsid w:val="00A2157A"/>
    <w:rsid w:val="00A23E0D"/>
    <w:rsid w:val="00A33125"/>
    <w:rsid w:val="00A419E3"/>
    <w:rsid w:val="00A46905"/>
    <w:rsid w:val="00A53C6F"/>
    <w:rsid w:val="00A55E9E"/>
    <w:rsid w:val="00A57A73"/>
    <w:rsid w:val="00A6521D"/>
    <w:rsid w:val="00A67CE8"/>
    <w:rsid w:val="00A77FD8"/>
    <w:rsid w:val="00A87195"/>
    <w:rsid w:val="00A90BFA"/>
    <w:rsid w:val="00A926F8"/>
    <w:rsid w:val="00AA45BF"/>
    <w:rsid w:val="00AB2E36"/>
    <w:rsid w:val="00AB38A1"/>
    <w:rsid w:val="00AC570A"/>
    <w:rsid w:val="00AE0324"/>
    <w:rsid w:val="00AE4BDE"/>
    <w:rsid w:val="00AF1D83"/>
    <w:rsid w:val="00AF35F0"/>
    <w:rsid w:val="00AF50B0"/>
    <w:rsid w:val="00AF5CFE"/>
    <w:rsid w:val="00B0428B"/>
    <w:rsid w:val="00B050DE"/>
    <w:rsid w:val="00B054B6"/>
    <w:rsid w:val="00B12242"/>
    <w:rsid w:val="00B1388E"/>
    <w:rsid w:val="00B157B0"/>
    <w:rsid w:val="00B205BD"/>
    <w:rsid w:val="00B2267E"/>
    <w:rsid w:val="00B25DEC"/>
    <w:rsid w:val="00B31BEB"/>
    <w:rsid w:val="00B3252B"/>
    <w:rsid w:val="00B41791"/>
    <w:rsid w:val="00B43C03"/>
    <w:rsid w:val="00B44E56"/>
    <w:rsid w:val="00B50918"/>
    <w:rsid w:val="00B5126B"/>
    <w:rsid w:val="00B715BE"/>
    <w:rsid w:val="00B77AAC"/>
    <w:rsid w:val="00B8055E"/>
    <w:rsid w:val="00B813D9"/>
    <w:rsid w:val="00B83DAB"/>
    <w:rsid w:val="00B8500F"/>
    <w:rsid w:val="00B9120C"/>
    <w:rsid w:val="00B939F4"/>
    <w:rsid w:val="00B94554"/>
    <w:rsid w:val="00B96C05"/>
    <w:rsid w:val="00BA4B87"/>
    <w:rsid w:val="00BB22FE"/>
    <w:rsid w:val="00BB2FD0"/>
    <w:rsid w:val="00BB4141"/>
    <w:rsid w:val="00BB5D14"/>
    <w:rsid w:val="00BC5DD1"/>
    <w:rsid w:val="00BC75C1"/>
    <w:rsid w:val="00BD55A7"/>
    <w:rsid w:val="00BD5EE5"/>
    <w:rsid w:val="00BD60A2"/>
    <w:rsid w:val="00BE12A1"/>
    <w:rsid w:val="00BE3970"/>
    <w:rsid w:val="00BE3BEB"/>
    <w:rsid w:val="00BE4CC2"/>
    <w:rsid w:val="00BE5DEB"/>
    <w:rsid w:val="00BF1B02"/>
    <w:rsid w:val="00BF321F"/>
    <w:rsid w:val="00C014E2"/>
    <w:rsid w:val="00C01C81"/>
    <w:rsid w:val="00C02321"/>
    <w:rsid w:val="00C0612D"/>
    <w:rsid w:val="00C13880"/>
    <w:rsid w:val="00C147F8"/>
    <w:rsid w:val="00C149F3"/>
    <w:rsid w:val="00C17051"/>
    <w:rsid w:val="00C22B87"/>
    <w:rsid w:val="00C2443A"/>
    <w:rsid w:val="00C26AF5"/>
    <w:rsid w:val="00C30568"/>
    <w:rsid w:val="00C307AD"/>
    <w:rsid w:val="00C346B9"/>
    <w:rsid w:val="00C355EE"/>
    <w:rsid w:val="00C35B44"/>
    <w:rsid w:val="00C35E93"/>
    <w:rsid w:val="00C60894"/>
    <w:rsid w:val="00C633BE"/>
    <w:rsid w:val="00C638BD"/>
    <w:rsid w:val="00C668B1"/>
    <w:rsid w:val="00C85322"/>
    <w:rsid w:val="00C85EA4"/>
    <w:rsid w:val="00C866C0"/>
    <w:rsid w:val="00C9796A"/>
    <w:rsid w:val="00C97D70"/>
    <w:rsid w:val="00CB0086"/>
    <w:rsid w:val="00CD0AAE"/>
    <w:rsid w:val="00CD14C5"/>
    <w:rsid w:val="00CE1ABC"/>
    <w:rsid w:val="00CE4FE5"/>
    <w:rsid w:val="00CF2081"/>
    <w:rsid w:val="00CF3EB8"/>
    <w:rsid w:val="00D00EF9"/>
    <w:rsid w:val="00D03E28"/>
    <w:rsid w:val="00D0540A"/>
    <w:rsid w:val="00D06B70"/>
    <w:rsid w:val="00D12F79"/>
    <w:rsid w:val="00D16B4A"/>
    <w:rsid w:val="00D17709"/>
    <w:rsid w:val="00D20A58"/>
    <w:rsid w:val="00D22688"/>
    <w:rsid w:val="00D26956"/>
    <w:rsid w:val="00D276CF"/>
    <w:rsid w:val="00D37991"/>
    <w:rsid w:val="00D4693B"/>
    <w:rsid w:val="00D50DB0"/>
    <w:rsid w:val="00D5173C"/>
    <w:rsid w:val="00D532D9"/>
    <w:rsid w:val="00D56B9F"/>
    <w:rsid w:val="00D57189"/>
    <w:rsid w:val="00D65096"/>
    <w:rsid w:val="00D673C6"/>
    <w:rsid w:val="00D71506"/>
    <w:rsid w:val="00D73F30"/>
    <w:rsid w:val="00D80806"/>
    <w:rsid w:val="00D87BD0"/>
    <w:rsid w:val="00D95C4B"/>
    <w:rsid w:val="00DA0BF9"/>
    <w:rsid w:val="00DA2918"/>
    <w:rsid w:val="00DA48C7"/>
    <w:rsid w:val="00DA4E99"/>
    <w:rsid w:val="00DC38E8"/>
    <w:rsid w:val="00DC3EDB"/>
    <w:rsid w:val="00DC6CCD"/>
    <w:rsid w:val="00DD117C"/>
    <w:rsid w:val="00DD5F8C"/>
    <w:rsid w:val="00DE3A0F"/>
    <w:rsid w:val="00DE78FF"/>
    <w:rsid w:val="00DF69B3"/>
    <w:rsid w:val="00E04094"/>
    <w:rsid w:val="00E040AD"/>
    <w:rsid w:val="00E06E96"/>
    <w:rsid w:val="00E23052"/>
    <w:rsid w:val="00E26B6C"/>
    <w:rsid w:val="00E26FCA"/>
    <w:rsid w:val="00E35B4B"/>
    <w:rsid w:val="00E3753B"/>
    <w:rsid w:val="00E41D21"/>
    <w:rsid w:val="00E42DD0"/>
    <w:rsid w:val="00E4455C"/>
    <w:rsid w:val="00E466C6"/>
    <w:rsid w:val="00E57AC0"/>
    <w:rsid w:val="00E638E0"/>
    <w:rsid w:val="00E64DCF"/>
    <w:rsid w:val="00E677CC"/>
    <w:rsid w:val="00E72A9A"/>
    <w:rsid w:val="00E815BE"/>
    <w:rsid w:val="00E83A4E"/>
    <w:rsid w:val="00E85A24"/>
    <w:rsid w:val="00E86C22"/>
    <w:rsid w:val="00E86EAC"/>
    <w:rsid w:val="00E937D6"/>
    <w:rsid w:val="00EA226D"/>
    <w:rsid w:val="00EB1D5E"/>
    <w:rsid w:val="00EB27BA"/>
    <w:rsid w:val="00EB4828"/>
    <w:rsid w:val="00EB4963"/>
    <w:rsid w:val="00EB692F"/>
    <w:rsid w:val="00EC1B50"/>
    <w:rsid w:val="00EC38F0"/>
    <w:rsid w:val="00EC3C4C"/>
    <w:rsid w:val="00EC603C"/>
    <w:rsid w:val="00EC799C"/>
    <w:rsid w:val="00ED6DEA"/>
    <w:rsid w:val="00EE4711"/>
    <w:rsid w:val="00EF0CE7"/>
    <w:rsid w:val="00EF2BE7"/>
    <w:rsid w:val="00F01DA8"/>
    <w:rsid w:val="00F035BD"/>
    <w:rsid w:val="00F133DA"/>
    <w:rsid w:val="00F16BDE"/>
    <w:rsid w:val="00F17CEB"/>
    <w:rsid w:val="00F214D2"/>
    <w:rsid w:val="00F30647"/>
    <w:rsid w:val="00F325F4"/>
    <w:rsid w:val="00F32B36"/>
    <w:rsid w:val="00F423A4"/>
    <w:rsid w:val="00F47163"/>
    <w:rsid w:val="00F50006"/>
    <w:rsid w:val="00F555B0"/>
    <w:rsid w:val="00F638D0"/>
    <w:rsid w:val="00F714E8"/>
    <w:rsid w:val="00F80E49"/>
    <w:rsid w:val="00F96317"/>
    <w:rsid w:val="00FA0C56"/>
    <w:rsid w:val="00FA7065"/>
    <w:rsid w:val="00FB1B79"/>
    <w:rsid w:val="00FB6331"/>
    <w:rsid w:val="00FC1CDD"/>
    <w:rsid w:val="00FC60C9"/>
    <w:rsid w:val="00FD50E2"/>
    <w:rsid w:val="00FD6B15"/>
    <w:rsid w:val="00FF0512"/>
    <w:rsid w:val="00FF3F1E"/>
    <w:rsid w:val="00FF7BF7"/>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53E2EEB7"/>
  <w15:chartTrackingRefBased/>
  <w15:docId w15:val="{D96B8013-AD9E-43E1-A2C5-FC6063C3FD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727FD"/>
    <w:pPr>
      <w:spacing w:after="120" w:line="264" w:lineRule="auto"/>
    </w:pPr>
    <w:rPr>
      <w:rFonts w:eastAsiaTheme="minorEastAsia"/>
      <w:sz w:val="20"/>
      <w:szCs w:val="20"/>
    </w:rPr>
  </w:style>
  <w:style w:type="paragraph" w:styleId="Heading1">
    <w:name w:val="heading 1"/>
    <w:basedOn w:val="Normal"/>
    <w:next w:val="Normal"/>
    <w:link w:val="Heading1Char"/>
    <w:uiPriority w:val="9"/>
    <w:qFormat/>
    <w:rsid w:val="001727FD"/>
    <w:pPr>
      <w:keepNext/>
      <w:keepLines/>
      <w:spacing w:before="320" w:after="0" w:line="240" w:lineRule="auto"/>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1727FD"/>
    <w:pPr>
      <w:keepNext/>
      <w:keepLines/>
      <w:spacing w:before="80" w:after="0" w:line="240" w:lineRule="auto"/>
      <w:outlineLvl w:val="1"/>
    </w:pPr>
    <w:rPr>
      <w:rFonts w:asciiTheme="majorHAnsi" w:eastAsiaTheme="majorEastAsia" w:hAnsiTheme="majorHAnsi" w:cstheme="majorBidi"/>
      <w:color w:val="404040" w:themeColor="text1" w:themeTint="BF"/>
      <w:sz w:val="28"/>
      <w:szCs w:val="28"/>
    </w:rPr>
  </w:style>
  <w:style w:type="paragraph" w:styleId="Heading3">
    <w:name w:val="heading 3"/>
    <w:basedOn w:val="Normal"/>
    <w:next w:val="Normal"/>
    <w:link w:val="Heading3Char"/>
    <w:uiPriority w:val="9"/>
    <w:unhideWhenUsed/>
    <w:qFormat/>
    <w:rsid w:val="001727FD"/>
    <w:pPr>
      <w:keepNext/>
      <w:keepLines/>
      <w:spacing w:before="40" w:after="0" w:line="240" w:lineRule="auto"/>
      <w:outlineLvl w:val="2"/>
    </w:pPr>
    <w:rPr>
      <w:rFonts w:asciiTheme="majorHAnsi" w:eastAsiaTheme="majorEastAsia" w:hAnsiTheme="majorHAnsi" w:cstheme="majorBidi"/>
      <w:color w:val="44546A" w:themeColor="text2"/>
      <w:sz w:val="24"/>
      <w:szCs w:val="24"/>
    </w:rPr>
  </w:style>
  <w:style w:type="paragraph" w:styleId="Heading4">
    <w:name w:val="heading 4"/>
    <w:basedOn w:val="Normal"/>
    <w:next w:val="Normal"/>
    <w:link w:val="Heading4Char"/>
    <w:uiPriority w:val="9"/>
    <w:unhideWhenUsed/>
    <w:qFormat/>
    <w:rsid w:val="001727FD"/>
    <w:pPr>
      <w:keepNext/>
      <w:keepLines/>
      <w:spacing w:before="40" w:after="0"/>
      <w:outlineLvl w:val="3"/>
    </w:pPr>
    <w:rPr>
      <w:rFonts w:asciiTheme="majorHAnsi" w:eastAsiaTheme="majorEastAsia" w:hAnsiTheme="majorHAnsi" w:cstheme="majorBidi"/>
      <w:sz w:val="22"/>
      <w:szCs w:val="22"/>
    </w:rPr>
  </w:style>
  <w:style w:type="paragraph" w:styleId="Heading5">
    <w:name w:val="heading 5"/>
    <w:basedOn w:val="Normal"/>
    <w:next w:val="Normal"/>
    <w:link w:val="Heading5Char"/>
    <w:uiPriority w:val="9"/>
    <w:unhideWhenUsed/>
    <w:qFormat/>
    <w:rsid w:val="001727FD"/>
    <w:pPr>
      <w:keepNext/>
      <w:keepLines/>
      <w:spacing w:before="40" w:after="0"/>
      <w:outlineLvl w:val="4"/>
    </w:pPr>
    <w:rPr>
      <w:rFonts w:asciiTheme="majorHAnsi" w:eastAsiaTheme="majorEastAsia" w:hAnsiTheme="majorHAnsi" w:cstheme="majorBidi"/>
      <w:color w:val="44546A" w:themeColor="text2"/>
      <w:sz w:val="22"/>
      <w:szCs w:val="22"/>
    </w:rPr>
  </w:style>
  <w:style w:type="paragraph" w:styleId="Heading6">
    <w:name w:val="heading 6"/>
    <w:basedOn w:val="Normal"/>
    <w:next w:val="Normal"/>
    <w:link w:val="Heading6Char"/>
    <w:uiPriority w:val="9"/>
    <w:semiHidden/>
    <w:unhideWhenUsed/>
    <w:qFormat/>
    <w:rsid w:val="001727FD"/>
    <w:pPr>
      <w:keepNext/>
      <w:keepLines/>
      <w:spacing w:before="40" w:after="0"/>
      <w:outlineLvl w:val="5"/>
    </w:pPr>
    <w:rPr>
      <w:rFonts w:asciiTheme="majorHAnsi" w:eastAsiaTheme="majorEastAsia" w:hAnsiTheme="majorHAnsi" w:cstheme="majorBidi"/>
      <w:i/>
      <w:iCs/>
      <w:color w:val="44546A" w:themeColor="text2"/>
      <w:sz w:val="21"/>
      <w:szCs w:val="21"/>
    </w:rPr>
  </w:style>
  <w:style w:type="paragraph" w:styleId="Heading7">
    <w:name w:val="heading 7"/>
    <w:basedOn w:val="Normal"/>
    <w:next w:val="Normal"/>
    <w:link w:val="Heading7Char"/>
    <w:uiPriority w:val="9"/>
    <w:semiHidden/>
    <w:unhideWhenUsed/>
    <w:qFormat/>
    <w:rsid w:val="001727FD"/>
    <w:pPr>
      <w:keepNext/>
      <w:keepLines/>
      <w:spacing w:before="40" w:after="0"/>
      <w:outlineLvl w:val="6"/>
    </w:pPr>
    <w:rPr>
      <w:rFonts w:asciiTheme="majorHAnsi" w:eastAsiaTheme="majorEastAsia" w:hAnsiTheme="majorHAnsi" w:cstheme="majorBidi"/>
      <w:i/>
      <w:iCs/>
      <w:color w:val="1F4E79" w:themeColor="accent1" w:themeShade="80"/>
      <w:sz w:val="21"/>
      <w:szCs w:val="21"/>
    </w:rPr>
  </w:style>
  <w:style w:type="paragraph" w:styleId="Heading8">
    <w:name w:val="heading 8"/>
    <w:basedOn w:val="Normal"/>
    <w:next w:val="Normal"/>
    <w:link w:val="Heading8Char"/>
    <w:uiPriority w:val="9"/>
    <w:semiHidden/>
    <w:unhideWhenUsed/>
    <w:qFormat/>
    <w:rsid w:val="001727FD"/>
    <w:pPr>
      <w:keepNext/>
      <w:keepLines/>
      <w:spacing w:before="40" w:after="0"/>
      <w:outlineLvl w:val="7"/>
    </w:pPr>
    <w:rPr>
      <w:rFonts w:asciiTheme="majorHAnsi" w:eastAsiaTheme="majorEastAsia" w:hAnsiTheme="majorHAnsi" w:cstheme="majorBidi"/>
      <w:b/>
      <w:bCs/>
      <w:color w:val="44546A" w:themeColor="text2"/>
    </w:rPr>
  </w:style>
  <w:style w:type="paragraph" w:styleId="Heading9">
    <w:name w:val="heading 9"/>
    <w:basedOn w:val="Normal"/>
    <w:next w:val="Normal"/>
    <w:link w:val="Heading9Char"/>
    <w:uiPriority w:val="9"/>
    <w:semiHidden/>
    <w:unhideWhenUsed/>
    <w:qFormat/>
    <w:rsid w:val="001727FD"/>
    <w:pPr>
      <w:keepNext/>
      <w:keepLines/>
      <w:spacing w:before="40" w:after="0"/>
      <w:outlineLvl w:val="8"/>
    </w:pPr>
    <w:rPr>
      <w:rFonts w:asciiTheme="majorHAnsi" w:eastAsiaTheme="majorEastAsia" w:hAnsiTheme="majorHAnsi" w:cstheme="majorBidi"/>
      <w:b/>
      <w:bCs/>
      <w:i/>
      <w:iCs/>
      <w:color w:val="44546A" w:themeColor="tex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727FD"/>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1727FD"/>
    <w:rPr>
      <w:rFonts w:asciiTheme="majorHAnsi" w:eastAsiaTheme="majorEastAsia" w:hAnsiTheme="majorHAnsi" w:cstheme="majorBidi"/>
      <w:color w:val="404040" w:themeColor="text1" w:themeTint="BF"/>
      <w:sz w:val="28"/>
      <w:szCs w:val="28"/>
    </w:rPr>
  </w:style>
  <w:style w:type="character" w:customStyle="1" w:styleId="Heading3Char">
    <w:name w:val="Heading 3 Char"/>
    <w:basedOn w:val="DefaultParagraphFont"/>
    <w:link w:val="Heading3"/>
    <w:uiPriority w:val="9"/>
    <w:rsid w:val="001727FD"/>
    <w:rPr>
      <w:rFonts w:asciiTheme="majorHAnsi" w:eastAsiaTheme="majorEastAsia" w:hAnsiTheme="majorHAnsi" w:cstheme="majorBidi"/>
      <w:color w:val="44546A" w:themeColor="text2"/>
      <w:sz w:val="24"/>
      <w:szCs w:val="24"/>
    </w:rPr>
  </w:style>
  <w:style w:type="character" w:customStyle="1" w:styleId="Heading4Char">
    <w:name w:val="Heading 4 Char"/>
    <w:basedOn w:val="DefaultParagraphFont"/>
    <w:link w:val="Heading4"/>
    <w:uiPriority w:val="9"/>
    <w:rsid w:val="001727FD"/>
    <w:rPr>
      <w:rFonts w:asciiTheme="majorHAnsi" w:eastAsiaTheme="majorEastAsia" w:hAnsiTheme="majorHAnsi" w:cstheme="majorBidi"/>
    </w:rPr>
  </w:style>
  <w:style w:type="character" w:customStyle="1" w:styleId="Heading5Char">
    <w:name w:val="Heading 5 Char"/>
    <w:basedOn w:val="DefaultParagraphFont"/>
    <w:link w:val="Heading5"/>
    <w:uiPriority w:val="9"/>
    <w:rsid w:val="001727FD"/>
    <w:rPr>
      <w:rFonts w:asciiTheme="majorHAnsi" w:eastAsiaTheme="majorEastAsia" w:hAnsiTheme="majorHAnsi" w:cstheme="majorBidi"/>
      <w:color w:val="44546A" w:themeColor="text2"/>
    </w:rPr>
  </w:style>
  <w:style w:type="character" w:customStyle="1" w:styleId="Heading6Char">
    <w:name w:val="Heading 6 Char"/>
    <w:basedOn w:val="DefaultParagraphFont"/>
    <w:link w:val="Heading6"/>
    <w:uiPriority w:val="9"/>
    <w:semiHidden/>
    <w:rsid w:val="001727FD"/>
    <w:rPr>
      <w:rFonts w:asciiTheme="majorHAnsi" w:eastAsiaTheme="majorEastAsia" w:hAnsiTheme="majorHAnsi" w:cstheme="majorBidi"/>
      <w:i/>
      <w:iCs/>
      <w:color w:val="44546A" w:themeColor="text2"/>
      <w:sz w:val="21"/>
      <w:szCs w:val="21"/>
    </w:rPr>
  </w:style>
  <w:style w:type="character" w:customStyle="1" w:styleId="Heading7Char">
    <w:name w:val="Heading 7 Char"/>
    <w:basedOn w:val="DefaultParagraphFont"/>
    <w:link w:val="Heading7"/>
    <w:uiPriority w:val="9"/>
    <w:semiHidden/>
    <w:rsid w:val="001727FD"/>
    <w:rPr>
      <w:rFonts w:asciiTheme="majorHAnsi" w:eastAsiaTheme="majorEastAsia" w:hAnsiTheme="majorHAnsi" w:cstheme="majorBidi"/>
      <w:i/>
      <w:iCs/>
      <w:color w:val="1F4E79" w:themeColor="accent1" w:themeShade="80"/>
      <w:sz w:val="21"/>
      <w:szCs w:val="21"/>
    </w:rPr>
  </w:style>
  <w:style w:type="character" w:customStyle="1" w:styleId="Heading8Char">
    <w:name w:val="Heading 8 Char"/>
    <w:basedOn w:val="DefaultParagraphFont"/>
    <w:link w:val="Heading8"/>
    <w:uiPriority w:val="9"/>
    <w:semiHidden/>
    <w:rsid w:val="001727FD"/>
    <w:rPr>
      <w:rFonts w:asciiTheme="majorHAnsi" w:eastAsiaTheme="majorEastAsia" w:hAnsiTheme="majorHAnsi" w:cstheme="majorBidi"/>
      <w:b/>
      <w:bCs/>
      <w:color w:val="44546A" w:themeColor="text2"/>
      <w:sz w:val="20"/>
      <w:szCs w:val="20"/>
    </w:rPr>
  </w:style>
  <w:style w:type="character" w:customStyle="1" w:styleId="Heading9Char">
    <w:name w:val="Heading 9 Char"/>
    <w:basedOn w:val="DefaultParagraphFont"/>
    <w:link w:val="Heading9"/>
    <w:uiPriority w:val="9"/>
    <w:semiHidden/>
    <w:rsid w:val="001727FD"/>
    <w:rPr>
      <w:rFonts w:asciiTheme="majorHAnsi" w:eastAsiaTheme="majorEastAsia" w:hAnsiTheme="majorHAnsi" w:cstheme="majorBidi"/>
      <w:b/>
      <w:bCs/>
      <w:i/>
      <w:iCs/>
      <w:color w:val="44546A" w:themeColor="text2"/>
      <w:sz w:val="20"/>
      <w:szCs w:val="20"/>
    </w:rPr>
  </w:style>
  <w:style w:type="paragraph" w:styleId="Title">
    <w:name w:val="Title"/>
    <w:basedOn w:val="Normal"/>
    <w:next w:val="Normal"/>
    <w:link w:val="TitleChar"/>
    <w:uiPriority w:val="10"/>
    <w:qFormat/>
    <w:rsid w:val="001727FD"/>
    <w:pPr>
      <w:spacing w:after="0" w:line="240" w:lineRule="auto"/>
      <w:contextualSpacing/>
    </w:pPr>
    <w:rPr>
      <w:rFonts w:asciiTheme="majorHAnsi" w:eastAsiaTheme="majorEastAsia" w:hAnsiTheme="majorHAnsi" w:cstheme="majorBidi"/>
      <w:color w:val="5B9BD5" w:themeColor="accent1"/>
      <w:spacing w:val="-10"/>
      <w:sz w:val="56"/>
      <w:szCs w:val="56"/>
    </w:rPr>
  </w:style>
  <w:style w:type="character" w:customStyle="1" w:styleId="TitleChar">
    <w:name w:val="Title Char"/>
    <w:basedOn w:val="DefaultParagraphFont"/>
    <w:link w:val="Title"/>
    <w:uiPriority w:val="10"/>
    <w:rsid w:val="001727FD"/>
    <w:rPr>
      <w:rFonts w:asciiTheme="majorHAnsi" w:eastAsiaTheme="majorEastAsia" w:hAnsiTheme="majorHAnsi" w:cstheme="majorBidi"/>
      <w:color w:val="5B9BD5" w:themeColor="accent1"/>
      <w:spacing w:val="-10"/>
      <w:sz w:val="56"/>
      <w:szCs w:val="56"/>
    </w:rPr>
  </w:style>
  <w:style w:type="paragraph" w:styleId="Subtitle">
    <w:name w:val="Subtitle"/>
    <w:basedOn w:val="Normal"/>
    <w:next w:val="Normal"/>
    <w:link w:val="SubtitleChar"/>
    <w:uiPriority w:val="11"/>
    <w:qFormat/>
    <w:rsid w:val="001727FD"/>
    <w:pPr>
      <w:numPr>
        <w:ilvl w:val="1"/>
      </w:numPr>
      <w:spacing w:line="240" w:lineRule="auto"/>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1727FD"/>
    <w:rPr>
      <w:rFonts w:asciiTheme="majorHAnsi" w:eastAsiaTheme="majorEastAsia" w:hAnsiTheme="majorHAnsi" w:cstheme="majorBidi"/>
      <w:sz w:val="24"/>
      <w:szCs w:val="24"/>
    </w:rPr>
  </w:style>
  <w:style w:type="character" w:styleId="Strong">
    <w:name w:val="Strong"/>
    <w:basedOn w:val="DefaultParagraphFont"/>
    <w:uiPriority w:val="22"/>
    <w:qFormat/>
    <w:rsid w:val="001727FD"/>
    <w:rPr>
      <w:b/>
      <w:bCs/>
    </w:rPr>
  </w:style>
  <w:style w:type="character" w:styleId="Emphasis">
    <w:name w:val="Emphasis"/>
    <w:basedOn w:val="DefaultParagraphFont"/>
    <w:uiPriority w:val="20"/>
    <w:qFormat/>
    <w:rsid w:val="001727FD"/>
    <w:rPr>
      <w:i/>
      <w:iCs/>
    </w:rPr>
  </w:style>
  <w:style w:type="paragraph" w:styleId="NoSpacing">
    <w:name w:val="No Spacing"/>
    <w:uiPriority w:val="1"/>
    <w:qFormat/>
    <w:rsid w:val="001727FD"/>
    <w:pPr>
      <w:spacing w:after="0" w:line="240" w:lineRule="auto"/>
    </w:pPr>
    <w:rPr>
      <w:rFonts w:eastAsiaTheme="minorEastAsia"/>
      <w:sz w:val="20"/>
      <w:szCs w:val="20"/>
    </w:rPr>
  </w:style>
  <w:style w:type="paragraph" w:styleId="ListParagraph">
    <w:name w:val="List Paragraph"/>
    <w:basedOn w:val="Normal"/>
    <w:uiPriority w:val="34"/>
    <w:qFormat/>
    <w:rsid w:val="001727FD"/>
    <w:pPr>
      <w:ind w:left="720"/>
      <w:contextualSpacing/>
    </w:pPr>
  </w:style>
  <w:style w:type="paragraph" w:styleId="Quote">
    <w:name w:val="Quote"/>
    <w:basedOn w:val="Normal"/>
    <w:next w:val="Normal"/>
    <w:link w:val="QuoteChar"/>
    <w:uiPriority w:val="29"/>
    <w:qFormat/>
    <w:rsid w:val="001727FD"/>
    <w:pPr>
      <w:spacing w:before="160"/>
      <w:ind w:left="720" w:right="720"/>
    </w:pPr>
    <w:rPr>
      <w:i/>
      <w:iCs/>
      <w:color w:val="404040" w:themeColor="text1" w:themeTint="BF"/>
    </w:rPr>
  </w:style>
  <w:style w:type="character" w:customStyle="1" w:styleId="QuoteChar">
    <w:name w:val="Quote Char"/>
    <w:basedOn w:val="DefaultParagraphFont"/>
    <w:link w:val="Quote"/>
    <w:uiPriority w:val="29"/>
    <w:rsid w:val="001727FD"/>
    <w:rPr>
      <w:rFonts w:eastAsiaTheme="minorEastAsia"/>
      <w:i/>
      <w:iCs/>
      <w:color w:val="404040" w:themeColor="text1" w:themeTint="BF"/>
      <w:sz w:val="20"/>
      <w:szCs w:val="20"/>
    </w:rPr>
  </w:style>
  <w:style w:type="paragraph" w:styleId="IntenseQuote">
    <w:name w:val="Intense Quote"/>
    <w:basedOn w:val="Normal"/>
    <w:next w:val="Normal"/>
    <w:link w:val="IntenseQuoteChar"/>
    <w:uiPriority w:val="30"/>
    <w:qFormat/>
    <w:rsid w:val="001727FD"/>
    <w:pPr>
      <w:pBdr>
        <w:left w:val="single" w:sz="18" w:space="12" w:color="5B9BD5" w:themeColor="accent1"/>
      </w:pBdr>
      <w:spacing w:before="100" w:beforeAutospacing="1" w:line="300" w:lineRule="auto"/>
      <w:ind w:left="1224" w:right="1224"/>
    </w:pPr>
    <w:rPr>
      <w:rFonts w:asciiTheme="majorHAnsi" w:eastAsiaTheme="majorEastAsia" w:hAnsiTheme="majorHAnsi" w:cstheme="majorBidi"/>
      <w:color w:val="5B9BD5" w:themeColor="accent1"/>
      <w:sz w:val="28"/>
      <w:szCs w:val="28"/>
    </w:rPr>
  </w:style>
  <w:style w:type="character" w:customStyle="1" w:styleId="IntenseQuoteChar">
    <w:name w:val="Intense Quote Char"/>
    <w:basedOn w:val="DefaultParagraphFont"/>
    <w:link w:val="IntenseQuote"/>
    <w:uiPriority w:val="30"/>
    <w:rsid w:val="001727FD"/>
    <w:rPr>
      <w:rFonts w:asciiTheme="majorHAnsi" w:eastAsiaTheme="majorEastAsia" w:hAnsiTheme="majorHAnsi" w:cstheme="majorBidi"/>
      <w:color w:val="5B9BD5" w:themeColor="accent1"/>
      <w:sz w:val="28"/>
      <w:szCs w:val="28"/>
    </w:rPr>
  </w:style>
  <w:style w:type="character" w:styleId="SubtleEmphasis">
    <w:name w:val="Subtle Emphasis"/>
    <w:basedOn w:val="DefaultParagraphFont"/>
    <w:uiPriority w:val="19"/>
    <w:qFormat/>
    <w:rsid w:val="001727FD"/>
    <w:rPr>
      <w:i/>
      <w:iCs/>
      <w:color w:val="404040" w:themeColor="text1" w:themeTint="BF"/>
    </w:rPr>
  </w:style>
  <w:style w:type="character" w:styleId="IntenseEmphasis">
    <w:name w:val="Intense Emphasis"/>
    <w:basedOn w:val="DefaultParagraphFont"/>
    <w:uiPriority w:val="21"/>
    <w:qFormat/>
    <w:rsid w:val="001727FD"/>
    <w:rPr>
      <w:b/>
      <w:bCs/>
      <w:i/>
      <w:iCs/>
    </w:rPr>
  </w:style>
  <w:style w:type="character" w:styleId="SubtleReference">
    <w:name w:val="Subtle Reference"/>
    <w:basedOn w:val="DefaultParagraphFont"/>
    <w:uiPriority w:val="31"/>
    <w:qFormat/>
    <w:rsid w:val="001727FD"/>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1727FD"/>
    <w:rPr>
      <w:b/>
      <w:bCs/>
      <w:smallCaps/>
      <w:spacing w:val="5"/>
      <w:u w:val="single"/>
    </w:rPr>
  </w:style>
  <w:style w:type="character" w:styleId="BookTitle">
    <w:name w:val="Book Title"/>
    <w:basedOn w:val="DefaultParagraphFont"/>
    <w:uiPriority w:val="33"/>
    <w:qFormat/>
    <w:rsid w:val="001727FD"/>
    <w:rPr>
      <w:b/>
      <w:bCs/>
      <w:smallCaps/>
    </w:rPr>
  </w:style>
  <w:style w:type="paragraph" w:styleId="TOCHeading">
    <w:name w:val="TOC Heading"/>
    <w:basedOn w:val="Heading1"/>
    <w:next w:val="Normal"/>
    <w:uiPriority w:val="39"/>
    <w:semiHidden/>
    <w:unhideWhenUsed/>
    <w:qFormat/>
    <w:rsid w:val="001727FD"/>
    <w:pPr>
      <w:outlineLvl w:val="9"/>
    </w:pPr>
  </w:style>
  <w:style w:type="paragraph" w:styleId="Caption">
    <w:name w:val="caption"/>
    <w:basedOn w:val="Normal"/>
    <w:next w:val="Normal"/>
    <w:uiPriority w:val="35"/>
    <w:semiHidden/>
    <w:unhideWhenUsed/>
    <w:qFormat/>
    <w:rsid w:val="001727FD"/>
    <w:pPr>
      <w:spacing w:line="240" w:lineRule="auto"/>
    </w:pPr>
    <w:rPr>
      <w:b/>
      <w:bCs/>
      <w:smallCaps/>
      <w:color w:val="595959" w:themeColor="text1" w:themeTint="A6"/>
      <w:spacing w:val="6"/>
    </w:rPr>
  </w:style>
  <w:style w:type="paragraph" w:styleId="BalloonText">
    <w:name w:val="Balloon Text"/>
    <w:basedOn w:val="Normal"/>
    <w:link w:val="BalloonTextChar"/>
    <w:uiPriority w:val="99"/>
    <w:semiHidden/>
    <w:unhideWhenUsed/>
    <w:rsid w:val="001727F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727FD"/>
    <w:rPr>
      <w:rFonts w:ascii="Tahoma" w:eastAsiaTheme="minorEastAsia" w:hAnsi="Tahoma" w:cs="Tahoma"/>
      <w:sz w:val="16"/>
      <w:szCs w:val="16"/>
    </w:rPr>
  </w:style>
  <w:style w:type="character" w:styleId="CommentReference">
    <w:name w:val="annotation reference"/>
    <w:basedOn w:val="DefaultParagraphFont"/>
    <w:uiPriority w:val="99"/>
    <w:semiHidden/>
    <w:unhideWhenUsed/>
    <w:rsid w:val="001727FD"/>
    <w:rPr>
      <w:sz w:val="16"/>
      <w:szCs w:val="16"/>
    </w:rPr>
  </w:style>
  <w:style w:type="paragraph" w:styleId="CommentText">
    <w:name w:val="annotation text"/>
    <w:basedOn w:val="Normal"/>
    <w:link w:val="CommentTextChar"/>
    <w:uiPriority w:val="99"/>
    <w:semiHidden/>
    <w:unhideWhenUsed/>
    <w:rsid w:val="001727FD"/>
    <w:pPr>
      <w:spacing w:line="240" w:lineRule="auto"/>
    </w:pPr>
  </w:style>
  <w:style w:type="character" w:customStyle="1" w:styleId="CommentTextChar">
    <w:name w:val="Comment Text Char"/>
    <w:basedOn w:val="DefaultParagraphFont"/>
    <w:link w:val="CommentText"/>
    <w:uiPriority w:val="99"/>
    <w:semiHidden/>
    <w:rsid w:val="001727FD"/>
    <w:rPr>
      <w:rFonts w:eastAsiaTheme="minorEastAsia"/>
      <w:sz w:val="20"/>
      <w:szCs w:val="20"/>
    </w:rPr>
  </w:style>
  <w:style w:type="paragraph" w:styleId="CommentSubject">
    <w:name w:val="annotation subject"/>
    <w:basedOn w:val="CommentText"/>
    <w:next w:val="CommentText"/>
    <w:link w:val="CommentSubjectChar"/>
    <w:uiPriority w:val="99"/>
    <w:semiHidden/>
    <w:unhideWhenUsed/>
    <w:rsid w:val="001727FD"/>
    <w:rPr>
      <w:b/>
      <w:bCs/>
    </w:rPr>
  </w:style>
  <w:style w:type="character" w:customStyle="1" w:styleId="CommentSubjectChar">
    <w:name w:val="Comment Subject Char"/>
    <w:basedOn w:val="CommentTextChar"/>
    <w:link w:val="CommentSubject"/>
    <w:uiPriority w:val="99"/>
    <w:semiHidden/>
    <w:rsid w:val="001727FD"/>
    <w:rPr>
      <w:rFonts w:eastAsiaTheme="minorEastAsia"/>
      <w:b/>
      <w:bCs/>
      <w:sz w:val="20"/>
      <w:szCs w:val="20"/>
    </w:rPr>
  </w:style>
  <w:style w:type="table" w:styleId="TableGrid">
    <w:name w:val="Table Grid"/>
    <w:basedOn w:val="TableNormal"/>
    <w:uiPriority w:val="59"/>
    <w:rsid w:val="001727FD"/>
    <w:pPr>
      <w:spacing w:after="0" w:line="240" w:lineRule="auto"/>
    </w:pPr>
    <w:rPr>
      <w:rFonts w:eastAsiaTheme="minorEastAsia"/>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
    <w:name w:val="Grid Table 1 Light"/>
    <w:basedOn w:val="TableNormal"/>
    <w:uiPriority w:val="46"/>
    <w:rsid w:val="001727FD"/>
    <w:pPr>
      <w:spacing w:after="0" w:line="240" w:lineRule="auto"/>
    </w:pPr>
    <w:rPr>
      <w:rFonts w:eastAsiaTheme="minorEastAsia"/>
      <w:sz w:val="20"/>
      <w:szCs w:val="20"/>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Header">
    <w:name w:val="header"/>
    <w:basedOn w:val="Normal"/>
    <w:link w:val="HeaderChar"/>
    <w:uiPriority w:val="99"/>
    <w:unhideWhenUsed/>
    <w:rsid w:val="001727FD"/>
    <w:pPr>
      <w:tabs>
        <w:tab w:val="center" w:pos="4513"/>
        <w:tab w:val="right" w:pos="9026"/>
      </w:tabs>
      <w:spacing w:after="0" w:line="240" w:lineRule="auto"/>
    </w:pPr>
  </w:style>
  <w:style w:type="character" w:customStyle="1" w:styleId="HeaderChar">
    <w:name w:val="Header Char"/>
    <w:basedOn w:val="DefaultParagraphFont"/>
    <w:link w:val="Header"/>
    <w:uiPriority w:val="99"/>
    <w:rsid w:val="001727FD"/>
    <w:rPr>
      <w:rFonts w:eastAsiaTheme="minorEastAsia"/>
      <w:sz w:val="20"/>
      <w:szCs w:val="20"/>
    </w:rPr>
  </w:style>
  <w:style w:type="paragraph" w:styleId="Footer">
    <w:name w:val="footer"/>
    <w:basedOn w:val="Normal"/>
    <w:link w:val="FooterChar"/>
    <w:uiPriority w:val="99"/>
    <w:unhideWhenUsed/>
    <w:rsid w:val="001727FD"/>
    <w:pPr>
      <w:tabs>
        <w:tab w:val="center" w:pos="4513"/>
        <w:tab w:val="right" w:pos="9026"/>
      </w:tabs>
      <w:spacing w:after="0" w:line="240" w:lineRule="auto"/>
    </w:pPr>
  </w:style>
  <w:style w:type="character" w:customStyle="1" w:styleId="FooterChar">
    <w:name w:val="Footer Char"/>
    <w:basedOn w:val="DefaultParagraphFont"/>
    <w:link w:val="Footer"/>
    <w:uiPriority w:val="99"/>
    <w:rsid w:val="001727FD"/>
    <w:rPr>
      <w:rFonts w:eastAsiaTheme="minorEastAsia"/>
      <w:sz w:val="20"/>
      <w:szCs w:val="20"/>
    </w:rPr>
  </w:style>
  <w:style w:type="table" w:styleId="GridTable1Light-Accent3">
    <w:name w:val="Grid Table 1 Light Accent 3"/>
    <w:basedOn w:val="TableNormal"/>
    <w:uiPriority w:val="46"/>
    <w:rsid w:val="00352AFB"/>
    <w:pPr>
      <w:spacing w:after="0" w:line="240" w:lineRule="auto"/>
    </w:p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character" w:styleId="Hyperlink">
    <w:name w:val="Hyperlink"/>
    <w:basedOn w:val="DefaultParagraphFont"/>
    <w:uiPriority w:val="99"/>
    <w:unhideWhenUsed/>
    <w:rsid w:val="00BD60A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1378/chest.09-1850" TargetMode="External"/><Relationship Id="rId13" Type="http://schemas.openxmlformats.org/officeDocument/2006/relationships/hyperlink" Target="https://doi.org/10.1090/S0273-0979-09-01249-X" TargetMode="External"/><Relationship Id="rId18" Type="http://schemas.openxmlformats.org/officeDocument/2006/relationships/hyperlink" Target="https://doi.org/10.1183/13993003.50779-2015"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1.emf"/><Relationship Id="rId7" Type="http://schemas.openxmlformats.org/officeDocument/2006/relationships/endnotes" Target="endnotes.xml"/><Relationship Id="rId12" Type="http://schemas.openxmlformats.org/officeDocument/2006/relationships/hyperlink" Target="https://doi.org/10.1139/o59-099" TargetMode="External"/><Relationship Id="rId17" Type="http://schemas.openxmlformats.org/officeDocument/2006/relationships/hyperlink" Target="https://doi.org/10.1093/biostatistics/kxj037"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doi.org/10.1016/S1044-0305(03)00064-3" TargetMode="External"/><Relationship Id="rId20" Type="http://schemas.openxmlformats.org/officeDocument/2006/relationships/hyperlink" Target="https://spiral.imperial.ac.uk/handle/10044/1/33722"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1164/rccm.201604-0866OC"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doi.org/10.1016/j.jaci.2015.11.020" TargetMode="External"/><Relationship Id="rId23" Type="http://schemas.openxmlformats.org/officeDocument/2006/relationships/image" Target="media/image2.png"/><Relationship Id="rId10" Type="http://schemas.openxmlformats.org/officeDocument/2006/relationships/hyperlink" Target="https://doi.org/10.1136/thx.2010.153643" TargetMode="External"/><Relationship Id="rId19" Type="http://schemas.openxmlformats.org/officeDocument/2006/relationships/hyperlink" Target="https://doi.org/10.1183/09031936.00078812" TargetMode="External"/><Relationship Id="rId4" Type="http://schemas.openxmlformats.org/officeDocument/2006/relationships/settings" Target="settings.xml"/><Relationship Id="rId9" Type="http://schemas.openxmlformats.org/officeDocument/2006/relationships/hyperlink" Target="https://doi.org/10.1159/000330667" TargetMode="External"/><Relationship Id="rId14" Type="http://schemas.openxmlformats.org/officeDocument/2006/relationships/hyperlink" Target="https://doi.org/10.1183/09031936.02.00000102" TargetMode="External"/><Relationship Id="rId22" Type="http://schemas.openxmlformats.org/officeDocument/2006/relationships/oleObject" Target="embeddings/oleObject1.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E782FE-E706-4400-9166-5C78C40422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737</TotalTime>
  <Pages>8</Pages>
  <Words>2999</Words>
  <Characters>17096</Characters>
  <Application>Microsoft Office Word</Application>
  <DocSecurity>0</DocSecurity>
  <Lines>142</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20055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Tony Postle</dc:creator>
  <cp:keywords/>
  <dc:description/>
  <cp:lastModifiedBy>Brandsma J.</cp:lastModifiedBy>
  <cp:revision>335</cp:revision>
  <cp:lastPrinted>2018-01-19T11:48:00Z</cp:lastPrinted>
  <dcterms:created xsi:type="dcterms:W3CDTF">2017-07-17T05:15:00Z</dcterms:created>
  <dcterms:modified xsi:type="dcterms:W3CDTF">2018-07-30T19:45:00Z</dcterms:modified>
</cp:coreProperties>
</file>