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A83" w:rsidRPr="008A4A83" w:rsidRDefault="008A4A83" w:rsidP="008A4A83">
      <w:pPr>
        <w:widowControl w:val="0"/>
        <w:spacing w:before="60" w:line="360" w:lineRule="auto"/>
        <w:jc w:val="both"/>
        <w:rPr>
          <w:rFonts w:ascii="Arial" w:eastAsia="ＭＳ 明朝" w:hAnsi="Arial" w:cs="Arial"/>
          <w:b/>
          <w:i/>
          <w:kern w:val="2"/>
          <w:sz w:val="21"/>
        </w:rPr>
      </w:pPr>
      <w:r w:rsidRPr="008A4A83">
        <w:rPr>
          <w:rFonts w:ascii="Arial" w:eastAsia="ＭＳ 明朝" w:hAnsi="Arial" w:cs="Arial"/>
          <w:b/>
          <w:kern w:val="2"/>
          <w:sz w:val="21"/>
        </w:rPr>
        <w:t xml:space="preserve">Keeping the shape of plant tissue for visualizing metabolite features in segmentation and correlation analysis of imaging mass spectrometry in </w:t>
      </w:r>
      <w:r w:rsidRPr="008A4A83">
        <w:rPr>
          <w:rFonts w:ascii="Arial" w:eastAsia="ＭＳ 明朝" w:hAnsi="Arial" w:cs="Arial"/>
          <w:b/>
          <w:i/>
          <w:kern w:val="2"/>
          <w:sz w:val="21"/>
        </w:rPr>
        <w:t>Asparagus officinalis</w:t>
      </w: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bookmarkStart w:id="0" w:name="_GoBack"/>
      <w:bookmarkEnd w:id="0"/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3C73F4">
        <w:rPr>
          <w:rFonts w:ascii="Arial" w:eastAsia="ＭＳ 明朝" w:hAnsi="Arial" w:cs="Arial"/>
          <w:kern w:val="2"/>
          <w:sz w:val="21"/>
        </w:rPr>
        <w:t>Ryo Nakabayashi</w:t>
      </w:r>
      <w:r w:rsidRPr="003C73F4">
        <w:rPr>
          <w:rFonts w:ascii="Arial" w:eastAsia="ＭＳ 明朝" w:hAnsi="Arial" w:cs="Arial"/>
          <w:kern w:val="2"/>
          <w:sz w:val="21"/>
          <w:vertAlign w:val="superscript"/>
        </w:rPr>
        <w:t>1,</w:t>
      </w:r>
      <w:r w:rsidRPr="003C73F4">
        <w:rPr>
          <w:rFonts w:ascii="Arial" w:eastAsia="ＭＳ 明朝" w:hAnsi="Arial" w:cs="Arial"/>
          <w:kern w:val="2"/>
          <w:sz w:val="21"/>
          <w:vertAlign w:val="superscript"/>
        </w:rPr>
        <w:sym w:font="Symbol" w:char="F02A"/>
      </w:r>
      <w:r w:rsidRPr="003C73F4">
        <w:rPr>
          <w:rFonts w:ascii="Arial" w:eastAsia="ＭＳ 明朝" w:hAnsi="Arial" w:cs="Arial"/>
          <w:kern w:val="2"/>
          <w:sz w:val="21"/>
        </w:rPr>
        <w:t>, Kei Hashimoto</w:t>
      </w:r>
      <w:r w:rsidRPr="003C73F4">
        <w:rPr>
          <w:rFonts w:ascii="Arial" w:eastAsia="ＭＳ 明朝" w:hAnsi="Arial" w:cs="Arial"/>
          <w:kern w:val="2"/>
          <w:sz w:val="21"/>
          <w:vertAlign w:val="superscript"/>
        </w:rPr>
        <w:t>1</w:t>
      </w:r>
      <w:r w:rsidRPr="003C73F4">
        <w:rPr>
          <w:rFonts w:ascii="Arial" w:eastAsia="ＭＳ 明朝" w:hAnsi="Arial" w:cs="Arial"/>
          <w:kern w:val="2"/>
          <w:sz w:val="21"/>
        </w:rPr>
        <w:t>, Kiminori Toyooka</w:t>
      </w:r>
      <w:r w:rsidRPr="003C73F4">
        <w:rPr>
          <w:rFonts w:ascii="Arial" w:eastAsia="ＭＳ 明朝" w:hAnsi="Arial" w:cs="Arial"/>
          <w:kern w:val="2"/>
          <w:sz w:val="21"/>
          <w:vertAlign w:val="superscript"/>
        </w:rPr>
        <w:t>1</w:t>
      </w:r>
      <w:r w:rsidRPr="003C73F4">
        <w:rPr>
          <w:rFonts w:ascii="Arial" w:eastAsia="ＭＳ 明朝" w:hAnsi="Arial" w:cs="Arial"/>
          <w:kern w:val="2"/>
          <w:sz w:val="21"/>
        </w:rPr>
        <w:t>, and Kazuki Saito</w:t>
      </w:r>
      <w:r w:rsidRPr="003C73F4">
        <w:rPr>
          <w:rFonts w:ascii="Arial" w:eastAsia="ＭＳ 明朝" w:hAnsi="Arial" w:cs="Arial"/>
          <w:kern w:val="2"/>
          <w:sz w:val="21"/>
          <w:vertAlign w:val="superscript"/>
        </w:rPr>
        <w:t>1,2</w:t>
      </w: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3C73F4">
        <w:rPr>
          <w:rFonts w:ascii="Arial" w:eastAsia="ＭＳ 明朝" w:hAnsi="Arial" w:cs="Arial"/>
          <w:kern w:val="2"/>
          <w:sz w:val="21"/>
        </w:rPr>
        <w:t>1 RIKEN Center for Sustainable Resource Science, 1-7-22 Suehiro-cho, Tsurumi-ku, Yokohama 230-0045, Japan</w:t>
      </w: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3C73F4">
        <w:rPr>
          <w:rFonts w:ascii="Arial" w:eastAsia="ＭＳ 明朝" w:hAnsi="Arial" w:cs="Arial"/>
          <w:kern w:val="2"/>
          <w:sz w:val="21"/>
        </w:rPr>
        <w:t>2 Graduate School of Pharmaceutical Sciences, Chiba University, 1-8-1 Inohana, Chuo-ku, Chiba 260-8675, Japan</w:t>
      </w: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3C73F4">
        <w:rPr>
          <w:rFonts w:ascii="Arial" w:eastAsia="ＭＳ 明朝" w:hAnsi="Arial" w:cs="Arial"/>
          <w:kern w:val="2"/>
          <w:sz w:val="21"/>
        </w:rPr>
        <w:t>ORCID: Ryo Nakabayashi (0000-0002-8674-0928)</w:t>
      </w: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3C73F4" w:rsidRPr="003C73F4" w:rsidRDefault="003C73F4" w:rsidP="003C73F4">
      <w:pPr>
        <w:widowControl w:val="0"/>
        <w:spacing w:before="60"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3C73F4">
        <w:rPr>
          <w:rFonts w:ascii="Arial" w:eastAsia="ＭＳ 明朝" w:hAnsi="Arial" w:cs="Arial"/>
          <w:kern w:val="2"/>
          <w:sz w:val="21"/>
        </w:rPr>
        <w:sym w:font="Symbol" w:char="F02A"/>
      </w:r>
      <w:r w:rsidRPr="003C73F4">
        <w:rPr>
          <w:rFonts w:ascii="Arial" w:eastAsia="ＭＳ 明朝" w:hAnsi="Arial" w:cs="Arial"/>
          <w:kern w:val="2"/>
          <w:sz w:val="21"/>
        </w:rPr>
        <w:t xml:space="preserve"> Corresponding author: Ryo Nakabayashi (</w:t>
      </w:r>
      <w:hyperlink r:id="rId6" w:history="1">
        <w:r w:rsidRPr="003C73F4">
          <w:rPr>
            <w:rStyle w:val="a7"/>
            <w:rFonts w:ascii="Arial" w:eastAsia="ＭＳ 明朝" w:hAnsi="Arial" w:cs="Arial"/>
            <w:kern w:val="2"/>
            <w:sz w:val="21"/>
          </w:rPr>
          <w:t>ryo.nakabayashi@riken.jp</w:t>
        </w:r>
      </w:hyperlink>
      <w:r w:rsidRPr="003C73F4">
        <w:rPr>
          <w:rFonts w:ascii="Arial" w:eastAsia="ＭＳ 明朝" w:hAnsi="Arial" w:cs="Arial"/>
          <w:kern w:val="2"/>
          <w:sz w:val="21"/>
        </w:rPr>
        <w:t>)</w:t>
      </w:r>
    </w:p>
    <w:p w:rsidR="003C73F4" w:rsidRDefault="003C73F4" w:rsidP="00935D72">
      <w:pPr>
        <w:widowControl w:val="0"/>
        <w:spacing w:before="60" w:line="360" w:lineRule="auto"/>
        <w:jc w:val="both"/>
        <w:rPr>
          <w:rFonts w:ascii="Arial" w:eastAsia="ＭＳ 明朝" w:hAnsi="Arial" w:cs="Arial"/>
          <w:b/>
          <w:kern w:val="2"/>
          <w:sz w:val="21"/>
        </w:rPr>
      </w:pPr>
    </w:p>
    <w:p w:rsidR="00170F06" w:rsidRDefault="00170F06" w:rsidP="00935D72">
      <w:pPr>
        <w:widowControl w:val="0"/>
        <w:spacing w:before="60" w:line="360" w:lineRule="auto"/>
        <w:jc w:val="both"/>
        <w:rPr>
          <w:rFonts w:ascii="Arial" w:eastAsia="ＭＳ 明朝" w:hAnsi="Arial" w:cs="Arial"/>
          <w:b/>
          <w:kern w:val="2"/>
          <w:sz w:val="21"/>
        </w:rPr>
      </w:pPr>
      <w:r>
        <w:rPr>
          <w:rFonts w:ascii="Arial" w:eastAsia="ＭＳ 明朝" w:hAnsi="Arial" w:cs="Arial"/>
          <w:b/>
          <w:kern w:val="2"/>
          <w:sz w:val="21"/>
        </w:rPr>
        <w:t>Supplementary Methods.</w:t>
      </w:r>
    </w:p>
    <w:p w:rsidR="00756770" w:rsidRDefault="00756770" w:rsidP="00935D72">
      <w:pPr>
        <w:widowControl w:val="0"/>
        <w:spacing w:before="60" w:line="360" w:lineRule="auto"/>
        <w:jc w:val="both"/>
        <w:rPr>
          <w:rFonts w:ascii="Arial" w:eastAsia="ＭＳ 明朝" w:hAnsi="Arial" w:cs="Arial"/>
          <w:b/>
          <w:kern w:val="2"/>
          <w:sz w:val="21"/>
        </w:rPr>
      </w:pPr>
    </w:p>
    <w:p w:rsidR="00935D72" w:rsidRPr="00935D72" w:rsidRDefault="00935D72" w:rsidP="007D580B">
      <w:pPr>
        <w:widowControl w:val="0"/>
        <w:spacing w:before="2" w:line="360" w:lineRule="auto"/>
        <w:jc w:val="both"/>
        <w:rPr>
          <w:rFonts w:ascii="Arial" w:eastAsia="ＭＳ 明朝" w:hAnsi="Arial" w:cs="Arial"/>
          <w:b/>
          <w:kern w:val="2"/>
          <w:sz w:val="21"/>
        </w:rPr>
      </w:pPr>
      <w:r w:rsidRPr="00935D72">
        <w:rPr>
          <w:rFonts w:ascii="Arial" w:eastAsia="ＭＳ 明朝" w:hAnsi="Arial" w:cs="Arial"/>
          <w:b/>
          <w:kern w:val="2"/>
          <w:sz w:val="21"/>
        </w:rPr>
        <w:t>MALDI</w:t>
      </w:r>
      <w:r w:rsidRPr="00935D72">
        <w:rPr>
          <w:rFonts w:ascii="Arial" w:eastAsia="ＭＳ 明朝" w:hAnsi="Arial" w:cs="Arial"/>
          <w:kern w:val="2"/>
          <w:sz w:val="21"/>
        </w:rPr>
        <w:sym w:font="Symbol" w:char="F02D"/>
      </w:r>
      <w:r w:rsidRPr="00935D72">
        <w:rPr>
          <w:rFonts w:ascii="Arial" w:eastAsia="ＭＳ 明朝" w:hAnsi="Arial" w:cs="Arial"/>
          <w:b/>
          <w:kern w:val="2"/>
          <w:sz w:val="21"/>
        </w:rPr>
        <w:t>MS analysis</w:t>
      </w:r>
    </w:p>
    <w:p w:rsidR="0021626E" w:rsidRDefault="00935D72" w:rsidP="0021626E">
      <w:pPr>
        <w:widowControl w:val="0"/>
        <w:spacing w:line="360" w:lineRule="auto"/>
        <w:jc w:val="both"/>
        <w:rPr>
          <w:rFonts w:ascii="Arial" w:hAnsi="Arial" w:cs="Arial"/>
          <w:b/>
          <w:kern w:val="2"/>
          <w:sz w:val="21"/>
        </w:rPr>
      </w:pPr>
      <w:r w:rsidRPr="00935D72">
        <w:rPr>
          <w:rFonts w:ascii="Arial" w:eastAsia="ＭＳ 明朝" w:hAnsi="Arial" w:cs="Arial"/>
          <w:color w:val="000000"/>
          <w:kern w:val="2"/>
          <w:sz w:val="21"/>
        </w:rPr>
        <w:t xml:space="preserve">Solutions of the authentic standard compounds (100 mM, 0.2 μL) </w:t>
      </w:r>
      <w:r w:rsidRPr="00935D72">
        <w:rPr>
          <w:rFonts w:ascii="Arial" w:eastAsia="ＭＳ 明朝" w:hAnsi="Arial" w:cs="Arial"/>
          <w:kern w:val="2"/>
          <w:sz w:val="21"/>
        </w:rPr>
        <w:t xml:space="preserve">were dispensed into 384-well plates and mixed with a 2,5-dihydroxybenzoic acid (DHB) matrix reagent solution [30 mg/mL 50% MeOH including 0.2% trifluoroacetic acid (TFA), 0.2 μL]. The crystals obtained on the plate were analyzed by the FTICR−MS solariX 7.0 T (Bruker Daltonics) operated with the MALDI source. The Na(formate) solution (the mixture of 10% formate and 0.1N NaOH, 1:1) was analyzed for lockmass with the ESI source during the analysis of MALDI−MS or MALDI−IMS. The analytical conditions were as follows: mass range, </w:t>
      </w:r>
      <w:r w:rsidRPr="00935D72">
        <w:rPr>
          <w:rFonts w:ascii="Arial" w:eastAsia="ＭＳ 明朝" w:hAnsi="Arial" w:cs="Arial"/>
          <w:i/>
          <w:kern w:val="2"/>
          <w:sz w:val="21"/>
        </w:rPr>
        <w:t>m/z</w:t>
      </w:r>
      <w:r w:rsidRPr="00935D72">
        <w:rPr>
          <w:rFonts w:ascii="Arial" w:eastAsia="ＭＳ 明朝" w:hAnsi="Arial" w:cs="Arial"/>
          <w:kern w:val="2"/>
          <w:sz w:val="21"/>
        </w:rPr>
        <w:t xml:space="preserve"> 200.64−</w:t>
      </w:r>
      <w:r w:rsidR="0021626E">
        <w:rPr>
          <w:rFonts w:ascii="Arial" w:eastAsia="ＭＳ 明朝" w:hAnsi="Arial" w:cs="Arial"/>
          <w:kern w:val="2"/>
          <w:sz w:val="21"/>
        </w:rPr>
        <w:t>15</w:t>
      </w:r>
      <w:r w:rsidRPr="00935D72">
        <w:rPr>
          <w:rFonts w:ascii="Arial" w:eastAsia="ＭＳ 明朝" w:hAnsi="Arial" w:cs="Arial"/>
          <w:kern w:val="2"/>
          <w:sz w:val="21"/>
        </w:rPr>
        <w:t xml:space="preserve">00.00; average scan, 1; accumulation, 0.650 s; polarity, positive; source quench, on; API high voltage, on; resolving power, 66,000 at 400 </w:t>
      </w:r>
      <w:r w:rsidRPr="00935D72">
        <w:rPr>
          <w:rFonts w:ascii="Arial" w:eastAsia="ＭＳ 明朝" w:hAnsi="Arial" w:cs="Arial"/>
          <w:i/>
          <w:kern w:val="2"/>
          <w:sz w:val="21"/>
        </w:rPr>
        <w:t>m/z</w:t>
      </w:r>
      <w:r w:rsidRPr="00935D72">
        <w:rPr>
          <w:rFonts w:ascii="Arial" w:eastAsia="ＭＳ 明朝" w:hAnsi="Arial" w:cs="Arial"/>
          <w:kern w:val="2"/>
          <w:sz w:val="21"/>
        </w:rPr>
        <w:t xml:space="preserve">; transient length, 0.4893 s; Mode (data storage: save reduced profile spectrum, on; reduced profile spectrum peak list, on; data reduction, 95%; auto calibration: online calibration, on; mode, single; reference mass, </w:t>
      </w:r>
      <w:r w:rsidRPr="00935D72">
        <w:rPr>
          <w:rFonts w:ascii="Arial" w:eastAsia="ＭＳ 明朝" w:hAnsi="Arial" w:cs="Arial"/>
          <w:i/>
          <w:kern w:val="2"/>
          <w:sz w:val="21"/>
        </w:rPr>
        <w:t>m/z</w:t>
      </w:r>
      <w:r w:rsidRPr="00935D72">
        <w:rPr>
          <w:rFonts w:ascii="Arial" w:eastAsia="ＭＳ 明朝" w:hAnsi="Arial" w:cs="Arial"/>
          <w:kern w:val="2"/>
          <w:sz w:val="21"/>
        </w:rPr>
        <w:t xml:space="preserve"> 770.85088); API Source (API source: source, ESI; capillary, 4500 V, end plate offset, −500; source gas tune: nebulizer, 1.0 bar; dry gas, 2.0 l/min; dry temperature, 100 °C); Ion Transfer (source optics: capillary exit, 220 V; detector plate, 200 V; funnel 1, 150 V; skimmer 1, 20 V; funnel RF amplitude, 200 Vpp; octopole: frequency, 2 MHz; RF amplitude, 350 Vpp; quadrupole: Q1 mass, 200 </w:t>
      </w:r>
      <w:r w:rsidRPr="00935D72">
        <w:rPr>
          <w:rFonts w:ascii="Arial" w:eastAsia="ＭＳ 明朝" w:hAnsi="Arial" w:cs="Arial"/>
          <w:i/>
          <w:kern w:val="2"/>
          <w:sz w:val="21"/>
        </w:rPr>
        <w:t>m/z</w:t>
      </w:r>
      <w:r w:rsidRPr="00935D72">
        <w:rPr>
          <w:rFonts w:ascii="Arial" w:eastAsia="ＭＳ 明朝" w:hAnsi="Arial" w:cs="Arial"/>
          <w:kern w:val="2"/>
          <w:sz w:val="21"/>
        </w:rPr>
        <w:t xml:space="preserve">; collision cell: collision voltage, −1.0 V; DC extract bias, 0.9 V; RF frequency, 2 MHz; collision RF amplitude, 1500.0 Vpp; transfer optics: time of flight, 0.750 ms; frequency, 2 MHz; RF amplitude, 350.0 Vpp); Analyzer </w:t>
      </w:r>
      <w:r w:rsidRPr="00935D72">
        <w:rPr>
          <w:rFonts w:ascii="Arial" w:eastAsia="ＭＳ 明朝" w:hAnsi="Arial" w:cs="Arial"/>
          <w:kern w:val="2"/>
          <w:sz w:val="21"/>
        </w:rPr>
        <w:lastRenderedPageBreak/>
        <w:t>(infinity cell: transfer exit lens, −20.0 V; analyzer entrance, −10.0 V; side kick, 5.0 V; side kick offset, 0.0 V; front trap plate, 0.870 V; back trap plate, 0.915 V; sweep excitation power, 12.0%; multiple cell accumulations: ICR cell fills, 1).</w:t>
      </w:r>
      <w:r w:rsidR="0021626E" w:rsidRPr="0021626E">
        <w:rPr>
          <w:rFonts w:ascii="Arial" w:hAnsi="Arial" w:cs="Arial"/>
          <w:b/>
          <w:kern w:val="2"/>
          <w:sz w:val="21"/>
        </w:rPr>
        <w:t xml:space="preserve"> </w:t>
      </w:r>
    </w:p>
    <w:p w:rsidR="0021626E" w:rsidRDefault="0021626E" w:rsidP="0021626E">
      <w:pPr>
        <w:widowControl w:val="0"/>
        <w:spacing w:line="360" w:lineRule="auto"/>
        <w:jc w:val="both"/>
        <w:rPr>
          <w:rFonts w:ascii="Arial" w:hAnsi="Arial" w:cs="Arial"/>
          <w:b/>
          <w:kern w:val="2"/>
          <w:sz w:val="21"/>
        </w:rPr>
      </w:pPr>
    </w:p>
    <w:p w:rsidR="0021626E" w:rsidRPr="0021626E" w:rsidRDefault="0021626E" w:rsidP="0021626E">
      <w:pPr>
        <w:widowControl w:val="0"/>
        <w:spacing w:line="360" w:lineRule="auto"/>
        <w:jc w:val="both"/>
        <w:rPr>
          <w:rFonts w:ascii="Arial" w:eastAsia="ＭＳ 明朝" w:hAnsi="Arial" w:cs="Arial"/>
          <w:b/>
          <w:kern w:val="2"/>
          <w:sz w:val="21"/>
        </w:rPr>
      </w:pPr>
      <w:r w:rsidRPr="0021626E">
        <w:rPr>
          <w:rFonts w:ascii="Arial" w:eastAsia="ＭＳ 明朝" w:hAnsi="Arial" w:cs="Arial"/>
          <w:b/>
          <w:kern w:val="2"/>
          <w:sz w:val="21"/>
        </w:rPr>
        <w:t>LC</w:t>
      </w:r>
      <w:r w:rsidRPr="0021626E">
        <w:rPr>
          <w:rFonts w:ascii="Arial" w:eastAsia="ＭＳ 明朝" w:hAnsi="Arial" w:cs="Arial"/>
          <w:b/>
          <w:kern w:val="2"/>
          <w:sz w:val="21"/>
        </w:rPr>
        <w:sym w:font="Symbol" w:char="F02D"/>
      </w:r>
      <w:r w:rsidRPr="0021626E">
        <w:rPr>
          <w:rFonts w:ascii="Arial" w:eastAsia="ＭＳ 明朝" w:hAnsi="Arial" w:cs="Arial"/>
          <w:b/>
          <w:kern w:val="2"/>
          <w:sz w:val="21"/>
        </w:rPr>
        <w:t>MS/MS analysis</w:t>
      </w:r>
    </w:p>
    <w:p w:rsidR="0021626E" w:rsidRPr="0021626E" w:rsidRDefault="0021626E" w:rsidP="0021626E">
      <w:pPr>
        <w:widowControl w:val="0"/>
        <w:spacing w:line="360" w:lineRule="auto"/>
        <w:jc w:val="both"/>
        <w:rPr>
          <w:rFonts w:ascii="Arial" w:eastAsia="ＭＳ 明朝" w:hAnsi="Arial" w:cs="Arial"/>
          <w:kern w:val="2"/>
          <w:sz w:val="21"/>
        </w:rPr>
      </w:pPr>
      <w:r w:rsidRPr="0021626E">
        <w:rPr>
          <w:rFonts w:ascii="Arial" w:eastAsia="ＭＳ 明朝" w:hAnsi="Arial" w:cs="Arial"/>
          <w:kern w:val="2"/>
          <w:sz w:val="21"/>
        </w:rPr>
        <w:t xml:space="preserve">The asparagus spears were manually separated to three parts, developing tissue, epidermis, and other parts. The parts were immediately lyophilized at −55 °C. Then, the freeze-dried samples were completely powdered. The powdered samples (three mg dried weight) were extracted with 500 µl of 80% MeOH containing 2.5 µM lidocaine per mg dry weight using a mixer mill with zirconia beads for 7 min at 18 Hz and 4 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B0"/>
      </w:r>
      <w:r w:rsidRPr="0021626E">
        <w:rPr>
          <w:rFonts w:ascii="Arial" w:eastAsia="ＭＳ 明朝" w:hAnsi="Arial" w:cs="Arial"/>
          <w:kern w:val="2"/>
          <w:sz w:val="21"/>
        </w:rPr>
        <w:t xml:space="preserve">C (MM300; Retsch). After centrifugation at 16,000 × </w:t>
      </w:r>
      <w:r w:rsidRPr="0021626E">
        <w:rPr>
          <w:rFonts w:ascii="Arial" w:eastAsia="ＭＳ 明朝" w:hAnsi="Arial" w:cs="Arial"/>
          <w:i/>
          <w:kern w:val="2"/>
          <w:sz w:val="21"/>
        </w:rPr>
        <w:t>g</w:t>
      </w:r>
      <w:r w:rsidRPr="0021626E">
        <w:rPr>
          <w:rFonts w:ascii="Arial" w:eastAsia="ＭＳ 明朝" w:hAnsi="Arial" w:cs="Arial"/>
          <w:kern w:val="2"/>
          <w:sz w:val="21"/>
        </w:rPr>
        <w:t xml:space="preserve"> for 10 min, the supernatant was filtered using an HLB µElution plate (Waters). The 100 µL extract was transferred to a glass amber vial with a micro-insert (Agilent Technologies) for LC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2D"/>
      </w:r>
      <w:r w:rsidRPr="0021626E">
        <w:rPr>
          <w:rFonts w:ascii="Arial" w:eastAsia="ＭＳ 明朝" w:hAnsi="Arial" w:cs="Arial"/>
          <w:kern w:val="2"/>
          <w:sz w:val="21"/>
        </w:rPr>
        <w:t>MS/MS analysis. The extracts (1 µl) were analyzed using LC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2D"/>
      </w:r>
      <w:r w:rsidRPr="0021626E">
        <w:rPr>
          <w:rFonts w:ascii="Arial" w:eastAsia="ＭＳ 明朝" w:hAnsi="Arial" w:cs="Arial"/>
          <w:kern w:val="2"/>
          <w:sz w:val="21"/>
        </w:rPr>
        <w:t>QTOF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2D"/>
      </w:r>
      <w:r w:rsidRPr="0021626E">
        <w:rPr>
          <w:rFonts w:ascii="Arial" w:eastAsia="ＭＳ 明朝" w:hAnsi="Arial" w:cs="Arial"/>
          <w:kern w:val="2"/>
          <w:sz w:val="21"/>
        </w:rPr>
        <w:t xml:space="preserve">MS instrument (LC, Waters Acquity UPLC system; MS, Waters Xevo G2 Q-Tof). Analytical conditions were as follows LC: column, Acquity bridged ethyl hybrid (BEH) C18 (1.7 µm, 2.1 mm × 100 mm, Waters); solvent system, solvent A (water including 0.1% formic acid) and solvent B (acetonitrile including 0.1% formic acid); gradient program, 99.5%A/0.5%B at 0 min, 99.5%A/0.5%B at 0.1 min, 20%A/80%B at 10 min, 0.5%A/99.5%B at 10.1 min, 0.5%A/99.5%B at 12.0 min, 99.5%A/0.5%B at 12.1 min and 99.5%A/0.5%B at 15.0 min; flow rate, 0.3 ml/min at 0 min, 0.3 ml/min at 10 min, 0.4 ml/min at 10.1 min, 0.4 ml/min at 14.4 min and 0.3 ml/min at 14.5 min; column temperature, 40 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B0"/>
      </w:r>
      <w:r w:rsidRPr="0021626E">
        <w:rPr>
          <w:rFonts w:ascii="Arial" w:eastAsia="ＭＳ 明朝" w:hAnsi="Arial" w:cs="Arial"/>
          <w:kern w:val="2"/>
          <w:sz w:val="21"/>
        </w:rPr>
        <w:t xml:space="preserve">C; MS detection: polarity, positive; capillary voltage, +3.00 kV (positive); cone voltage, 25.0 V; source temperature, 120 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B0"/>
      </w:r>
      <w:r w:rsidRPr="0021626E">
        <w:rPr>
          <w:rFonts w:ascii="Arial" w:eastAsia="ＭＳ 明朝" w:hAnsi="Arial" w:cs="Arial"/>
          <w:kern w:val="2"/>
          <w:sz w:val="21"/>
        </w:rPr>
        <w:t xml:space="preserve">C; desolvation temperature, 450 </w:t>
      </w:r>
      <w:r w:rsidRPr="0021626E">
        <w:rPr>
          <w:rFonts w:ascii="Arial" w:eastAsia="ＭＳ 明朝" w:hAnsi="Arial" w:cs="Arial"/>
          <w:kern w:val="2"/>
          <w:sz w:val="21"/>
        </w:rPr>
        <w:sym w:font="Symbol" w:char="F0B0"/>
      </w:r>
      <w:r w:rsidRPr="0021626E">
        <w:rPr>
          <w:rFonts w:ascii="Arial" w:eastAsia="ＭＳ 明朝" w:hAnsi="Arial" w:cs="Arial"/>
          <w:kern w:val="2"/>
          <w:sz w:val="21"/>
        </w:rPr>
        <w:t xml:space="preserve">C; cone gas flow, 50 l/h; desolvation gas flow, 800 l/h; collision energy, 6 V; mass range, </w:t>
      </w:r>
      <w:r w:rsidRPr="0021626E">
        <w:rPr>
          <w:rFonts w:ascii="Arial" w:eastAsia="ＭＳ 明朝" w:hAnsi="Arial" w:cs="Arial"/>
          <w:i/>
          <w:kern w:val="2"/>
          <w:sz w:val="21"/>
        </w:rPr>
        <w:t>m/z</w:t>
      </w:r>
      <w:r w:rsidRPr="0021626E">
        <w:rPr>
          <w:rFonts w:ascii="Arial" w:eastAsia="ＭＳ 明朝" w:hAnsi="Arial" w:cs="Arial"/>
          <w:kern w:val="2"/>
          <w:sz w:val="21"/>
        </w:rPr>
        <w:t xml:space="preserve"> 50–1500; scan duration, 0.1 sec; inter-scan delay, 0.014 sec; data acquisition, centroid mode; lockspray, leucine enkephalin; scan duration, 1.0 sec; inter-scan delay, 0.1 sec. MS/MS data was acquired as the following analytical conditions: (1) MS: polarity, positive; mass range, </w:t>
      </w:r>
      <w:r w:rsidRPr="0021626E">
        <w:rPr>
          <w:rFonts w:ascii="Arial" w:eastAsia="ＭＳ 明朝" w:hAnsi="Arial" w:cs="Arial"/>
          <w:i/>
          <w:kern w:val="2"/>
          <w:sz w:val="21"/>
        </w:rPr>
        <w:t>m/z</w:t>
      </w:r>
      <w:r w:rsidRPr="0021626E">
        <w:rPr>
          <w:rFonts w:ascii="Arial" w:eastAsia="ＭＳ 明朝" w:hAnsi="Arial" w:cs="Arial"/>
          <w:kern w:val="2"/>
          <w:sz w:val="21"/>
        </w:rPr>
        <w:t xml:space="preserve"> 50–1500; scan duration, 0.1 sec; inter-scan delay, 0.014 sec; data acquisition, centroid mode and (2) MS/MS: polarity, positive/negative; mass range, </w:t>
      </w:r>
      <w:r w:rsidRPr="0021626E">
        <w:rPr>
          <w:rFonts w:ascii="Arial" w:eastAsia="ＭＳ 明朝" w:hAnsi="Arial" w:cs="Arial"/>
          <w:i/>
          <w:kern w:val="2"/>
          <w:sz w:val="21"/>
        </w:rPr>
        <w:t>m/z</w:t>
      </w:r>
      <w:r w:rsidRPr="0021626E">
        <w:rPr>
          <w:rFonts w:ascii="Arial" w:eastAsia="ＭＳ 明朝" w:hAnsi="Arial" w:cs="Arial"/>
          <w:kern w:val="2"/>
          <w:sz w:val="21"/>
        </w:rPr>
        <w:t xml:space="preserve"> 50–1500; scan duration, 0.02 sec; inter-scan delay, 0.014 sec; data acquisition, centroid mode. In this mode, MS/MS spectra of the top 10 ions (&gt; 1000 counts) in an MS scan were automatically obtained. If the ion intensity was less than 1000, MS/MS data acquisition was not performed and moved to of next top 10 ions. The LC−MS/MS analysis was performed in three biological replicates. </w:t>
      </w:r>
    </w:p>
    <w:p w:rsidR="00935D72" w:rsidRDefault="00935D72" w:rsidP="00935D72">
      <w:pPr>
        <w:widowControl w:val="0"/>
        <w:spacing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21626E" w:rsidRDefault="0021626E" w:rsidP="00935D72">
      <w:pPr>
        <w:widowControl w:val="0"/>
        <w:spacing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21626E" w:rsidRPr="00935D72" w:rsidRDefault="0021626E" w:rsidP="00935D72">
      <w:pPr>
        <w:widowControl w:val="0"/>
        <w:spacing w:line="360" w:lineRule="auto"/>
        <w:jc w:val="both"/>
        <w:rPr>
          <w:rFonts w:ascii="Arial" w:eastAsia="ＭＳ 明朝" w:hAnsi="Arial" w:cs="Arial"/>
          <w:kern w:val="2"/>
          <w:sz w:val="21"/>
        </w:rPr>
      </w:pPr>
    </w:p>
    <w:p w:rsidR="0081106E" w:rsidRPr="00935D72" w:rsidRDefault="0081106E" w:rsidP="00935D72">
      <w:pPr>
        <w:spacing w:line="360" w:lineRule="auto"/>
      </w:pPr>
    </w:p>
    <w:sectPr w:rsidR="0081106E" w:rsidRPr="00935D72" w:rsidSect="00E5243A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3F4" w:rsidRDefault="001023F4" w:rsidP="00170F06">
      <w:r>
        <w:separator/>
      </w:r>
    </w:p>
  </w:endnote>
  <w:endnote w:type="continuationSeparator" w:id="0">
    <w:p w:rsidR="001023F4" w:rsidRDefault="001023F4" w:rsidP="0017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3F4" w:rsidRDefault="001023F4" w:rsidP="00170F06">
      <w:r>
        <w:separator/>
      </w:r>
    </w:p>
  </w:footnote>
  <w:footnote w:type="continuationSeparator" w:id="0">
    <w:p w:rsidR="001023F4" w:rsidRDefault="001023F4" w:rsidP="00170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81"/>
  <w:drawingGridVerticalSpacing w:val="181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72"/>
    <w:rsid w:val="00054DD5"/>
    <w:rsid w:val="001023F4"/>
    <w:rsid w:val="00170F06"/>
    <w:rsid w:val="0021626E"/>
    <w:rsid w:val="00352F37"/>
    <w:rsid w:val="003C73F4"/>
    <w:rsid w:val="00756770"/>
    <w:rsid w:val="007D580B"/>
    <w:rsid w:val="0081106E"/>
    <w:rsid w:val="008A4A83"/>
    <w:rsid w:val="00935D72"/>
    <w:rsid w:val="009E0F55"/>
    <w:rsid w:val="00A5155C"/>
    <w:rsid w:val="00C948C2"/>
    <w:rsid w:val="00D7547E"/>
    <w:rsid w:val="00D7784F"/>
    <w:rsid w:val="00E5243A"/>
    <w:rsid w:val="00E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1C275F-040E-4453-B2B6-1BA151AD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F06"/>
    <w:pPr>
      <w:tabs>
        <w:tab w:val="center" w:pos="4419"/>
        <w:tab w:val="right" w:pos="8838"/>
      </w:tabs>
    </w:pPr>
  </w:style>
  <w:style w:type="character" w:customStyle="1" w:styleId="a4">
    <w:name w:val="ヘッダー (文字)"/>
    <w:basedOn w:val="a0"/>
    <w:link w:val="a3"/>
    <w:uiPriority w:val="99"/>
    <w:rsid w:val="00170F06"/>
  </w:style>
  <w:style w:type="paragraph" w:styleId="a5">
    <w:name w:val="footer"/>
    <w:basedOn w:val="a"/>
    <w:link w:val="a6"/>
    <w:uiPriority w:val="99"/>
    <w:unhideWhenUsed/>
    <w:rsid w:val="00170F06"/>
    <w:pPr>
      <w:tabs>
        <w:tab w:val="center" w:pos="4419"/>
        <w:tab w:val="right" w:pos="8838"/>
      </w:tabs>
    </w:pPr>
  </w:style>
  <w:style w:type="character" w:customStyle="1" w:styleId="a6">
    <w:name w:val="フッター (文字)"/>
    <w:basedOn w:val="a0"/>
    <w:link w:val="a5"/>
    <w:uiPriority w:val="99"/>
    <w:rsid w:val="00170F06"/>
  </w:style>
  <w:style w:type="character" w:styleId="a7">
    <w:name w:val="Hyperlink"/>
    <w:basedOn w:val="a0"/>
    <w:uiPriority w:val="99"/>
    <w:unhideWhenUsed/>
    <w:rsid w:val="003C73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yo.nakabayashi@riken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Nakabayashi</dc:creator>
  <cp:keywords/>
  <dc:description/>
  <cp:lastModifiedBy>Nakabayashi</cp:lastModifiedBy>
  <cp:revision>3</cp:revision>
  <dcterms:created xsi:type="dcterms:W3CDTF">2018-12-05T04:48:00Z</dcterms:created>
  <dcterms:modified xsi:type="dcterms:W3CDTF">2019-02-08T06:24:00Z</dcterms:modified>
</cp:coreProperties>
</file>