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5D7C2" w14:textId="29A6CE8B" w:rsidR="003543D7" w:rsidRPr="003543D7" w:rsidRDefault="003543D7" w:rsidP="003543D7">
      <w:pPr>
        <w:spacing w:after="0" w:line="360" w:lineRule="auto"/>
        <w:jc w:val="center"/>
        <w:rPr>
          <w:rFonts w:ascii="Times New Roman" w:hAnsi="Times New Roman" w:cs="Times New Roman"/>
          <w:b/>
          <w:sz w:val="24"/>
          <w:szCs w:val="24"/>
        </w:rPr>
      </w:pPr>
      <w:r w:rsidRPr="003543D7">
        <w:rPr>
          <w:rFonts w:ascii="Times New Roman" w:hAnsi="Times New Roman" w:cs="Times New Roman"/>
          <w:b/>
          <w:sz w:val="24"/>
          <w:szCs w:val="24"/>
        </w:rPr>
        <w:t xml:space="preserve">Anabolic androgenic steroids exert a selective remodeling of the plasma </w:t>
      </w:r>
      <w:proofErr w:type="spellStart"/>
      <w:r w:rsidRPr="003543D7">
        <w:rPr>
          <w:rFonts w:ascii="Times New Roman" w:hAnsi="Times New Roman" w:cs="Times New Roman"/>
          <w:b/>
          <w:sz w:val="24"/>
          <w:szCs w:val="24"/>
        </w:rPr>
        <w:t>lipidome</w:t>
      </w:r>
      <w:proofErr w:type="spellEnd"/>
      <w:r w:rsidRPr="003543D7">
        <w:rPr>
          <w:rFonts w:ascii="Times New Roman" w:hAnsi="Times New Roman" w:cs="Times New Roman"/>
          <w:b/>
          <w:sz w:val="24"/>
          <w:szCs w:val="24"/>
        </w:rPr>
        <w:t xml:space="preserve"> that mirrors the decrease of the </w:t>
      </w:r>
      <w:r w:rsidRPr="003543D7">
        <w:rPr>
          <w:rFonts w:ascii="Times New Roman" w:hAnsi="Times New Roman" w:cs="Times New Roman"/>
          <w:b/>
          <w:i/>
          <w:sz w:val="24"/>
          <w:szCs w:val="24"/>
        </w:rPr>
        <w:t>de novo</w:t>
      </w:r>
      <w:r w:rsidRPr="003543D7">
        <w:rPr>
          <w:rFonts w:ascii="Times New Roman" w:hAnsi="Times New Roman" w:cs="Times New Roman"/>
          <w:b/>
          <w:sz w:val="24"/>
          <w:szCs w:val="24"/>
        </w:rPr>
        <w:t xml:space="preserve"> lipogenesis in the liver</w:t>
      </w:r>
    </w:p>
    <w:p w14:paraId="7F4E6B28" w14:textId="77777777" w:rsidR="003543D7" w:rsidRPr="003543D7" w:rsidRDefault="003543D7" w:rsidP="003543D7">
      <w:pPr>
        <w:spacing w:after="0" w:line="360" w:lineRule="auto"/>
        <w:jc w:val="center"/>
        <w:rPr>
          <w:rFonts w:ascii="Times New Roman" w:hAnsi="Times New Roman" w:cs="Times New Roman"/>
          <w:b/>
          <w:sz w:val="24"/>
          <w:szCs w:val="24"/>
        </w:rPr>
      </w:pPr>
    </w:p>
    <w:p w14:paraId="271856E5" w14:textId="26D65CAC" w:rsidR="003543D7" w:rsidRPr="003543D7" w:rsidRDefault="003543D7" w:rsidP="003543D7">
      <w:pPr>
        <w:spacing w:after="0" w:line="360" w:lineRule="auto"/>
        <w:jc w:val="center"/>
        <w:rPr>
          <w:rFonts w:ascii="Times New Roman" w:hAnsi="Times New Roman" w:cs="Times New Roman"/>
          <w:b/>
          <w:sz w:val="24"/>
          <w:szCs w:val="24"/>
        </w:rPr>
      </w:pPr>
      <w:r w:rsidRPr="003543D7">
        <w:rPr>
          <w:rFonts w:ascii="Times New Roman" w:hAnsi="Times New Roman" w:cs="Times New Roman"/>
          <w:b/>
          <w:sz w:val="24"/>
          <w:szCs w:val="24"/>
        </w:rPr>
        <w:t xml:space="preserve">Supplementary Material 2: Previous research </w:t>
      </w:r>
      <w:r w:rsidR="006727D7">
        <w:rPr>
          <w:rFonts w:ascii="Times New Roman" w:hAnsi="Times New Roman" w:cs="Times New Roman"/>
          <w:b/>
          <w:sz w:val="24"/>
          <w:szCs w:val="24"/>
        </w:rPr>
        <w:t xml:space="preserve">on anabolic androgenic steroids, </w:t>
      </w:r>
      <w:r w:rsidRPr="003543D7">
        <w:rPr>
          <w:rFonts w:ascii="Times New Roman" w:hAnsi="Times New Roman" w:cs="Times New Roman"/>
          <w:b/>
          <w:sz w:val="24"/>
          <w:szCs w:val="24"/>
        </w:rPr>
        <w:t xml:space="preserve">lipogenesis in the </w:t>
      </w:r>
      <w:proofErr w:type="gramStart"/>
      <w:r w:rsidRPr="003543D7">
        <w:rPr>
          <w:rFonts w:ascii="Times New Roman" w:hAnsi="Times New Roman" w:cs="Times New Roman"/>
          <w:b/>
          <w:sz w:val="24"/>
          <w:szCs w:val="24"/>
        </w:rPr>
        <w:t>liver</w:t>
      </w:r>
      <w:r w:rsidR="006727D7">
        <w:rPr>
          <w:rFonts w:ascii="Times New Roman" w:hAnsi="Times New Roman" w:cs="Times New Roman"/>
          <w:b/>
          <w:sz w:val="24"/>
          <w:szCs w:val="24"/>
        </w:rPr>
        <w:t>,</w:t>
      </w:r>
      <w:proofErr w:type="gramEnd"/>
      <w:r w:rsidR="006727D7">
        <w:rPr>
          <w:rFonts w:ascii="Times New Roman" w:hAnsi="Times New Roman" w:cs="Times New Roman"/>
          <w:b/>
          <w:sz w:val="24"/>
          <w:szCs w:val="24"/>
        </w:rPr>
        <w:t xml:space="preserve"> and the lipid profile in blood plasma</w:t>
      </w:r>
    </w:p>
    <w:p w14:paraId="10431422" w14:textId="77777777" w:rsidR="003543D7" w:rsidRPr="003543D7" w:rsidRDefault="003543D7" w:rsidP="003543D7">
      <w:pPr>
        <w:spacing w:after="0" w:line="360" w:lineRule="auto"/>
        <w:rPr>
          <w:rFonts w:ascii="Times New Roman" w:hAnsi="Times New Roman" w:cs="Times New Roman"/>
          <w:b/>
          <w:sz w:val="24"/>
          <w:szCs w:val="24"/>
          <w:u w:val="single"/>
        </w:rPr>
      </w:pPr>
    </w:p>
    <w:p w14:paraId="78680A21" w14:textId="77777777" w:rsidR="003543D7" w:rsidRPr="003543D7" w:rsidRDefault="003543D7" w:rsidP="003543D7">
      <w:pPr>
        <w:spacing w:after="0" w:line="360" w:lineRule="auto"/>
        <w:rPr>
          <w:rFonts w:ascii="Times New Roman" w:hAnsi="Times New Roman" w:cs="Times New Roman"/>
          <w:sz w:val="24"/>
          <w:szCs w:val="24"/>
        </w:rPr>
      </w:pPr>
      <w:r w:rsidRPr="003543D7">
        <w:rPr>
          <w:rFonts w:ascii="Times New Roman" w:hAnsi="Times New Roman" w:cs="Times New Roman"/>
          <w:b/>
          <w:sz w:val="24"/>
          <w:szCs w:val="24"/>
        </w:rPr>
        <w:t>Authors</w:t>
      </w:r>
    </w:p>
    <w:p w14:paraId="4A599384" w14:textId="77777777" w:rsidR="003543D7" w:rsidRPr="003543D7" w:rsidRDefault="003543D7" w:rsidP="003543D7">
      <w:pPr>
        <w:pStyle w:val="BBAuthorName"/>
        <w:spacing w:line="360" w:lineRule="auto"/>
        <w:rPr>
          <w:rFonts w:ascii="Times New Roman" w:hAnsi="Times New Roman"/>
          <w:szCs w:val="24"/>
          <w:vertAlign w:val="superscript"/>
        </w:rPr>
      </w:pPr>
      <w:r w:rsidRPr="003543D7">
        <w:rPr>
          <w:rFonts w:ascii="Times New Roman" w:hAnsi="Times New Roman"/>
          <w:szCs w:val="24"/>
        </w:rPr>
        <w:t xml:space="preserve">David </w:t>
      </w:r>
      <w:proofErr w:type="spellStart"/>
      <w:r w:rsidRPr="003543D7">
        <w:rPr>
          <w:rFonts w:ascii="Times New Roman" w:hAnsi="Times New Roman"/>
          <w:szCs w:val="24"/>
        </w:rPr>
        <w:t>Balgoma</w:t>
      </w:r>
      <w:r w:rsidRPr="003543D7">
        <w:rPr>
          <w:rFonts w:ascii="Times New Roman" w:hAnsi="Times New Roman"/>
          <w:szCs w:val="24"/>
          <w:vertAlign w:val="superscript"/>
        </w:rPr>
        <w:t>a</w:t>
      </w:r>
      <w:proofErr w:type="spellEnd"/>
      <w:r w:rsidRPr="003543D7">
        <w:rPr>
          <w:rFonts w:ascii="Times New Roman" w:hAnsi="Times New Roman"/>
          <w:szCs w:val="24"/>
          <w:vertAlign w:val="superscript"/>
        </w:rPr>
        <w:t>,*</w:t>
      </w:r>
      <w:r w:rsidRPr="003543D7">
        <w:rPr>
          <w:rFonts w:ascii="Times New Roman" w:hAnsi="Times New Roman"/>
          <w:szCs w:val="24"/>
        </w:rPr>
        <w:t xml:space="preserve">, Sofia </w:t>
      </w:r>
      <w:proofErr w:type="spellStart"/>
      <w:r w:rsidRPr="003543D7">
        <w:rPr>
          <w:rFonts w:ascii="Times New Roman" w:hAnsi="Times New Roman"/>
          <w:szCs w:val="24"/>
        </w:rPr>
        <w:t>Zelleroth</w:t>
      </w:r>
      <w:r w:rsidRPr="003543D7">
        <w:rPr>
          <w:rFonts w:ascii="Times New Roman" w:hAnsi="Times New Roman"/>
          <w:szCs w:val="24"/>
          <w:vertAlign w:val="superscript"/>
        </w:rPr>
        <w:t>b</w:t>
      </w:r>
      <w:proofErr w:type="spellEnd"/>
      <w:r w:rsidRPr="003543D7">
        <w:rPr>
          <w:rFonts w:ascii="Times New Roman" w:hAnsi="Times New Roman"/>
          <w:szCs w:val="24"/>
        </w:rPr>
        <w:t xml:space="preserve">, Alfhild </w:t>
      </w:r>
      <w:proofErr w:type="spellStart"/>
      <w:r w:rsidRPr="003543D7">
        <w:rPr>
          <w:rFonts w:ascii="Times New Roman" w:hAnsi="Times New Roman"/>
          <w:szCs w:val="24"/>
        </w:rPr>
        <w:t>Grönbladh</w:t>
      </w:r>
      <w:r w:rsidRPr="003543D7">
        <w:rPr>
          <w:rFonts w:ascii="Times New Roman" w:hAnsi="Times New Roman"/>
          <w:szCs w:val="24"/>
          <w:vertAlign w:val="superscript"/>
        </w:rPr>
        <w:t>b</w:t>
      </w:r>
      <w:proofErr w:type="spellEnd"/>
      <w:r w:rsidRPr="003543D7">
        <w:rPr>
          <w:rFonts w:ascii="Times New Roman" w:hAnsi="Times New Roman"/>
          <w:szCs w:val="24"/>
        </w:rPr>
        <w:t xml:space="preserve">, Mathias </w:t>
      </w:r>
      <w:proofErr w:type="spellStart"/>
      <w:r w:rsidRPr="003543D7">
        <w:rPr>
          <w:rFonts w:ascii="Times New Roman" w:hAnsi="Times New Roman"/>
          <w:szCs w:val="24"/>
        </w:rPr>
        <w:t>Hallberg</w:t>
      </w:r>
      <w:r w:rsidRPr="003543D7">
        <w:rPr>
          <w:rFonts w:ascii="Times New Roman" w:hAnsi="Times New Roman"/>
          <w:szCs w:val="24"/>
          <w:vertAlign w:val="superscript"/>
        </w:rPr>
        <w:t>b</w:t>
      </w:r>
      <w:proofErr w:type="spellEnd"/>
      <w:r w:rsidRPr="003543D7">
        <w:rPr>
          <w:rFonts w:ascii="Times New Roman" w:hAnsi="Times New Roman"/>
          <w:szCs w:val="24"/>
        </w:rPr>
        <w:t xml:space="preserve">, Curt </w:t>
      </w:r>
      <w:proofErr w:type="spellStart"/>
      <w:r w:rsidRPr="003543D7">
        <w:rPr>
          <w:rFonts w:ascii="Times New Roman" w:hAnsi="Times New Roman"/>
          <w:szCs w:val="24"/>
        </w:rPr>
        <w:t>Pettersson</w:t>
      </w:r>
      <w:r w:rsidRPr="003543D7">
        <w:rPr>
          <w:rFonts w:ascii="Times New Roman" w:hAnsi="Times New Roman"/>
          <w:szCs w:val="24"/>
          <w:vertAlign w:val="superscript"/>
        </w:rPr>
        <w:t>a</w:t>
      </w:r>
      <w:proofErr w:type="spellEnd"/>
      <w:r w:rsidRPr="003543D7">
        <w:rPr>
          <w:rFonts w:ascii="Times New Roman" w:hAnsi="Times New Roman"/>
          <w:szCs w:val="24"/>
        </w:rPr>
        <w:t xml:space="preserve">, Mikael </w:t>
      </w:r>
      <w:proofErr w:type="spellStart"/>
      <w:r w:rsidRPr="003543D7">
        <w:rPr>
          <w:rFonts w:ascii="Times New Roman" w:hAnsi="Times New Roman"/>
          <w:szCs w:val="24"/>
        </w:rPr>
        <w:t>Hedeland</w:t>
      </w:r>
      <w:r w:rsidRPr="003543D7">
        <w:rPr>
          <w:rFonts w:ascii="Times New Roman" w:hAnsi="Times New Roman"/>
          <w:szCs w:val="24"/>
          <w:vertAlign w:val="superscript"/>
        </w:rPr>
        <w:t>a</w:t>
      </w:r>
      <w:proofErr w:type="spellEnd"/>
    </w:p>
    <w:p w14:paraId="697D0EC9" w14:textId="77777777" w:rsidR="003543D7" w:rsidRPr="003543D7" w:rsidRDefault="003543D7" w:rsidP="003543D7">
      <w:pPr>
        <w:rPr>
          <w:rFonts w:ascii="Times New Roman" w:hAnsi="Times New Roman" w:cs="Times New Roman"/>
          <w:b/>
          <w:sz w:val="24"/>
          <w:szCs w:val="24"/>
        </w:rPr>
      </w:pPr>
      <w:r w:rsidRPr="003543D7">
        <w:rPr>
          <w:rFonts w:ascii="Times New Roman" w:hAnsi="Times New Roman" w:cs="Times New Roman"/>
          <w:b/>
          <w:sz w:val="24"/>
          <w:szCs w:val="24"/>
        </w:rPr>
        <w:t>Affiliation</w:t>
      </w:r>
    </w:p>
    <w:p w14:paraId="7DAD1B12" w14:textId="77777777" w:rsidR="003543D7" w:rsidRPr="003543D7" w:rsidRDefault="003543D7" w:rsidP="003543D7">
      <w:pPr>
        <w:pStyle w:val="BCAuthorAddress"/>
        <w:spacing w:after="0" w:line="360" w:lineRule="auto"/>
        <w:rPr>
          <w:rFonts w:ascii="Times New Roman" w:hAnsi="Times New Roman"/>
          <w:sz w:val="24"/>
          <w:szCs w:val="24"/>
        </w:rPr>
      </w:pPr>
      <w:proofErr w:type="spellStart"/>
      <w:proofErr w:type="gramStart"/>
      <w:r w:rsidRPr="003543D7">
        <w:rPr>
          <w:rFonts w:ascii="Times New Roman" w:hAnsi="Times New Roman"/>
          <w:sz w:val="24"/>
          <w:szCs w:val="24"/>
          <w:vertAlign w:val="superscript"/>
        </w:rPr>
        <w:t>a</w:t>
      </w:r>
      <w:proofErr w:type="spellEnd"/>
      <w:proofErr w:type="gramEnd"/>
      <w:r w:rsidRPr="003543D7">
        <w:rPr>
          <w:rFonts w:ascii="Times New Roman" w:hAnsi="Times New Roman"/>
          <w:sz w:val="24"/>
          <w:szCs w:val="24"/>
          <w:vertAlign w:val="superscript"/>
        </w:rPr>
        <w:t xml:space="preserve"> </w:t>
      </w:r>
      <w:r w:rsidRPr="003543D7">
        <w:rPr>
          <w:rFonts w:ascii="Times New Roman" w:hAnsi="Times New Roman"/>
          <w:sz w:val="24"/>
          <w:szCs w:val="24"/>
        </w:rPr>
        <w:t>Analytical Pharmaceutical Chemistry, Department of Medicinal Chemistry, Uppsala University, Sweden.</w:t>
      </w:r>
    </w:p>
    <w:p w14:paraId="74F46A83" w14:textId="77777777" w:rsidR="003543D7" w:rsidRPr="003543D7" w:rsidRDefault="003543D7" w:rsidP="003543D7">
      <w:pPr>
        <w:pStyle w:val="BCAuthorAddress"/>
        <w:spacing w:line="360" w:lineRule="auto"/>
        <w:rPr>
          <w:rFonts w:ascii="Times New Roman" w:hAnsi="Times New Roman"/>
          <w:sz w:val="24"/>
          <w:szCs w:val="24"/>
        </w:rPr>
      </w:pPr>
      <w:proofErr w:type="gramStart"/>
      <w:r w:rsidRPr="003543D7">
        <w:rPr>
          <w:rFonts w:ascii="Times New Roman" w:hAnsi="Times New Roman"/>
          <w:color w:val="000000"/>
          <w:sz w:val="24"/>
          <w:szCs w:val="24"/>
          <w:vertAlign w:val="superscript"/>
          <w:lang w:eastAsia="en-GB"/>
        </w:rPr>
        <w:t>b</w:t>
      </w:r>
      <w:proofErr w:type="gramEnd"/>
      <w:r w:rsidRPr="003543D7">
        <w:rPr>
          <w:rFonts w:ascii="Times New Roman" w:hAnsi="Times New Roman"/>
          <w:color w:val="000000"/>
          <w:sz w:val="24"/>
          <w:szCs w:val="24"/>
          <w:vertAlign w:val="superscript"/>
          <w:lang w:eastAsia="en-GB"/>
        </w:rPr>
        <w:t xml:space="preserve"> </w:t>
      </w:r>
      <w:r w:rsidRPr="003543D7">
        <w:rPr>
          <w:rFonts w:ascii="Times New Roman" w:hAnsi="Times New Roman"/>
          <w:color w:val="000000"/>
          <w:sz w:val="24"/>
          <w:szCs w:val="24"/>
          <w:lang w:eastAsia="en-GB"/>
        </w:rPr>
        <w:t xml:space="preserve">The </w:t>
      </w:r>
      <w:proofErr w:type="spellStart"/>
      <w:r w:rsidRPr="003543D7">
        <w:rPr>
          <w:rFonts w:ascii="Times New Roman" w:hAnsi="Times New Roman"/>
          <w:color w:val="000000"/>
          <w:sz w:val="24"/>
          <w:szCs w:val="24"/>
          <w:lang w:eastAsia="en-GB"/>
        </w:rPr>
        <w:t>Beijer</w:t>
      </w:r>
      <w:proofErr w:type="spellEnd"/>
      <w:r w:rsidRPr="003543D7">
        <w:rPr>
          <w:rFonts w:ascii="Times New Roman" w:hAnsi="Times New Roman"/>
          <w:color w:val="000000"/>
          <w:sz w:val="24"/>
          <w:szCs w:val="24"/>
          <w:lang w:eastAsia="en-GB"/>
        </w:rPr>
        <w:t xml:space="preserve"> Laboratory, </w:t>
      </w:r>
      <w:r w:rsidRPr="003543D7">
        <w:rPr>
          <w:rFonts w:ascii="Times New Roman" w:hAnsi="Times New Roman"/>
          <w:color w:val="000000"/>
          <w:sz w:val="24"/>
          <w:szCs w:val="24"/>
          <w:lang w:val="en-GB" w:eastAsia="en-GB"/>
        </w:rPr>
        <w:t>Biological Research on Drug Dependence, Department of Pharmaceutical Biosciences, Uppsala University</w:t>
      </w:r>
      <w:r w:rsidRPr="003543D7">
        <w:rPr>
          <w:rFonts w:ascii="Times New Roman" w:hAnsi="Times New Roman"/>
          <w:sz w:val="24"/>
          <w:szCs w:val="24"/>
        </w:rPr>
        <w:t>, Sweden</w:t>
      </w:r>
    </w:p>
    <w:p w14:paraId="6A242D4A" w14:textId="77777777" w:rsidR="003543D7" w:rsidRPr="003543D7" w:rsidRDefault="003543D7" w:rsidP="003543D7">
      <w:pPr>
        <w:pStyle w:val="ListParagraph"/>
        <w:spacing w:line="360" w:lineRule="auto"/>
        <w:ind w:left="426" w:firstLine="283"/>
        <w:rPr>
          <w:rFonts w:ascii="Times New Roman" w:hAnsi="Times New Roman" w:cs="Times New Roman"/>
          <w:sz w:val="24"/>
          <w:szCs w:val="24"/>
        </w:rPr>
      </w:pPr>
    </w:p>
    <w:p w14:paraId="2287C870" w14:textId="77777777" w:rsidR="003543D7" w:rsidRPr="003543D7" w:rsidRDefault="003543D7" w:rsidP="003543D7">
      <w:pPr>
        <w:pStyle w:val="ListParagraph"/>
        <w:spacing w:line="360" w:lineRule="auto"/>
        <w:ind w:left="426" w:firstLine="283"/>
        <w:rPr>
          <w:rFonts w:ascii="Times New Roman" w:hAnsi="Times New Roman" w:cs="Times New Roman"/>
          <w:sz w:val="24"/>
          <w:szCs w:val="24"/>
        </w:rPr>
      </w:pPr>
    </w:p>
    <w:p w14:paraId="5046D9E9" w14:textId="67E1F11D" w:rsidR="003543D7" w:rsidRPr="003543D7" w:rsidRDefault="003543D7" w:rsidP="003543D7">
      <w:pPr>
        <w:pStyle w:val="ListParagraph"/>
        <w:spacing w:line="360" w:lineRule="auto"/>
        <w:ind w:left="0" w:firstLine="283"/>
        <w:rPr>
          <w:rFonts w:ascii="Times New Roman" w:hAnsi="Times New Roman" w:cs="Times New Roman"/>
          <w:sz w:val="24"/>
          <w:szCs w:val="24"/>
        </w:rPr>
      </w:pPr>
      <w:r w:rsidRPr="003543D7">
        <w:rPr>
          <w:rFonts w:ascii="Times New Roman" w:hAnsi="Times New Roman" w:cs="Times New Roman"/>
          <w:sz w:val="24"/>
          <w:szCs w:val="24"/>
        </w:rPr>
        <w:t xml:space="preserve">As described in the introduction, the liver expresses the androgen receptor and LXRs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{"citationID":"MxWD3TLn","properties":{"formattedCitation":"(Mauvais-Jarvis 2011; Wang and Tontonoz 2018)","plainCitation":"(Mauvais-Jarvis 2011; Wang and Tontonoz 2018)","noteIndex":0},"citationItems":[{"id":581,"uris":["http://zotero.org/users/local/npRNcwAd/items/FY6BZWXP"],"uri":["http://zotero.org/users/local/npRNcwAd/items/FY6BZWXP"],"itemData":{"id":581,"type":"article-journal","title":"Estrogen and androgen receptors: regulators of fuel homeostasis and emerging targets for diabetes and obesity","container-title":"Trends in endocrinology and metabolism","page":"24-33","volume":"22","issue":"1","source":"PubMed","abstract":"Because of increasing life expectancy, the contribution of age-related estrogen or androgen deficiency to obesity and type 2 diabetes will become a new therapeutic challenge. This review integrates current concepts on the mechanisms through which estrogen receptors (ERs) and androgen receptor (AR) regulate energy homeostasis in rodents and humans. In females, estrogen maintains energy homeostasis via ERα and ERβ, by suppressing energy intake and lipogenesis, enhancing energy expenditure, and ameliorating insulin secretion and sensitivity. In males, testosterone is converted to estrogen and maintains fuel homeostasis via ERs and AR, which share related functions to suppress adipose tissue accumulation and improve insulin sensitivity. We suggest that ERs and AR could be potential targets in the prevention of age-related metabolic disorders.","DOI":"10.1016/j.tem.2010.10.002","ISSN":"1879-3061","note":"PMID: 21109497\nPMCID: PMC3011051","title-short":"Estrogen and androgen receptors","journalAbbreviation":"Trends Endocrinol. Metab.","language":"eng","author":[{"family":"Mauvais-Jarvis","given":"Franck"}],"issued":{"date-parts":[["2011",1]]}}},{"id":332,"uris":["http://zotero.org/users/local/npRNcwAd/items/ZKUTT62X"],"uri":["http://zotero.org/users/local/npRNcwAd/items/ZKUTT62X"],"itemData":{"id":332,"type":"article-journal","title":"Liver X receptors in lipid signalling and membrane homeostasis","container-title":"Nature Reviews. Endocrinology","page":"452-463","volume":"14","issue":"8","source":"PubMed","abstract":"Liver X receptors α and β (LXRα and LXRβ) are nuclear receptors with pivotal roles in the transcriptional control of lipid metabolism. Transcriptional activity of LXRs is induced in response to elevated cellular levels of cholesterol. LXRs bind to and regulate the expression of genes that encode proteins involved in cholesterol absorption, transport, efflux, excretion and conversion to bile acids. The coordinated, tissue-specific actions of the LXR pathway maintain systemic cholesterol homeostasis and regulate immune and inflammatory responses. LXRs also regulate fatty acid metabolism by controlling the lipogenic transcription factor sterol regulatory element-binding protein 1c and regulate genes that encode proteins involved in fatty acid elongation and desaturation. LXRs exert important effects on the metabolism of phospholipids, which, along with cholesterol, are major constituents of cellular membranes. LXR activation preferentially drives the incorporation of polyunsaturated fatty acids into phospholipids by inducing transcription of the remodelling enzyme lysophosphatidylcholine acyltransferase 3. The ability of the LXR pathway to couple cellular sterol levels with the saturation of fatty acids in membrane phospholipids has implications for several physiological processes, including lipoprotein production, dietary lipid absorption and intestinal stem cell proliferation. Understanding how LXRs regulate membrane composition and function might provide new therapeutic insight into diseases associated with dysregulated lipid metabolism, including atherosclerosis, diabetes mellitus and cancer.","DOI":"10.1038/s41574-018-0037-x","ISSN":"1759-5037","note":"PMID: 29904174","journalAbbreviation":"Nat Rev Endocrinol","language":"eng","author":[{"family":"Wang","given":"Bo"},{"family":"Tontonoz","given":"Peter"}],"issued":{"date-parts":[["2018",6,14]]}}}],"schema":"https://github.com/citation-style-language/schema/raw/master/csl-citation.json"}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(Mauvais-Jarvis 2011; Wang and Tontonoz 2018)</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It has also been reported that the androgen receptor inhibits the activity of LXRs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{"citationID":"6jMDbK82","properties":{"formattedCitation":"(Krycer and Brown 2011)","plainCitation":"(Krycer and Brown 2011)","noteIndex":0},"citationItems":[{"id":300,"uris":["http://zotero.org/users/local/npRNcwAd/items/YYLTJR2C"],"uri":["http://zotero.org/users/local/npRNcwAd/items/YYLTJR2C"],"itemData":{"id":300,"type":"article-journal","title":"Cross-talk between the androgen receptor and the liver X receptor: implications for cholesterol homeostasis","container-title":"The Journal of Biological Chemistry","page":"20637-20647","volume":"286","issue":"23","source":"PubMed","abstract":"High cholesterol levels are associated with prostate cancer development. Androgens promote cholesterol accumulation by activating the sterol-regulatory element-binding protein isoform 2 (SREBP-2) transcription factor. However, SREBP-2 is in balance with the liver X receptor (LXR; NR1H2/NR1H3), a transcription factor that prevents cholesterol accumulation. Here, we show that LXR activity is down-regulated by the androgen receptor (AR; NR3C4). In turn, this reduces LXR target gene expression. This antagonism on LXR is also exerted by other steroid hormone receptors, including the estrogen, glucocorticoid, and progesterone receptors. This suggests a generalizable mechanism, but the AR does not affect LXR mRNA levels, protein degradation, or DNA binding. We also found that the AR does not require protein synthesis to influence LXR, suggesting a direct antagonism. However, the AR does not directly bind LXR. The AR N-terminal domain (involved in transactivation), but not its DNA-binding domain, is required to suppress LXR activity, suggesting coactivator competition. Overall, this androgen-mediated antagonism of LXR complements SREBP-2 activation, providing a more complete picture as to how androgens increase cellular cholesterol levels in a prostate cancer setting. Given the cross-talk between other steroid hormone receptors and LXR, hormonal regulation of cholesterol via LXR may occur in a variety of cellular contexts.","DOI":"10.1074/jbc.M111.227082","ISSN":"1083-351X","note":"PMID: 21489984\nPMCID: PMC3121513","title-short":"Cross-talk between the androgen receptor and the liver X receptor","journalAbbreviation":"J. Biol. Chem.","language":"eng","author":[{"family":"Krycer","given":"James Robert"},{"family":"Brown","given":"Andrew John"}],"issued":{"date-parts":[["2011",6,10]]}}}],"schema":"https://github.com/citation-style-language/schema/raw/master/csl-citation.json"}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(Krycer and Brown 2011)</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Consequently, we hypothesized that the AAS-induced downregulation of </w:t>
      </w:r>
      <w:proofErr w:type="spellStart"/>
      <w:r w:rsidRPr="003543D7">
        <w:rPr>
          <w:rFonts w:ascii="Times New Roman" w:hAnsi="Times New Roman" w:cs="Times New Roman"/>
          <w:sz w:val="24"/>
          <w:szCs w:val="24"/>
        </w:rPr>
        <w:t>lipogenic</w:t>
      </w:r>
      <w:proofErr w:type="spellEnd"/>
      <w:r w:rsidRPr="003543D7">
        <w:rPr>
          <w:rFonts w:ascii="Times New Roman" w:hAnsi="Times New Roman" w:cs="Times New Roman"/>
          <w:sz w:val="24"/>
          <w:szCs w:val="24"/>
        </w:rPr>
        <w:t xml:space="preserve"> enzymes in the liver would be reflected in plasma </w:t>
      </w:r>
      <w:proofErr w:type="spellStart"/>
      <w:r w:rsidRPr="003543D7">
        <w:rPr>
          <w:rFonts w:ascii="Times New Roman" w:hAnsi="Times New Roman" w:cs="Times New Roman"/>
          <w:sz w:val="24"/>
          <w:szCs w:val="24"/>
        </w:rPr>
        <w:t>lipidome</w:t>
      </w:r>
      <w:proofErr w:type="spellEnd"/>
      <w:r w:rsidRPr="003543D7">
        <w:rPr>
          <w:rFonts w:ascii="Times New Roman" w:hAnsi="Times New Roman" w:cs="Times New Roman"/>
          <w:sz w:val="24"/>
          <w:szCs w:val="24"/>
        </w:rPr>
        <w:t xml:space="preserve"> by the contribution to plasma lipoproteins of VLDL </w:t>
      </w:r>
      <w:r w:rsidRPr="003543D7">
        <w:rPr>
          <w:rFonts w:ascii="Times New Roman" w:hAnsi="Times New Roman" w:cs="Times New Roman"/>
          <w:strike/>
          <w:sz w:val="24"/>
          <w:szCs w:val="24"/>
        </w:rPr>
        <w:fldChar w:fldCharType="begin"/>
      </w:r>
      <w:r w:rsidRPr="003543D7">
        <w:rPr>
          <w:rFonts w:ascii="Times New Roman" w:hAnsi="Times New Roman" w:cs="Times New Roman"/>
          <w:strike/>
          <w:sz w:val="24"/>
          <w:szCs w:val="24"/>
        </w:rPr>
        <w:instrText xml:space="preserve"> ADDIN ZOTERO_ITEM CSL_CITATION {"citationID":"JDUDIq1G","properties":{"formattedCitation":"(Choi and Ginsberg 2011)","plainCitation":"(Choi and Ginsberg 2011)","noteIndex":0},"citationItems":[{"id":409,"uris":["http://zotero.org/users/local/npRNcwAd/items/AUIEVR4K"],"uri":["http://zotero.org/users/local/npRNcwAd/items/AUIEVR4K"],"itemData":{"id":409,"type":"article-journal","title":"Increased very low density lipoprotein (VLDL) secretion, hepatic steatosis, and insulin resistance","container-title":"Trends in endocrinology and metabolism","page":"353-363","volume":"22","issue":"9","source":"PubMed","abstract":"Insulin resistance (IR) affects not only the regulation of carbohydrate metabolism but all aspects of lipid and lipoprotein metabolism. IR is associated with increased secretion of VLDL and increased plasma triglycerides, as well as with hepatic steatosis, despite the increased VLDL secretion. Here we link IR with increased VLDL secretion and hepatic steatosis at both the physiologic and molecular levels. Increased VLDL secretion, together with the downstream effects on high density lipoprotein (HDL) cholesterol and low density lipoprotein (LDL) size, is proatherogenic. Hepatic steatosis is a risk factor for steatohepatitis and cirrhosis. Understanding the complex inter-relationships between IR and these abnormalities of liver lipid homeostasis will provide insights relevant to new therapies for these increasing clinical problems.","DOI":"10.1016/j.tem.2011.04.007","ISSN":"1879-3061","note":"PMID: 21616678\nPMCID: PMC3163828","journalAbbreviation":"Trends Endocrinol. Metab.","language":"eng","author":[{"family":"Choi","given":"Sung Hee"},{"family":"Ginsberg","given":"Henry N."}],"issued":{"date-parts":[["2011",9]]}}}],"schema":"https://github.com/citation-style-language/schema/raw/master/csl-citation.json"} </w:instrText>
      </w:r>
      <w:r w:rsidRPr="003543D7">
        <w:rPr>
          <w:rFonts w:ascii="Times New Roman" w:hAnsi="Times New Roman" w:cs="Times New Roman"/>
          <w:strike/>
          <w:sz w:val="24"/>
          <w:szCs w:val="24"/>
        </w:rPr>
        <w:fldChar w:fldCharType="separate"/>
      </w:r>
      <w:r w:rsidRPr="003543D7">
        <w:rPr>
          <w:rFonts w:ascii="Times New Roman" w:hAnsi="Times New Roman" w:cs="Times New Roman"/>
          <w:sz w:val="24"/>
        </w:rPr>
        <w:t>(Choi and Ginsberg 2011)</w:t>
      </w:r>
      <w:r w:rsidRPr="003543D7">
        <w:rPr>
          <w:rFonts w:ascii="Times New Roman" w:hAnsi="Times New Roman" w:cs="Times New Roman"/>
          <w:strike/>
          <w:sz w:val="24"/>
          <w:szCs w:val="24"/>
        </w:rPr>
        <w:fldChar w:fldCharType="end"/>
      </w:r>
      <w:r w:rsidRPr="003543D7">
        <w:rPr>
          <w:rFonts w:ascii="Times New Roman" w:hAnsi="Times New Roman" w:cs="Times New Roman"/>
          <w:sz w:val="24"/>
          <w:szCs w:val="24"/>
        </w:rPr>
        <w:t xml:space="preserve">. This profile </w:t>
      </w:r>
      <w:proofErr w:type="gramStart"/>
      <w:r w:rsidRPr="003543D7">
        <w:rPr>
          <w:rFonts w:ascii="Times New Roman" w:hAnsi="Times New Roman" w:cs="Times New Roman"/>
          <w:sz w:val="24"/>
          <w:szCs w:val="24"/>
        </w:rPr>
        <w:t>has not been described</w:t>
      </w:r>
      <w:proofErr w:type="gramEnd"/>
      <w:r w:rsidRPr="003543D7">
        <w:rPr>
          <w:rFonts w:ascii="Times New Roman" w:hAnsi="Times New Roman" w:cs="Times New Roman"/>
          <w:sz w:val="24"/>
          <w:szCs w:val="24"/>
        </w:rPr>
        <w:t xml:space="preserve"> before. Three synthetic pathways are involved in LXR-mediated lipogenesis: 1)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fatty acids, 2)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w:t>
      </w:r>
      <w:proofErr w:type="spellStart"/>
      <w:r w:rsidRPr="003543D7">
        <w:rPr>
          <w:rFonts w:ascii="Times New Roman" w:hAnsi="Times New Roman" w:cs="Times New Roman"/>
          <w:sz w:val="24"/>
          <w:szCs w:val="24"/>
        </w:rPr>
        <w:t>glycerolipids</w:t>
      </w:r>
      <w:proofErr w:type="spellEnd"/>
      <w:r w:rsidRPr="003543D7">
        <w:rPr>
          <w:rFonts w:ascii="Times New Roman" w:hAnsi="Times New Roman" w:cs="Times New Roman"/>
          <w:sz w:val="24"/>
          <w:szCs w:val="24"/>
        </w:rPr>
        <w:t xml:space="preserve">, and 3)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sphingolipids. Due to the enzyme selectivity in these pathways (Table </w:t>
      </w:r>
      <w:r w:rsidR="00C70F0B">
        <w:rPr>
          <w:rFonts w:ascii="Times New Roman" w:hAnsi="Times New Roman" w:cs="Times New Roman"/>
          <w:sz w:val="24"/>
          <w:szCs w:val="24"/>
        </w:rPr>
        <w:t>S.</w:t>
      </w:r>
      <w:r w:rsidRPr="003543D7">
        <w:rPr>
          <w:rFonts w:ascii="Times New Roman" w:hAnsi="Times New Roman" w:cs="Times New Roman"/>
          <w:sz w:val="24"/>
          <w:szCs w:val="24"/>
        </w:rPr>
        <w:t xml:space="preserve">1), a specific profile of changes </w:t>
      </w:r>
      <w:proofErr w:type="gramStart"/>
      <w:r w:rsidRPr="003543D7">
        <w:rPr>
          <w:rFonts w:ascii="Times New Roman" w:hAnsi="Times New Roman" w:cs="Times New Roman"/>
          <w:sz w:val="24"/>
          <w:szCs w:val="24"/>
        </w:rPr>
        <w:t>was expected</w:t>
      </w:r>
      <w:proofErr w:type="gramEnd"/>
      <w:r w:rsidRPr="003543D7">
        <w:rPr>
          <w:rFonts w:ascii="Times New Roman" w:hAnsi="Times New Roman" w:cs="Times New Roman"/>
          <w:sz w:val="24"/>
          <w:szCs w:val="24"/>
        </w:rPr>
        <w:t xml:space="preserve">, which is described in the following paragraphs and in Figure </w:t>
      </w:r>
      <w:r w:rsidR="00964ADC">
        <w:rPr>
          <w:rFonts w:ascii="Times New Roman" w:hAnsi="Times New Roman" w:cs="Times New Roman"/>
          <w:sz w:val="24"/>
          <w:szCs w:val="24"/>
        </w:rPr>
        <w:t>S</w:t>
      </w:r>
      <w:r w:rsidRPr="003543D7">
        <w:rPr>
          <w:rFonts w:ascii="Times New Roman" w:hAnsi="Times New Roman" w:cs="Times New Roman"/>
          <w:sz w:val="24"/>
          <w:szCs w:val="24"/>
        </w:rPr>
        <w:t>.1.</w:t>
      </w:r>
    </w:p>
    <w:p w14:paraId="4922918A" w14:textId="3F5454F0" w:rsidR="003543D7" w:rsidRPr="003543D7" w:rsidRDefault="003543D7" w:rsidP="003543D7">
      <w:pPr>
        <w:pStyle w:val="ListParagraph"/>
        <w:spacing w:line="360" w:lineRule="auto"/>
        <w:ind w:left="0" w:firstLine="207"/>
        <w:rPr>
          <w:rFonts w:ascii="Times New Roman" w:hAnsi="Times New Roman" w:cs="Times New Roman"/>
          <w:sz w:val="24"/>
          <w:szCs w:val="24"/>
        </w:rPr>
      </w:pPr>
      <w:r w:rsidRPr="003543D7">
        <w:rPr>
          <w:rFonts w:ascii="Times New Roman" w:hAnsi="Times New Roman" w:cs="Times New Roman"/>
          <w:sz w:val="24"/>
          <w:szCs w:val="24"/>
        </w:rPr>
        <w:t xml:space="preserve">Regarding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fatty acids (Figure </w:t>
      </w:r>
      <w:r w:rsidR="00103B7D">
        <w:rPr>
          <w:rFonts w:ascii="Times New Roman" w:hAnsi="Times New Roman" w:cs="Times New Roman"/>
          <w:sz w:val="24"/>
          <w:szCs w:val="24"/>
        </w:rPr>
        <w:t>S</w:t>
      </w:r>
      <w:r w:rsidRPr="003543D7">
        <w:rPr>
          <w:rFonts w:ascii="Times New Roman" w:hAnsi="Times New Roman" w:cs="Times New Roman"/>
          <w:sz w:val="24"/>
          <w:szCs w:val="24"/>
        </w:rPr>
        <w:t xml:space="preserve">.1), the downregulation of ACL and ACS decreases the availability of acetyl-CoA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{"citationID":"Af3Aici3","properties":{"formattedCitation":"(Mathews and Mathews-Van Holde-Appling-Anthony-Cahill 2013)","plainCitation":"(Mathews and Mathews-Van Holde-Appling-Anthony-Cahill 2013)","noteIndex":0},"citationItems":[{"id":534,"uris":["http://zotero.org/users/local/npRNcwAd/items/D8K2GGYS"],"uri":["http://zotero.org/users/local/npRNcwAd/items/D8K2GGYS"],"itemData":{"id":534,"type":"book","title":"Biochemistry","publisher":"Pearson","publisher-place":"Toronto","number-of-pages":"1342","edition":"4. ed","source":"Gemeinsamer Bibliotheksverbund ISBN","event-place":"Toronto","ISBN":"978-0-13-800464-4","note":"OCLC: 786000504","language":"eng","editor":[{"family":"Mathews","given":"Christopher K."},{"family":"Mathews-Van Holde-Appling-Anthony-Cahill","given":""}],"issued":{"date-parts":[["2013"]]}}}],"schema":"https://github.com/citation-style-language/schema/raw/master/csl-citation.json"}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(Mathews and Mathews-Van Holde-Appling-Anthony-Cahill 2013)</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Furthermore, acetyl-CoA is the substrate of ACC, which yields </w:t>
      </w:r>
      <w:proofErr w:type="spellStart"/>
      <w:r w:rsidRPr="003543D7">
        <w:rPr>
          <w:rFonts w:ascii="Times New Roman" w:hAnsi="Times New Roman" w:cs="Times New Roman"/>
          <w:sz w:val="24"/>
          <w:szCs w:val="24"/>
        </w:rPr>
        <w:t>malonyl</w:t>
      </w:r>
      <w:proofErr w:type="spellEnd"/>
      <w:r w:rsidRPr="003543D7">
        <w:rPr>
          <w:rFonts w:ascii="Times New Roman" w:hAnsi="Times New Roman" w:cs="Times New Roman"/>
          <w:sz w:val="24"/>
          <w:szCs w:val="24"/>
        </w:rPr>
        <w:t xml:space="preserve">-CoA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{"citationID":"izA5MZRJ","properties":{"formattedCitation":"(Mathews and Mathews-Van Holde-Appling-Anthony-Cahill 2013)","plainCitation":"(Mathews and Mathews-Van Holde-Appling-Anthony-Cahill 2013)","noteIndex":0},"citationItems":[{"id":534,"uris":["http://zotero.org/users/local/npRNcwAd/items/D8K2GGYS"],"uri":["http://zotero.org/users/local/npRNcwAd/items/D8K2GGYS"],"itemData":{"id":534,"type":"book","title":"Biochemistry","publisher":"Pearson","publisher-place":"Toronto","number-of-pages":"1342","edition":"4. ed","source":"Gemeinsamer Bibliotheksverbund ISBN","event-place":"Toronto","ISBN":"978-0-13-800464-4","note":"OCLC: 786000504","language":"eng","editor":[{"family":"Mathews","given":"Christopher K."},{"family":"Mathews-Van Holde-Appling-Anthony-Cahill","given":""}],"issued":{"date-parts":[["2013"]]}}}],"schema":"https://github.com/citation-style-language/schema/raw/master/csl-citation.json"}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(Mathews and Mathews-Van Holde-Appling-Anthony-Cahill 2013)</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Both acetyl-CoA and </w:t>
      </w:r>
      <w:proofErr w:type="spellStart"/>
      <w:r w:rsidRPr="003543D7">
        <w:rPr>
          <w:rFonts w:ascii="Times New Roman" w:hAnsi="Times New Roman" w:cs="Times New Roman"/>
          <w:sz w:val="24"/>
          <w:szCs w:val="24"/>
        </w:rPr>
        <w:lastRenderedPageBreak/>
        <w:t>malonyl</w:t>
      </w:r>
      <w:proofErr w:type="spellEnd"/>
      <w:r w:rsidRPr="003543D7">
        <w:rPr>
          <w:rFonts w:ascii="Times New Roman" w:hAnsi="Times New Roman" w:cs="Times New Roman"/>
          <w:sz w:val="24"/>
          <w:szCs w:val="24"/>
        </w:rPr>
        <w:t xml:space="preserve">-CoA are the substrates of FAS. FAS yields palmitic acid as main product, but it also yields stearic acid as minor product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{"citationID":"YTZvIhen","properties":{"formattedCitation":"(Smith et al. 2003)","plainCitation":"(Smith et al. 2003)","noteIndex":0},"citationItems":[{"id":532,"uris":["http://zotero.org/users/local/npRNcwAd/items/2R45Q8G7"],"uri":["http://zotero.org/users/local/npRNcwAd/items/2R45Q8G7"],"itemData":{"id":532,"type":"article-journal","title":"Structural and functional organization of the animal fatty acid synthase","container-title":"Progress in Lipid Research","page":"289-317","volume":"42","issue":"4","source":"PubMed","abstract":"The entire pathway of palmitate synthesis from malonyl-CoA in mammals is catalyzed by a single, homodimeric, multifunctional protein, the fatty acid synthase. Each subunit contains three N-terminal domains, the beta-ketoacyl synthase, malonyl/acetyl transferase and dehydrase separated by a structural core from four C-terminal domains, the enoyl reductase, beta-ketoacyl reductase, acyl carrier protein and thiosterase. The kinetics and specificities of the substrate loading reaction catalyzed by the malonyl/acetyl transferase, the condensation reaction catalyzed by beta-ketoacyl synthase and chain-terminating reaction catalyzed by the thioesterase ensure that intermediates do not leak off the enzyme, saturated chains exclusively are elongated and palmitate is released as the major product. Only in the fatty acid synthase dimer do the subunits adopt conformations that facilitate productive coupling of the individual reactions for fatty acid synthesis at the two acyl carrier protein centers. Introduction of a double tagging and dual affinity chromatographic procedure has permitted the engineering and isolation of heterodimeric fatty acid synthases carrying different mutations on each subunit. Characterization of these heterodimers, by activity assays and chemical cross-linking, has been exploited to map the functional topology of the protein. The results reveal that the two acyl carrier protein domains engage in substrate loading and condensation reactions catalyzed by the malonyl/acetyl transferase and beta-ketoacyl synthase domains of either subunit. In contrast, the reactions involved in processing of the beta-carbon atom, following each chain elongation step, together with the release of palmitate, are catalyzed by the cooperation of the acyl carrier protein with catalytic domains of the same subunit. These findings suggest a revised model for the fatty acid synthase in which the two polypeptides are oriented such that head-to-tail contacts are formed both between and within subunits.","DOI":"10.1016/S0163-7827(02)00067-X","ISSN":"0163-7827","note":"PMID: 12689621","journalAbbreviation":"Prog. Lipid Res.","language":"eng","author":[{"family":"Smith","given":"Stuart"},{"family":"Witkowski","given":"Andrzej"},{"family":"Joshi","given":"Anil K."}],"issued":{"date-parts":[["2003",7]]}}}],"schema":"https://github.com/citation-style-language/schema/raw/master/csl-citation.json"}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(Smith et al. 2003)</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In addition, SCD-1 synthesizes </w:t>
      </w:r>
      <w:proofErr w:type="spellStart"/>
      <w:r w:rsidRPr="003543D7">
        <w:rPr>
          <w:rFonts w:ascii="Times New Roman" w:hAnsi="Times New Roman" w:cs="Times New Roman"/>
          <w:sz w:val="24"/>
          <w:szCs w:val="24"/>
        </w:rPr>
        <w:t>palmitoleic</w:t>
      </w:r>
      <w:proofErr w:type="spellEnd"/>
      <w:r w:rsidRPr="003543D7">
        <w:rPr>
          <w:rFonts w:ascii="Times New Roman" w:hAnsi="Times New Roman" w:cs="Times New Roman"/>
          <w:sz w:val="24"/>
          <w:szCs w:val="24"/>
        </w:rPr>
        <w:t xml:space="preserve"> and oleic acids from, respectively, palmitic and stearic acids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{"citationID":"F0sYCgMy","properties":{"formattedCitation":"(Mauvoisin and Mounier 2011)","plainCitation":"(Mauvoisin and Mounier 2011)","noteIndex":0},"citationItems":[{"id":329,"uris":["http://zotero.org/users/local/npRNcwAd/items/MVX36KBZ"],"uri":["http://zotero.org/users/local/npRNcwAd/items/MVX36KBZ"],"itemData":{"id":329,"type":"article-journal","title":"Hormonal and nutritional regulation of SCD1 gene expression","container-title":"Biochimie","page":"78-86","volume":"93","issue":"1","source":"PubMed","abstract":"Stearoyl-CoA Desaturase 1 (SCD1) is the rate limiting enzyme catalyzing the biosynthesis of monounsaturated fatty acids preferentially from palmitoyl-CoA and stearoyl-CoA forming respectively palmitoleyl-CoA and oleyl-CoA. These monounsaturated fatty acids are the key components of triglycerides and membrane phospholipids. Studying the regulation of SCD1 is of particular interest since alterations in phospholipids composition have been implicated in a variety of diseases including cancers, diabetes and cardiovascular disorders. Furthermore, oleic acid, the main product of SCD1 reaction, is the predominant fatty acid of human adipose tissue triacylglycerols, associating SCD1 with the development of obesity and the metabolic syndrome. In light of the key role of SCD1 in general metabolism, it is not surprising to observe a very tight and complex regulation of SCD1 gene expression in response to various parameters including hormonal and nutrient factors. In this review we analyze the anatomy and index the transcription factors that have been characterized to bind the SCD1 promoter. Then we present the current knowledge on how hormones regulate SCD1 expression with a particular interest on the role of insulin and leptin. We also describe how nutrients especially polyunsaturated fatty acids and carbohydrates modulate SCD1 gene expression.","DOI":"10.1016/j.biochi.2010.08.001","ISSN":"1638-6183","note":"PMID: 20713121","journalAbbreviation":"Biochimie","language":"eng","author":[{"family":"Mauvoisin","given":"Daniel"},{"family":"Mounier","given":"Catherine"}],"issued":{"date-parts":[["2011",1]]}}}],"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(Mauvoisin and Mounier 2011)</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Consequently, it </w:t>
      </w:r>
      <w:proofErr w:type="gramStart"/>
      <w:r w:rsidRPr="003543D7">
        <w:rPr>
          <w:rFonts w:ascii="Times New Roman" w:hAnsi="Times New Roman" w:cs="Times New Roman"/>
          <w:sz w:val="24"/>
          <w:szCs w:val="24"/>
        </w:rPr>
        <w:t>is expected</w:t>
      </w:r>
      <w:proofErr w:type="gramEnd"/>
      <w:r w:rsidRPr="003543D7">
        <w:rPr>
          <w:rFonts w:ascii="Times New Roman" w:hAnsi="Times New Roman" w:cs="Times New Roman"/>
          <w:sz w:val="24"/>
          <w:szCs w:val="24"/>
        </w:rPr>
        <w:t xml:space="preserve"> that AASs would decrease the availability of palmitic, </w:t>
      </w:r>
      <w:proofErr w:type="spellStart"/>
      <w:r w:rsidRPr="003543D7">
        <w:rPr>
          <w:rFonts w:ascii="Times New Roman" w:hAnsi="Times New Roman" w:cs="Times New Roman"/>
          <w:sz w:val="24"/>
          <w:szCs w:val="24"/>
        </w:rPr>
        <w:t>palmitoleic</w:t>
      </w:r>
      <w:proofErr w:type="spellEnd"/>
      <w:r w:rsidRPr="003543D7">
        <w:rPr>
          <w:rFonts w:ascii="Times New Roman" w:hAnsi="Times New Roman" w:cs="Times New Roman"/>
          <w:sz w:val="24"/>
          <w:szCs w:val="24"/>
        </w:rPr>
        <w:t>, stearic, and oleic acids in the liver.</w:t>
      </w:r>
    </w:p>
    <w:p w14:paraId="4E36496D" w14:textId="7BBB24BC" w:rsidR="003543D7" w:rsidRPr="003543D7" w:rsidRDefault="003543D7" w:rsidP="003543D7">
      <w:pPr>
        <w:pStyle w:val="ListParagraph"/>
        <w:spacing w:line="360" w:lineRule="auto"/>
        <w:ind w:left="0" w:firstLine="207"/>
        <w:rPr>
          <w:rFonts w:ascii="Times New Roman" w:hAnsi="Times New Roman" w:cs="Times New Roman"/>
          <w:sz w:val="24"/>
          <w:szCs w:val="24"/>
        </w:rPr>
      </w:pPr>
      <w:r w:rsidRPr="003543D7">
        <w:rPr>
          <w:rFonts w:ascii="Times New Roman" w:hAnsi="Times New Roman" w:cs="Times New Roman"/>
          <w:sz w:val="24"/>
          <w:szCs w:val="24"/>
        </w:rPr>
        <w:t xml:space="preserve">Regarding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w:t>
      </w:r>
      <w:proofErr w:type="spellStart"/>
      <w:r w:rsidRPr="003543D7">
        <w:rPr>
          <w:rFonts w:ascii="Times New Roman" w:hAnsi="Times New Roman" w:cs="Times New Roman"/>
          <w:sz w:val="24"/>
          <w:szCs w:val="24"/>
        </w:rPr>
        <w:t>glycerolipids</w:t>
      </w:r>
      <w:proofErr w:type="spellEnd"/>
      <w:r w:rsidRPr="003543D7">
        <w:rPr>
          <w:rFonts w:ascii="Times New Roman" w:hAnsi="Times New Roman" w:cs="Times New Roman"/>
          <w:sz w:val="24"/>
          <w:szCs w:val="24"/>
        </w:rPr>
        <w:t xml:space="preserve"> (Figure </w:t>
      </w:r>
      <w:r w:rsidR="00103B7D">
        <w:rPr>
          <w:rFonts w:ascii="Times New Roman" w:hAnsi="Times New Roman" w:cs="Times New Roman"/>
          <w:sz w:val="24"/>
          <w:szCs w:val="24"/>
        </w:rPr>
        <w:t>S</w:t>
      </w:r>
      <w:r w:rsidRPr="003543D7">
        <w:rPr>
          <w:rFonts w:ascii="Times New Roman" w:hAnsi="Times New Roman" w:cs="Times New Roman"/>
          <w:sz w:val="24"/>
          <w:szCs w:val="24"/>
        </w:rPr>
        <w:t xml:space="preserve">.1), GPATs </w:t>
      </w:r>
      <w:proofErr w:type="spellStart"/>
      <w:r w:rsidRPr="003543D7">
        <w:rPr>
          <w:rFonts w:ascii="Times New Roman" w:hAnsi="Times New Roman" w:cs="Times New Roman"/>
          <w:sz w:val="24"/>
          <w:szCs w:val="24"/>
        </w:rPr>
        <w:t>acylate</w:t>
      </w:r>
      <w:proofErr w:type="spellEnd"/>
      <w:r w:rsidRPr="003543D7">
        <w:rPr>
          <w:rFonts w:ascii="Times New Roman" w:hAnsi="Times New Roman" w:cs="Times New Roman"/>
          <w:sz w:val="24"/>
          <w:szCs w:val="24"/>
        </w:rPr>
        <w:t xml:space="preserve"> the </w:t>
      </w:r>
      <w:r w:rsidRPr="003543D7">
        <w:rPr>
          <w:rFonts w:ascii="Times New Roman" w:hAnsi="Times New Roman" w:cs="Times New Roman"/>
          <w:i/>
          <w:sz w:val="24"/>
          <w:szCs w:val="24"/>
        </w:rPr>
        <w:t>sn</w:t>
      </w:r>
      <w:r w:rsidRPr="003543D7">
        <w:rPr>
          <w:rFonts w:ascii="Times New Roman" w:hAnsi="Times New Roman" w:cs="Times New Roman"/>
          <w:sz w:val="24"/>
          <w:szCs w:val="24"/>
        </w:rPr>
        <w:t xml:space="preserve">-1 position of glycerol-3-phosphate as a first step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{"citationID":"sZ1syqfM","properties":{"formattedCitation":"(Tijburg et al. 1989)","plainCitation":"(Tijburg et al. 1989)","noteIndex":0},"citationItems":[{"id":217,"uris":["http://zotero.org/users/local/npRNcwAd/items/2LGSEREB"],"uri":["http://zotero.org/users/local/npRNcwAd/items/2LGSEREB"],"itemData":{"id":217,"type":"article-journal","title":"Regulation of the biosynthesis of triacylglycerol, phosphatidylcholine and phosphatidylethanolamine in the liver","container-title":"Biochimica Et Biophysica Acta","page":"1-19","volume":"1004","issue":"1","source":"PubMed","DOI":"10.1016/0005-2760(89)90206-3","ISSN":"0006-3002","note":"PMID: 2663077","journalAbbreviation":"Biochim. Biophys. Acta","language":"eng","author":[{"family":"Tijburg","given":"L. B."},{"family":"Geelen","given":"M. J."},{"family":"Golde","given":"L. M.","non-dropping-particle":"van"}],"issued":{"date-parts":[["1989",7,17]]}}}],"schema":"https://github.com/citation-style-language/schema/raw/master/csl-citation.json"}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(Tijburg et al. 1989)</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Among GPATs, GPAT-1 –which is regulated by the LXR pathway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{"citationID":"lUsJNtbe","properties":{"formattedCitation":"(Yu et al. 2018)","plainCitation":"(Yu et al. 2018)","noteIndex":0},"citationItems":[{"id":279,"uris":["http://zotero.org/users/local/npRNcwAd/items/L7AXK8YK"],"uri":["http://zotero.org/users/local/npRNcwAd/items/L7AXK8YK"],"itemData":{"id":279,"type":"article-journal","title":"Update on glycerol-3-phosphate acyltransferases: the roles in the development of insulin resistance","container-title":"Nutrition &amp; Diabetes","page":"34","volume":"8","issue":"1","source":"PubMed","abstract":"Glycerol-3-phosphate acyltransferase (GPAT) is the rate-limiting enzyme in the de novo pathway of glycerolipid synthesis. It catalyzes the conversion of glycerol-3-phosphate and long-chain acyl-CoA to lysophosphatidic acid. In mammals, four isoforms of GPATs have been identified based on subcellular localization, substrate preferences, and NEM sensitivity, and they have been classified into two groups, one including GPAT1 and GPAT2, which are localized in the mitochondrial outer membrane, and the other including GPAT3 and GPAT4, which are localized in the endoplasmic reticulum membrane. GPATs play a pivotal role in the regulation of triglyceride and phospholipid synthesis. Through gain-of-function and loss-of-function experiments, it has been confirmed that GPATs play a critical role in the development of obesity, hepatic steatosis, and insulin resistance. In line with this, the role of GPATs in metabolism was supported by studies using a GPAT inhibitor, FSG67. Additionally, the functional characteristics of GPATs and the relation between three isoforms (GPAT1, 3, and 4) and insulin resistance has been described in this review.","DOI":"10.1038/s41387-018-0045-x","ISSN":"2044-4052","note":"PMID: 29799006\nPMCID: PMC5968029","title-short":"Update on glycerol-3-phosphate acyltransferases","journalAbbreviation":"Nutr Diabetes","language":"eng","author":[{"family":"Yu","given":"Jing"},{"family":"Loh","given":"Kim"},{"family":"Song","given":"Zhi-Yuan"},{"family":"Yang","given":"He-Qin"},{"family":"Zhang","given":"Yi"},{"family":"Lin","given":"Shu"}],"issued":{"date-parts":[["2018",5,25]]}}}],"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(Yu et al. 2018)</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shows preference for palmitic acid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{"citationID":"xe4vYVLv","properties":{"formattedCitation":"(Monroy et al. 1972)","plainCitation":"(Monroy et al. 1972)","noteIndex":0},"citationItems":[{"id":260,"uris":["http://zotero.org/users/local/npRNcwAd/items/836MIFWD"],"uri":["http://zotero.org/users/local/npRNcwAd/items/836MIFWD"],"itemData":{"id":260,"type":"article-journal","title":"A substrate- and position-specific acylation of sn-glycerol 3-phosphate by rat liver mitochondria","container-title":"The Journal of Biological Chemistry","page":"6884-6894","volume":"247","issue":"21","source":"PubMed","ISSN":"0021-9258","note":"PMID: 5082132","journalAbbreviation":"J. Biol. Chem.","language":"eng","author":[{"family":"Monroy","given":"G."},{"family":"Rola","given":"F. H."},{"family":"Pullman","given":"M. E."}],"issued":{"date-parts":[["1972",11,10]]}}}],"schema":"https://github.com/citation-style-language/schema/raw/master/csl-citation.json"}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(Monroy et al. 1972)</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By this effect and the downregulation of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fatty acids (see previous paragraph, Figure </w:t>
      </w:r>
      <w:r w:rsidR="00964ADC">
        <w:rPr>
          <w:rFonts w:ascii="Times New Roman" w:hAnsi="Times New Roman" w:cs="Times New Roman"/>
          <w:sz w:val="24"/>
          <w:szCs w:val="24"/>
        </w:rPr>
        <w:t>S</w:t>
      </w:r>
      <w:r w:rsidRPr="003543D7">
        <w:rPr>
          <w:rFonts w:ascii="Times New Roman" w:hAnsi="Times New Roman" w:cs="Times New Roman"/>
          <w:sz w:val="24"/>
          <w:szCs w:val="24"/>
        </w:rPr>
        <w:t xml:space="preserve">.1), it is expected a decrease of </w:t>
      </w:r>
      <w:proofErr w:type="spellStart"/>
      <w:r w:rsidRPr="003543D7">
        <w:rPr>
          <w:rFonts w:ascii="Times New Roman" w:hAnsi="Times New Roman" w:cs="Times New Roman"/>
          <w:sz w:val="24"/>
          <w:szCs w:val="24"/>
        </w:rPr>
        <w:t>triacylglycerides</w:t>
      </w:r>
      <w:proofErr w:type="spellEnd"/>
      <w:r w:rsidRPr="003543D7">
        <w:rPr>
          <w:rFonts w:ascii="Times New Roman" w:hAnsi="Times New Roman" w:cs="Times New Roman"/>
          <w:sz w:val="24"/>
          <w:szCs w:val="24"/>
        </w:rPr>
        <w:t xml:space="preserve"> and </w:t>
      </w:r>
      <w:proofErr w:type="spellStart"/>
      <w:r w:rsidRPr="003543D7">
        <w:rPr>
          <w:rFonts w:ascii="Times New Roman" w:hAnsi="Times New Roman" w:cs="Times New Roman"/>
          <w:sz w:val="24"/>
          <w:szCs w:val="24"/>
        </w:rPr>
        <w:t>glycerophospholipids</w:t>
      </w:r>
      <w:proofErr w:type="spellEnd"/>
      <w:r w:rsidRPr="003543D7">
        <w:rPr>
          <w:rFonts w:ascii="Times New Roman" w:hAnsi="Times New Roman" w:cs="Times New Roman"/>
          <w:sz w:val="24"/>
          <w:szCs w:val="24"/>
        </w:rPr>
        <w:t xml:space="preserve"> with palmitic, stearic, </w:t>
      </w:r>
      <w:proofErr w:type="spellStart"/>
      <w:r w:rsidRPr="003543D7">
        <w:rPr>
          <w:rFonts w:ascii="Times New Roman" w:hAnsi="Times New Roman" w:cs="Times New Roman"/>
          <w:sz w:val="24"/>
          <w:szCs w:val="24"/>
        </w:rPr>
        <w:t>palmitoleic</w:t>
      </w:r>
      <w:proofErr w:type="spellEnd"/>
      <w:r w:rsidRPr="003543D7">
        <w:rPr>
          <w:rFonts w:ascii="Times New Roman" w:hAnsi="Times New Roman" w:cs="Times New Roman"/>
          <w:sz w:val="24"/>
          <w:szCs w:val="24"/>
        </w:rPr>
        <w:t>, and oleic acids.</w:t>
      </w:r>
    </w:p>
    <w:p w14:paraId="13ABC2D3" w14:textId="27683FAC" w:rsidR="003543D7" w:rsidRPr="003543D7" w:rsidRDefault="003543D7" w:rsidP="003543D7">
      <w:pPr>
        <w:pStyle w:val="ListParagraph"/>
        <w:spacing w:line="360" w:lineRule="auto"/>
        <w:ind w:left="0" w:firstLine="207"/>
        <w:rPr>
          <w:rFonts w:ascii="Times New Roman" w:hAnsi="Times New Roman" w:cs="Times New Roman"/>
          <w:sz w:val="24"/>
          <w:szCs w:val="24"/>
        </w:rPr>
      </w:pPr>
      <w:r w:rsidRPr="003543D7">
        <w:rPr>
          <w:rFonts w:ascii="Times New Roman" w:hAnsi="Times New Roman" w:cs="Times New Roman"/>
          <w:sz w:val="24"/>
          <w:szCs w:val="24"/>
        </w:rPr>
        <w:t xml:space="preserve">Regarding the </w:t>
      </w:r>
      <w:r w:rsidRPr="003543D7">
        <w:rPr>
          <w:rFonts w:ascii="Times New Roman" w:hAnsi="Times New Roman" w:cs="Times New Roman"/>
          <w:i/>
          <w:sz w:val="24"/>
          <w:szCs w:val="24"/>
        </w:rPr>
        <w:t>de novo</w:t>
      </w:r>
      <w:r w:rsidRPr="003543D7">
        <w:rPr>
          <w:rFonts w:ascii="Times New Roman" w:hAnsi="Times New Roman" w:cs="Times New Roman"/>
          <w:sz w:val="24"/>
          <w:szCs w:val="24"/>
        </w:rPr>
        <w:t xml:space="preserve"> synthesis of sphingolipids (Figure </w:t>
      </w:r>
      <w:r w:rsidR="00964ADC">
        <w:rPr>
          <w:rFonts w:ascii="Times New Roman" w:hAnsi="Times New Roman" w:cs="Times New Roman"/>
          <w:sz w:val="24"/>
          <w:szCs w:val="24"/>
        </w:rPr>
        <w:t>S</w:t>
      </w:r>
      <w:r w:rsidRPr="003543D7">
        <w:rPr>
          <w:rFonts w:ascii="Times New Roman" w:hAnsi="Times New Roman" w:cs="Times New Roman"/>
          <w:sz w:val="24"/>
          <w:szCs w:val="24"/>
        </w:rPr>
        <w:t>.1), serine C-</w:t>
      </w:r>
      <w:proofErr w:type="spellStart"/>
      <w:r w:rsidRPr="003543D7">
        <w:rPr>
          <w:rFonts w:ascii="Times New Roman" w:hAnsi="Times New Roman" w:cs="Times New Roman"/>
          <w:sz w:val="24"/>
          <w:szCs w:val="24"/>
        </w:rPr>
        <w:t>palmitoyltransferase</w:t>
      </w:r>
      <w:proofErr w:type="spellEnd"/>
      <w:r w:rsidRPr="003543D7">
        <w:rPr>
          <w:rFonts w:ascii="Times New Roman" w:hAnsi="Times New Roman" w:cs="Times New Roman"/>
          <w:sz w:val="24"/>
          <w:szCs w:val="24"/>
        </w:rPr>
        <w:t xml:space="preserve"> (SPT) uses palmitic acid as substrate to yield </w:t>
      </w:r>
      <w:proofErr w:type="spellStart"/>
      <w:r w:rsidRPr="003543D7">
        <w:rPr>
          <w:rFonts w:ascii="Times New Roman" w:hAnsi="Times New Roman" w:cs="Times New Roman"/>
          <w:sz w:val="24"/>
          <w:szCs w:val="24"/>
        </w:rPr>
        <w:t>sphinganine</w:t>
      </w:r>
      <w:proofErr w:type="spellEnd"/>
      <w:r w:rsidRPr="003543D7">
        <w:rPr>
          <w:rFonts w:ascii="Times New Roman" w:hAnsi="Times New Roman" w:cs="Times New Roman"/>
          <w:sz w:val="24"/>
          <w:szCs w:val="24"/>
        </w:rPr>
        <w:t xml:space="preserve"> as a first step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{"citationID":"TcsxCbqf","properties":{"formattedCitation":"(Harayama and Riezman 2018)","plainCitation":"(Harayama and Riezman 2018)","noteIndex":0},"citationItems":[{"id":225,"uris":["http://zotero.org/users/local/npRNcwAd/items/G9GYP423"],"uri":["http://zotero.org/users/local/npRNcwAd/items/G9GYP423"],"itemData":{"id":225,"type":"article-journal","title":"Understanding the diversity of membrane lipid composition","container-title":"Nature Reviews. Molecular Cell Biology","page":"281-296","volume":"19","issue":"5","source":"PubMed","abstract":"Cellular membranes are formed from a chemically diverse set of lipids present in various amounts and proportions. A high lipid diversity is universal in eukaryotes and is seen from the scale of a membrane leaflet to that of a whole organism, highlighting its importance and suggesting that membrane lipids fulfil many functions. Indeed, alterations of membrane lipid homeostasis are linked to various diseases. While many of their functions remain unknown, interdisciplinary approaches have begun to reveal novel functions of lipids and their interactions. We are beginning to understand why even small changes in lipid structures and in composition can have profound effects on crucial biological functions.","DOI":"10.1038/nrm.2017.138","ISSN":"1471-0080","note":"PMID: 29410529","journalAbbreviation":"Nat. Rev. Mol. Cell Biol.","language":"eng","author":[{"family":"Harayama","given":"Takeshi"},{"family":"Riezman","given":"Howard"}],"issued":{"date-parts":[["2018",5]]}}}],"schema":"https://github.com/citation-style-language/schema/raw/master/csl-citation.json"}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(Harayama and Riezman 2018)</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Considering that FAS-synthesized palmitic acid limits the synthesis of the </w:t>
      </w:r>
      <w:proofErr w:type="spellStart"/>
      <w:r w:rsidRPr="003543D7">
        <w:rPr>
          <w:rFonts w:ascii="Times New Roman" w:hAnsi="Times New Roman" w:cs="Times New Roman"/>
          <w:sz w:val="24"/>
          <w:szCs w:val="24"/>
        </w:rPr>
        <w:t>sphingoid</w:t>
      </w:r>
      <w:proofErr w:type="spellEnd"/>
      <w:r w:rsidRPr="003543D7">
        <w:rPr>
          <w:rFonts w:ascii="Times New Roman" w:hAnsi="Times New Roman" w:cs="Times New Roman"/>
          <w:sz w:val="24"/>
          <w:szCs w:val="24"/>
        </w:rPr>
        <w:t xml:space="preserve"> base in yeast </w:t>
      </w:r>
      <w:r w:rsidRPr="003543D7">
        <w:rPr>
          <w:rFonts w:ascii="Times New Roman" w:hAnsi="Times New Roman" w:cs="Times New Roman"/>
          <w:sz w:val="24"/>
          <w:szCs w:val="24"/>
        </w:rPr>
        <w:fldChar w:fldCharType="begin"/>
      </w:r>
      <w:r w:rsidRPr="003543D7">
        <w:rPr>
          <w:rFonts w:ascii="Times New Roman" w:hAnsi="Times New Roman" w:cs="Times New Roman"/>
          <w:sz w:val="24"/>
          <w:szCs w:val="24"/>
        </w:rPr>
        <w:instrText xml:space="preserve"> ADDIN ZOTERO_ITEM CSL_CITATION {"citationID":"c5yvCACW","properties":{"formattedCitation":"(Cowart and Hannun 2007)","plainCitation":"(Cowart and Hannun 2007)","noteIndex":0},"citationItems":[{"id":366,"uris":["http://zotero.org/users/local/npRNcwAd/items/BK67BV87"],"uri":["http://zotero.org/users/local/npRNcwAd/items/BK67BV87"],"itemData":{"id":366,"type":"article-journal","title":"Selective substrate supply in the regulation of yeast de novo sphingolipid synthesis","container-title":"The Journal of Biological Chemistry","page":"12330-12340","volume":"282","issue":"16","source":"PubMed","abstract":"The heat stress response of Saccharomyces cerevisiae is characterized by transient cell cycle arrest, altered gene expression, degradation of nutrient permeases, trehalose accumulation, and translation initiation of heat shock proteins. Importantly heat stress also induces de novo sphingolipid synthesis upon which many of these subprograms of the heat stress response depend. Despite extensive data addressing the roles for sphingolipids in heat stress, the mechanism(s) by which heat induces sphingolipid synthesis remains unknown. This study was undertaken to determine the events and/or factors required for heat stress-induced sphingolipid synthesis. Data presented indicate that heat does not directly alter the in vitro activity of serine palmitoyltransferase (SPT), the enzyme responsible for initiating de novo sphingolipid synthesis. Moreover deletion of the small peptide Tsc3p, which is thought to maximize SPT activity, specifically reduced production of C(20) sphingolipid species by over 70% but did not significantly decrease overall sphingoid base production. In contrast, the fatty-acid synthase inhibitor cerulenin nearly completely blocked sphingoid base production after heat, indicating a requirement for endogenous fatty acids for heat-mediated sphingoid base synthesis. Consistent with this, genetic studies show that fatty acid import does not contribute to heat-induced de novo synthesis under normal conditions. Interestingly the absence of medium serine also ameliorated heat-induced sphingoid base production, indicating a requirement for exogenous serine for the response, and consistent with this finding, disruption of synthesis of endogenous serine did not affect heat-induced sphingolipid synthesis. Serine uptake assays indicated that heat increased serine uptake from medium by 100% during the first 10 min of heat stress. Moreover treatments that increase serine uptake in the absence of heat including acute medium acidification and glucose treatment also enhanced de novo sphingoid base synthesis equivalent to that induced by heat stress. These data agree with findings from mammalian systems that availability of substrates is a key determinant of flux through sphingolipid synthesis. Moreover data presented here indicate that SPT activity can be driven by several factors that increase serine uptake in the absence of heat. These findings may provide insights into the many systems in which de novo synthesis is increased in the absence of elevated in vitro SPT activity.","DOI":"10.1074/jbc.M700685200","ISSN":"0021-9258","note":"PMID: 17322298","journalAbbreviation":"J. Biol. Chem.","language":"eng","author":[{"family":"Cowart","given":"L. Ashley"},{"family":"Hannun","given":"Yusuf A."}],"issued":{"date-parts":[["2007",4,20]]}}}],"schema":"https://github.com/citation-style-language/schema/raw/master/csl-citation.json"} </w:instrText>
      </w:r>
      <w:r w:rsidRPr="003543D7">
        <w:rPr>
          <w:rFonts w:ascii="Times New Roman" w:hAnsi="Times New Roman" w:cs="Times New Roman"/>
          <w:sz w:val="24"/>
          <w:szCs w:val="24"/>
        </w:rPr>
        <w:fldChar w:fldCharType="separate"/>
      </w:r>
      <w:r w:rsidRPr="003543D7">
        <w:rPr>
          <w:rFonts w:ascii="Times New Roman" w:hAnsi="Times New Roman" w:cs="Times New Roman"/>
          <w:sz w:val="24"/>
        </w:rPr>
        <w:t>(Cowart and Hannun 2007)</w:t>
      </w:r>
      <w:r w:rsidRPr="003543D7">
        <w:rPr>
          <w:rFonts w:ascii="Times New Roman" w:hAnsi="Times New Roman" w:cs="Times New Roman"/>
          <w:sz w:val="24"/>
          <w:szCs w:val="24"/>
        </w:rPr>
        <w:fldChar w:fldCharType="end"/>
      </w:r>
      <w:r w:rsidRPr="003543D7">
        <w:rPr>
          <w:rFonts w:ascii="Times New Roman" w:hAnsi="Times New Roman" w:cs="Times New Roman"/>
          <w:sz w:val="24"/>
          <w:szCs w:val="24"/>
        </w:rPr>
        <w:t xml:space="preserve">, it is expected that the downregulation of FAS would entail a decrease of sphingolipids. </w:t>
      </w:r>
    </w:p>
    <w:p w14:paraId="3F5DE587" w14:textId="7C7CC015" w:rsidR="003543D7" w:rsidRPr="003543D7" w:rsidRDefault="003543D7" w:rsidP="003543D7">
      <w:pPr>
        <w:spacing w:after="0" w:line="276" w:lineRule="auto"/>
        <w:rPr>
          <w:rFonts w:ascii="Times New Roman" w:hAnsi="Times New Roman" w:cs="Times New Roman"/>
          <w:b/>
          <w:sz w:val="20"/>
          <w:szCs w:val="20"/>
        </w:rPr>
      </w:pPr>
      <w:r w:rsidRPr="003543D7">
        <w:rPr>
          <w:rFonts w:ascii="Times New Roman" w:hAnsi="Times New Roman" w:cs="Times New Roman"/>
          <w:b/>
          <w:sz w:val="20"/>
          <w:szCs w:val="20"/>
        </w:rPr>
        <w:t xml:space="preserve">Table S1. Enzyme selectivity of the </w:t>
      </w:r>
      <w:proofErr w:type="spellStart"/>
      <w:r w:rsidRPr="003543D7">
        <w:rPr>
          <w:rFonts w:ascii="Times New Roman" w:hAnsi="Times New Roman" w:cs="Times New Roman"/>
          <w:b/>
          <w:sz w:val="20"/>
          <w:szCs w:val="20"/>
        </w:rPr>
        <w:t>lipogenic</w:t>
      </w:r>
      <w:proofErr w:type="spellEnd"/>
      <w:r w:rsidRPr="003543D7">
        <w:rPr>
          <w:rFonts w:ascii="Times New Roman" w:hAnsi="Times New Roman" w:cs="Times New Roman"/>
          <w:b/>
          <w:sz w:val="20"/>
          <w:szCs w:val="20"/>
        </w:rPr>
        <w:t xml:space="preserve"> enzymes in the LXR pathway: ATP-citrate </w:t>
      </w:r>
      <w:proofErr w:type="spellStart"/>
      <w:r w:rsidRPr="003543D7">
        <w:rPr>
          <w:rFonts w:ascii="Times New Roman" w:hAnsi="Times New Roman" w:cs="Times New Roman"/>
          <w:b/>
          <w:sz w:val="20"/>
          <w:szCs w:val="20"/>
        </w:rPr>
        <w:t>lyase</w:t>
      </w:r>
      <w:proofErr w:type="spellEnd"/>
      <w:r w:rsidRPr="003543D7">
        <w:rPr>
          <w:rFonts w:ascii="Times New Roman" w:hAnsi="Times New Roman" w:cs="Times New Roman"/>
          <w:b/>
          <w:sz w:val="20"/>
          <w:szCs w:val="20"/>
        </w:rPr>
        <w:t xml:space="preserve"> (ACL), acetyl-CoA </w:t>
      </w:r>
      <w:proofErr w:type="spellStart"/>
      <w:r w:rsidRPr="003543D7">
        <w:rPr>
          <w:rFonts w:ascii="Times New Roman" w:hAnsi="Times New Roman" w:cs="Times New Roman"/>
          <w:b/>
          <w:sz w:val="20"/>
          <w:szCs w:val="20"/>
        </w:rPr>
        <w:t>synthetase</w:t>
      </w:r>
      <w:proofErr w:type="spellEnd"/>
      <w:r w:rsidRPr="003543D7">
        <w:rPr>
          <w:rFonts w:ascii="Times New Roman" w:hAnsi="Times New Roman" w:cs="Times New Roman"/>
          <w:b/>
          <w:sz w:val="20"/>
          <w:szCs w:val="20"/>
        </w:rPr>
        <w:t xml:space="preserve"> (ACS), acetyl-CoA carboxylase (ACC), fatty acid synthase</w:t>
      </w:r>
      <w:r w:rsidRPr="003543D7">
        <w:rPr>
          <w:rFonts w:ascii="Times New Roman" w:hAnsi="Times New Roman" w:cs="Times New Roman"/>
        </w:rPr>
        <w:t xml:space="preserve"> (</w:t>
      </w:r>
      <w:r w:rsidRPr="003543D7">
        <w:rPr>
          <w:rFonts w:ascii="Times New Roman" w:hAnsi="Times New Roman" w:cs="Times New Roman"/>
          <w:b/>
          <w:sz w:val="20"/>
          <w:szCs w:val="20"/>
        </w:rPr>
        <w:t xml:space="preserve">FAS), </w:t>
      </w:r>
      <w:proofErr w:type="spellStart"/>
      <w:r w:rsidRPr="003543D7">
        <w:rPr>
          <w:rFonts w:ascii="Times New Roman" w:hAnsi="Times New Roman" w:cs="Times New Roman"/>
          <w:b/>
          <w:sz w:val="20"/>
          <w:szCs w:val="20"/>
        </w:rPr>
        <w:t>stearoyl</w:t>
      </w:r>
      <w:proofErr w:type="spellEnd"/>
      <w:r w:rsidRPr="003543D7">
        <w:rPr>
          <w:rFonts w:ascii="Times New Roman" w:hAnsi="Times New Roman" w:cs="Times New Roman"/>
          <w:b/>
          <w:sz w:val="20"/>
          <w:szCs w:val="20"/>
        </w:rPr>
        <w:t>-CoA desaturase 1 (SCD-1), and glycerol-3-phospate acyltransferase 1 (GPAT-1).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104"/>
        <w:gridCol w:w="2697"/>
      </w:tblGrid>
      <w:tr w:rsidR="003543D7" w:rsidRPr="003543D7" w14:paraId="0CA66EBB" w14:textId="77777777" w:rsidTr="004D3735">
        <w:tc>
          <w:tcPr>
            <w:tcW w:w="1559" w:type="dxa"/>
            <w:tcBorders>
              <w:top w:val="single" w:sz="8" w:space="0" w:color="auto"/>
              <w:bottom w:val="single" w:sz="8" w:space="0" w:color="auto"/>
            </w:tcBorders>
          </w:tcPr>
          <w:p w14:paraId="103B53D2" w14:textId="77777777" w:rsidR="003543D7" w:rsidRPr="003543D7" w:rsidRDefault="003543D7" w:rsidP="004D3735">
            <w:pPr>
              <w:spacing w:line="276" w:lineRule="auto"/>
              <w:rPr>
                <w:rFonts w:ascii="Times New Roman" w:hAnsi="Times New Roman" w:cs="Times New Roman"/>
                <w:b/>
                <w:sz w:val="20"/>
                <w:szCs w:val="20"/>
              </w:rPr>
            </w:pPr>
            <w:r w:rsidRPr="003543D7">
              <w:rPr>
                <w:rFonts w:ascii="Times New Roman" w:hAnsi="Times New Roman" w:cs="Times New Roman"/>
                <w:b/>
                <w:sz w:val="20"/>
                <w:szCs w:val="20"/>
              </w:rPr>
              <w:t>Enzyme</w:t>
            </w:r>
          </w:p>
        </w:tc>
        <w:tc>
          <w:tcPr>
            <w:tcW w:w="5104" w:type="dxa"/>
            <w:tcBorders>
              <w:top w:val="single" w:sz="8" w:space="0" w:color="auto"/>
              <w:bottom w:val="single" w:sz="8" w:space="0" w:color="auto"/>
            </w:tcBorders>
          </w:tcPr>
          <w:p w14:paraId="4F0B68B8" w14:textId="77777777" w:rsidR="003543D7" w:rsidRPr="003543D7" w:rsidRDefault="003543D7" w:rsidP="004D3735">
            <w:pPr>
              <w:spacing w:line="276" w:lineRule="auto"/>
              <w:rPr>
                <w:rFonts w:ascii="Times New Roman" w:hAnsi="Times New Roman" w:cs="Times New Roman"/>
                <w:b/>
                <w:sz w:val="20"/>
                <w:szCs w:val="20"/>
              </w:rPr>
            </w:pPr>
            <w:r w:rsidRPr="003543D7">
              <w:rPr>
                <w:rFonts w:ascii="Times New Roman" w:hAnsi="Times New Roman" w:cs="Times New Roman"/>
                <w:b/>
                <w:sz w:val="20"/>
                <w:szCs w:val="20"/>
              </w:rPr>
              <w:t>Selectivity</w:t>
            </w:r>
          </w:p>
        </w:tc>
        <w:tc>
          <w:tcPr>
            <w:tcW w:w="2697" w:type="dxa"/>
            <w:tcBorders>
              <w:top w:val="single" w:sz="8" w:space="0" w:color="auto"/>
              <w:bottom w:val="single" w:sz="8" w:space="0" w:color="auto"/>
            </w:tcBorders>
          </w:tcPr>
          <w:p w14:paraId="03BD34FD" w14:textId="77777777" w:rsidR="003543D7" w:rsidRPr="003543D7" w:rsidRDefault="003543D7" w:rsidP="004D3735">
            <w:pPr>
              <w:spacing w:line="276" w:lineRule="auto"/>
              <w:rPr>
                <w:rFonts w:ascii="Times New Roman" w:hAnsi="Times New Roman" w:cs="Times New Roman"/>
                <w:b/>
                <w:sz w:val="20"/>
                <w:szCs w:val="20"/>
              </w:rPr>
            </w:pPr>
            <w:r w:rsidRPr="003543D7">
              <w:rPr>
                <w:rFonts w:ascii="Times New Roman" w:hAnsi="Times New Roman" w:cs="Times New Roman"/>
                <w:b/>
                <w:sz w:val="20"/>
                <w:szCs w:val="20"/>
              </w:rPr>
              <w:t>Lipids affected</w:t>
            </w:r>
          </w:p>
        </w:tc>
      </w:tr>
      <w:tr w:rsidR="003543D7" w:rsidRPr="003543D7" w14:paraId="25C14AA5" w14:textId="77777777" w:rsidTr="004D3735">
        <w:tc>
          <w:tcPr>
            <w:tcW w:w="0" w:type="auto"/>
            <w:tcBorders>
              <w:top w:val="single" w:sz="8" w:space="0" w:color="auto"/>
              <w:bottom w:val="single" w:sz="2" w:space="0" w:color="auto"/>
            </w:tcBorders>
          </w:tcPr>
          <w:p w14:paraId="67F2C4D6"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ACL</w:t>
            </w:r>
          </w:p>
        </w:tc>
        <w:tc>
          <w:tcPr>
            <w:tcW w:w="5104" w:type="dxa"/>
            <w:tcBorders>
              <w:top w:val="single" w:sz="8" w:space="0" w:color="auto"/>
              <w:bottom w:val="single" w:sz="2" w:space="0" w:color="auto"/>
            </w:tcBorders>
          </w:tcPr>
          <w:p w14:paraId="67763BD4"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It yields acetyl-CoA</w:t>
            </w:r>
          </w:p>
        </w:tc>
        <w:tc>
          <w:tcPr>
            <w:tcW w:w="2697" w:type="dxa"/>
            <w:tcBorders>
              <w:top w:val="single" w:sz="8" w:space="0" w:color="auto"/>
              <w:bottom w:val="single" w:sz="2" w:space="0" w:color="auto"/>
            </w:tcBorders>
          </w:tcPr>
          <w:p w14:paraId="3DE2180C"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Free fatty acids, </w:t>
            </w:r>
            <w:proofErr w:type="spellStart"/>
            <w:r w:rsidRPr="003543D7">
              <w:rPr>
                <w:rFonts w:ascii="Times New Roman" w:hAnsi="Times New Roman" w:cs="Times New Roman"/>
                <w:sz w:val="20"/>
                <w:szCs w:val="20"/>
              </w:rPr>
              <w:t>glycerolipids</w:t>
            </w:r>
            <w:proofErr w:type="spellEnd"/>
            <w:r w:rsidRPr="003543D7">
              <w:rPr>
                <w:rFonts w:ascii="Times New Roman" w:hAnsi="Times New Roman" w:cs="Times New Roman"/>
                <w:sz w:val="20"/>
                <w:szCs w:val="20"/>
              </w:rPr>
              <w:t>, sphingolipids</w:t>
            </w:r>
          </w:p>
        </w:tc>
      </w:tr>
      <w:tr w:rsidR="003543D7" w:rsidRPr="003543D7" w14:paraId="25FD2807" w14:textId="77777777" w:rsidTr="004D3735">
        <w:tc>
          <w:tcPr>
            <w:tcW w:w="0" w:type="auto"/>
            <w:tcBorders>
              <w:top w:val="single" w:sz="2" w:space="0" w:color="auto"/>
              <w:bottom w:val="single" w:sz="2" w:space="0" w:color="auto"/>
            </w:tcBorders>
          </w:tcPr>
          <w:p w14:paraId="03595DF5"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ACS</w:t>
            </w:r>
          </w:p>
        </w:tc>
        <w:tc>
          <w:tcPr>
            <w:tcW w:w="5104" w:type="dxa"/>
            <w:tcBorders>
              <w:top w:val="single" w:sz="2" w:space="0" w:color="auto"/>
              <w:bottom w:val="single" w:sz="2" w:space="0" w:color="auto"/>
            </w:tcBorders>
          </w:tcPr>
          <w:p w14:paraId="16763475"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It yields acetyl-CoA</w:t>
            </w:r>
          </w:p>
        </w:tc>
        <w:tc>
          <w:tcPr>
            <w:tcW w:w="2697" w:type="dxa"/>
            <w:tcBorders>
              <w:top w:val="single" w:sz="2" w:space="0" w:color="auto"/>
              <w:bottom w:val="single" w:sz="2" w:space="0" w:color="auto"/>
            </w:tcBorders>
          </w:tcPr>
          <w:p w14:paraId="4FC725AC"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Free fatty acids, </w:t>
            </w:r>
            <w:proofErr w:type="spellStart"/>
            <w:r w:rsidRPr="003543D7">
              <w:rPr>
                <w:rFonts w:ascii="Times New Roman" w:hAnsi="Times New Roman" w:cs="Times New Roman"/>
                <w:sz w:val="20"/>
                <w:szCs w:val="20"/>
              </w:rPr>
              <w:t>glycerolipids</w:t>
            </w:r>
            <w:proofErr w:type="spellEnd"/>
            <w:r w:rsidRPr="003543D7">
              <w:rPr>
                <w:rFonts w:ascii="Times New Roman" w:hAnsi="Times New Roman" w:cs="Times New Roman"/>
                <w:sz w:val="20"/>
                <w:szCs w:val="20"/>
              </w:rPr>
              <w:t>, sphingolipids</w:t>
            </w:r>
          </w:p>
        </w:tc>
      </w:tr>
      <w:tr w:rsidR="003543D7" w:rsidRPr="003543D7" w14:paraId="6A26C143" w14:textId="77777777" w:rsidTr="004D3735">
        <w:tc>
          <w:tcPr>
            <w:tcW w:w="0" w:type="auto"/>
            <w:tcBorders>
              <w:top w:val="single" w:sz="2" w:space="0" w:color="auto"/>
              <w:bottom w:val="single" w:sz="2" w:space="0" w:color="auto"/>
            </w:tcBorders>
          </w:tcPr>
          <w:p w14:paraId="7BF567A3"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ACC</w:t>
            </w:r>
          </w:p>
        </w:tc>
        <w:tc>
          <w:tcPr>
            <w:tcW w:w="5104" w:type="dxa"/>
            <w:tcBorders>
              <w:top w:val="single" w:sz="2" w:space="0" w:color="auto"/>
              <w:bottom w:val="single" w:sz="2" w:space="0" w:color="auto"/>
            </w:tcBorders>
          </w:tcPr>
          <w:p w14:paraId="1095C2EA"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It yields </w:t>
            </w:r>
            <w:proofErr w:type="spellStart"/>
            <w:r w:rsidRPr="003543D7">
              <w:rPr>
                <w:rFonts w:ascii="Times New Roman" w:hAnsi="Times New Roman" w:cs="Times New Roman"/>
                <w:sz w:val="20"/>
                <w:szCs w:val="20"/>
              </w:rPr>
              <w:t>malonyl</w:t>
            </w:r>
            <w:proofErr w:type="spellEnd"/>
            <w:r w:rsidRPr="003543D7">
              <w:rPr>
                <w:rFonts w:ascii="Times New Roman" w:hAnsi="Times New Roman" w:cs="Times New Roman"/>
                <w:sz w:val="20"/>
                <w:szCs w:val="20"/>
              </w:rPr>
              <w:t>-CoA</w:t>
            </w:r>
          </w:p>
        </w:tc>
        <w:tc>
          <w:tcPr>
            <w:tcW w:w="2697" w:type="dxa"/>
            <w:tcBorders>
              <w:top w:val="single" w:sz="2" w:space="0" w:color="auto"/>
              <w:bottom w:val="single" w:sz="2" w:space="0" w:color="auto"/>
            </w:tcBorders>
          </w:tcPr>
          <w:p w14:paraId="5C6357A8"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Free fatty acids, </w:t>
            </w:r>
            <w:proofErr w:type="spellStart"/>
            <w:r w:rsidRPr="003543D7">
              <w:rPr>
                <w:rFonts w:ascii="Times New Roman" w:hAnsi="Times New Roman" w:cs="Times New Roman"/>
                <w:sz w:val="20"/>
                <w:szCs w:val="20"/>
              </w:rPr>
              <w:t>glycerolipids</w:t>
            </w:r>
            <w:proofErr w:type="spellEnd"/>
            <w:r w:rsidRPr="003543D7">
              <w:rPr>
                <w:rFonts w:ascii="Times New Roman" w:hAnsi="Times New Roman" w:cs="Times New Roman"/>
                <w:sz w:val="20"/>
                <w:szCs w:val="20"/>
              </w:rPr>
              <w:t>, sphingolipids</w:t>
            </w:r>
          </w:p>
        </w:tc>
      </w:tr>
      <w:tr w:rsidR="003543D7" w:rsidRPr="003543D7" w14:paraId="419FAE5E" w14:textId="77777777" w:rsidTr="004D3735">
        <w:tc>
          <w:tcPr>
            <w:tcW w:w="0" w:type="auto"/>
            <w:tcBorders>
              <w:top w:val="single" w:sz="2" w:space="0" w:color="auto"/>
              <w:bottom w:val="single" w:sz="2" w:space="0" w:color="auto"/>
            </w:tcBorders>
          </w:tcPr>
          <w:p w14:paraId="6BD1237E"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FAS</w:t>
            </w:r>
          </w:p>
        </w:tc>
        <w:tc>
          <w:tcPr>
            <w:tcW w:w="5104" w:type="dxa"/>
            <w:tcBorders>
              <w:top w:val="single" w:sz="2" w:space="0" w:color="auto"/>
              <w:bottom w:val="single" w:sz="2" w:space="0" w:color="auto"/>
            </w:tcBorders>
          </w:tcPr>
          <w:p w14:paraId="514B9827"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It yields palmitic acid as major product from acetyl-CoA and </w:t>
            </w:r>
            <w:proofErr w:type="spellStart"/>
            <w:r w:rsidRPr="003543D7">
              <w:rPr>
                <w:rFonts w:ascii="Times New Roman" w:hAnsi="Times New Roman" w:cs="Times New Roman"/>
                <w:sz w:val="20"/>
                <w:szCs w:val="20"/>
              </w:rPr>
              <w:t>malonyl</w:t>
            </w:r>
            <w:proofErr w:type="spellEnd"/>
            <w:r w:rsidRPr="003543D7">
              <w:rPr>
                <w:rFonts w:ascii="Times New Roman" w:hAnsi="Times New Roman" w:cs="Times New Roman"/>
                <w:sz w:val="20"/>
                <w:szCs w:val="20"/>
              </w:rPr>
              <w:t>-CoA. It also yields stearic acid as minor product</w:t>
            </w:r>
          </w:p>
        </w:tc>
        <w:tc>
          <w:tcPr>
            <w:tcW w:w="2697" w:type="dxa"/>
            <w:tcBorders>
              <w:top w:val="single" w:sz="2" w:space="0" w:color="auto"/>
              <w:bottom w:val="single" w:sz="2" w:space="0" w:color="auto"/>
            </w:tcBorders>
          </w:tcPr>
          <w:p w14:paraId="5C18E1EA"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Free fatty acids, </w:t>
            </w:r>
            <w:proofErr w:type="spellStart"/>
            <w:r w:rsidRPr="003543D7">
              <w:rPr>
                <w:rFonts w:ascii="Times New Roman" w:hAnsi="Times New Roman" w:cs="Times New Roman"/>
                <w:sz w:val="20"/>
                <w:szCs w:val="20"/>
              </w:rPr>
              <w:t>glycerolipids</w:t>
            </w:r>
            <w:proofErr w:type="spellEnd"/>
            <w:r w:rsidRPr="003543D7">
              <w:rPr>
                <w:rFonts w:ascii="Times New Roman" w:hAnsi="Times New Roman" w:cs="Times New Roman"/>
                <w:sz w:val="20"/>
                <w:szCs w:val="20"/>
              </w:rPr>
              <w:t>, sphingolipids</w:t>
            </w:r>
          </w:p>
        </w:tc>
      </w:tr>
      <w:tr w:rsidR="003543D7" w:rsidRPr="003543D7" w14:paraId="707DD6F5" w14:textId="77777777" w:rsidTr="004D3735">
        <w:tc>
          <w:tcPr>
            <w:tcW w:w="0" w:type="auto"/>
            <w:tcBorders>
              <w:top w:val="single" w:sz="2" w:space="0" w:color="auto"/>
              <w:bottom w:val="single" w:sz="2" w:space="0" w:color="auto"/>
            </w:tcBorders>
          </w:tcPr>
          <w:p w14:paraId="25F11641"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SCD-1</w:t>
            </w:r>
          </w:p>
        </w:tc>
        <w:tc>
          <w:tcPr>
            <w:tcW w:w="5104" w:type="dxa"/>
            <w:tcBorders>
              <w:top w:val="single" w:sz="2" w:space="0" w:color="auto"/>
              <w:bottom w:val="single" w:sz="2" w:space="0" w:color="auto"/>
            </w:tcBorders>
          </w:tcPr>
          <w:p w14:paraId="2CEF87BE"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It yields </w:t>
            </w:r>
            <w:proofErr w:type="spellStart"/>
            <w:r w:rsidRPr="003543D7">
              <w:rPr>
                <w:rFonts w:ascii="Times New Roman" w:hAnsi="Times New Roman" w:cs="Times New Roman"/>
                <w:sz w:val="20"/>
                <w:szCs w:val="20"/>
              </w:rPr>
              <w:t>palmitoleic</w:t>
            </w:r>
            <w:proofErr w:type="spellEnd"/>
            <w:r w:rsidRPr="003543D7">
              <w:rPr>
                <w:rFonts w:ascii="Times New Roman" w:hAnsi="Times New Roman" w:cs="Times New Roman"/>
                <w:sz w:val="20"/>
                <w:szCs w:val="20"/>
              </w:rPr>
              <w:t xml:space="preserve"> and oleic acids from palmitic and stearic acids, the products of FAS</w:t>
            </w:r>
          </w:p>
        </w:tc>
        <w:tc>
          <w:tcPr>
            <w:tcW w:w="2697" w:type="dxa"/>
            <w:tcBorders>
              <w:top w:val="single" w:sz="2" w:space="0" w:color="auto"/>
              <w:bottom w:val="single" w:sz="2" w:space="0" w:color="auto"/>
            </w:tcBorders>
          </w:tcPr>
          <w:p w14:paraId="7C374C7A"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 xml:space="preserve">Free fatty acids, </w:t>
            </w:r>
            <w:proofErr w:type="spellStart"/>
            <w:r w:rsidRPr="003543D7">
              <w:rPr>
                <w:rFonts w:ascii="Times New Roman" w:hAnsi="Times New Roman" w:cs="Times New Roman"/>
                <w:sz w:val="20"/>
                <w:szCs w:val="20"/>
              </w:rPr>
              <w:t>glycerolipids</w:t>
            </w:r>
            <w:proofErr w:type="spellEnd"/>
          </w:p>
        </w:tc>
      </w:tr>
      <w:tr w:rsidR="003543D7" w:rsidRPr="003543D7" w14:paraId="46F48E9B" w14:textId="77777777" w:rsidTr="004D3735">
        <w:tc>
          <w:tcPr>
            <w:tcW w:w="0" w:type="auto"/>
            <w:tcBorders>
              <w:top w:val="single" w:sz="2" w:space="0" w:color="auto"/>
              <w:bottom w:val="single" w:sz="8" w:space="0" w:color="auto"/>
            </w:tcBorders>
          </w:tcPr>
          <w:p w14:paraId="26AC71E9"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GPAT-1</w:t>
            </w:r>
          </w:p>
        </w:tc>
        <w:tc>
          <w:tcPr>
            <w:tcW w:w="5104" w:type="dxa"/>
            <w:tcBorders>
              <w:top w:val="single" w:sz="2" w:space="0" w:color="auto"/>
              <w:bottom w:val="single" w:sz="8" w:space="0" w:color="auto"/>
            </w:tcBorders>
          </w:tcPr>
          <w:p w14:paraId="409AC9B1" w14:textId="77777777" w:rsidR="003543D7" w:rsidRPr="003543D7" w:rsidRDefault="003543D7" w:rsidP="004D3735">
            <w:pPr>
              <w:spacing w:line="276" w:lineRule="auto"/>
              <w:rPr>
                <w:rFonts w:ascii="Times New Roman" w:hAnsi="Times New Roman" w:cs="Times New Roman"/>
                <w:sz w:val="20"/>
                <w:szCs w:val="20"/>
              </w:rPr>
            </w:pPr>
            <w:r w:rsidRPr="003543D7">
              <w:rPr>
                <w:rFonts w:ascii="Times New Roman" w:hAnsi="Times New Roman" w:cs="Times New Roman"/>
                <w:sz w:val="20"/>
                <w:szCs w:val="20"/>
              </w:rPr>
              <w:t>It transfers saturated fatty acids (such as palmitic and stearic acids) to the sn-1 position of glycerol-3-phosphate</w:t>
            </w:r>
          </w:p>
        </w:tc>
        <w:tc>
          <w:tcPr>
            <w:tcW w:w="2697" w:type="dxa"/>
            <w:tcBorders>
              <w:top w:val="single" w:sz="2" w:space="0" w:color="auto"/>
              <w:bottom w:val="single" w:sz="8" w:space="0" w:color="auto"/>
            </w:tcBorders>
          </w:tcPr>
          <w:p w14:paraId="0D38612C" w14:textId="77777777" w:rsidR="003543D7" w:rsidRPr="003543D7" w:rsidRDefault="003543D7" w:rsidP="004D3735">
            <w:pPr>
              <w:spacing w:line="276" w:lineRule="auto"/>
              <w:rPr>
                <w:rFonts w:ascii="Times New Roman" w:hAnsi="Times New Roman" w:cs="Times New Roman"/>
                <w:sz w:val="20"/>
                <w:szCs w:val="20"/>
              </w:rPr>
            </w:pPr>
            <w:proofErr w:type="spellStart"/>
            <w:r w:rsidRPr="003543D7">
              <w:rPr>
                <w:rFonts w:ascii="Times New Roman" w:hAnsi="Times New Roman" w:cs="Times New Roman"/>
                <w:sz w:val="20"/>
                <w:szCs w:val="20"/>
              </w:rPr>
              <w:t>Glycerolipids</w:t>
            </w:r>
            <w:proofErr w:type="spellEnd"/>
          </w:p>
        </w:tc>
      </w:tr>
    </w:tbl>
    <w:p w14:paraId="2F0F9DF0" w14:textId="77777777" w:rsidR="003543D7" w:rsidRPr="003543D7" w:rsidRDefault="003543D7" w:rsidP="003543D7">
      <w:pPr>
        <w:spacing w:after="0" w:line="276" w:lineRule="auto"/>
        <w:rPr>
          <w:rFonts w:ascii="Times New Roman" w:hAnsi="Times New Roman" w:cs="Times New Roman"/>
          <w:sz w:val="24"/>
          <w:szCs w:val="24"/>
        </w:rPr>
      </w:pPr>
    </w:p>
    <w:p w14:paraId="052ABA90" w14:textId="77777777" w:rsidR="003543D7" w:rsidRPr="003543D7" w:rsidRDefault="003543D7" w:rsidP="003543D7">
      <w:pPr>
        <w:pStyle w:val="ListParagraph"/>
        <w:spacing w:line="360" w:lineRule="auto"/>
        <w:ind w:left="426" w:firstLine="283"/>
        <w:rPr>
          <w:rFonts w:ascii="Times New Roman" w:hAnsi="Times New Roman" w:cs="Times New Roman"/>
          <w:sz w:val="24"/>
          <w:szCs w:val="24"/>
        </w:rPr>
      </w:pPr>
      <w:r w:rsidRPr="003543D7">
        <w:rPr>
          <w:rFonts w:ascii="Times New Roman" w:hAnsi="Times New Roman" w:cs="Times New Roman"/>
          <w:sz w:val="24"/>
          <w:szCs w:val="24"/>
        </w:rPr>
        <w:t xml:space="preserve">In summary, after treating </w:t>
      </w:r>
      <w:proofErr w:type="spellStart"/>
      <w:r w:rsidRPr="003543D7">
        <w:rPr>
          <w:rFonts w:ascii="Times New Roman" w:hAnsi="Times New Roman" w:cs="Times New Roman"/>
          <w:i/>
          <w:sz w:val="24"/>
          <w:szCs w:val="24"/>
        </w:rPr>
        <w:t>Wistar</w:t>
      </w:r>
      <w:proofErr w:type="spellEnd"/>
      <w:r w:rsidRPr="003543D7">
        <w:rPr>
          <w:rFonts w:ascii="Times New Roman" w:hAnsi="Times New Roman" w:cs="Times New Roman"/>
          <w:sz w:val="24"/>
          <w:szCs w:val="24"/>
        </w:rPr>
        <w:t xml:space="preserve"> rats with AASs we expected in plasma: 1) a decrease of </w:t>
      </w:r>
      <w:proofErr w:type="spellStart"/>
      <w:r w:rsidRPr="003543D7">
        <w:rPr>
          <w:rFonts w:ascii="Times New Roman" w:hAnsi="Times New Roman" w:cs="Times New Roman"/>
          <w:sz w:val="24"/>
          <w:szCs w:val="24"/>
        </w:rPr>
        <w:t>triacylgycerides</w:t>
      </w:r>
      <w:proofErr w:type="spellEnd"/>
      <w:r w:rsidRPr="003543D7">
        <w:rPr>
          <w:rFonts w:ascii="Times New Roman" w:hAnsi="Times New Roman" w:cs="Times New Roman"/>
          <w:sz w:val="24"/>
          <w:szCs w:val="24"/>
        </w:rPr>
        <w:t xml:space="preserve"> and </w:t>
      </w:r>
      <w:proofErr w:type="spellStart"/>
      <w:r w:rsidRPr="003543D7">
        <w:rPr>
          <w:rFonts w:ascii="Times New Roman" w:hAnsi="Times New Roman" w:cs="Times New Roman"/>
          <w:sz w:val="24"/>
          <w:szCs w:val="24"/>
        </w:rPr>
        <w:t>glycerophospholipids</w:t>
      </w:r>
      <w:proofErr w:type="spellEnd"/>
      <w:r w:rsidRPr="003543D7">
        <w:rPr>
          <w:rFonts w:ascii="Times New Roman" w:hAnsi="Times New Roman" w:cs="Times New Roman"/>
          <w:sz w:val="24"/>
          <w:szCs w:val="24"/>
        </w:rPr>
        <w:t xml:space="preserve"> with palmitic, </w:t>
      </w:r>
      <w:proofErr w:type="spellStart"/>
      <w:r w:rsidRPr="003543D7">
        <w:rPr>
          <w:rFonts w:ascii="Times New Roman" w:hAnsi="Times New Roman" w:cs="Times New Roman"/>
          <w:sz w:val="24"/>
          <w:szCs w:val="24"/>
        </w:rPr>
        <w:t>palmitoleic</w:t>
      </w:r>
      <w:proofErr w:type="spellEnd"/>
      <w:r w:rsidRPr="003543D7">
        <w:rPr>
          <w:rFonts w:ascii="Times New Roman" w:hAnsi="Times New Roman" w:cs="Times New Roman"/>
          <w:sz w:val="24"/>
          <w:szCs w:val="24"/>
        </w:rPr>
        <w:t>, stearic, and oleic acids; and 2) a decrease of sphingolipids.</w:t>
      </w:r>
    </w:p>
    <w:p w14:paraId="500DC9C7" w14:textId="77777777" w:rsidR="003543D7" w:rsidRPr="003543D7" w:rsidRDefault="003543D7" w:rsidP="00770E20">
      <w:pPr>
        <w:jc w:val="center"/>
        <w:rPr>
          <w:rFonts w:ascii="Times New Roman" w:hAnsi="Times New Roman" w:cs="Times New Roman"/>
          <w:b/>
        </w:rPr>
      </w:pPr>
    </w:p>
    <w:p w14:paraId="51E16E07" w14:textId="77777777" w:rsidR="003543D7" w:rsidRPr="003543D7" w:rsidRDefault="003543D7" w:rsidP="00770E20">
      <w:pPr>
        <w:jc w:val="center"/>
        <w:rPr>
          <w:rFonts w:ascii="Times New Roman" w:hAnsi="Times New Roman" w:cs="Times New Roman"/>
          <w:b/>
        </w:rPr>
      </w:pPr>
    </w:p>
    <w:p w14:paraId="7F5DEE60" w14:textId="3C02C8E3" w:rsidR="00633FCC" w:rsidRPr="003543D7" w:rsidRDefault="00AC0686" w:rsidP="00770E20">
      <w:pPr>
        <w:jc w:val="center"/>
        <w:rPr>
          <w:rFonts w:ascii="Times New Roman" w:hAnsi="Times New Roman" w:cs="Times New Roman"/>
          <w:b/>
        </w:rPr>
      </w:pPr>
      <w:r w:rsidRPr="003543D7">
        <w:rPr>
          <w:rFonts w:ascii="Times New Roman" w:hAnsi="Times New Roman" w:cs="Times New Roman"/>
          <w:noProof/>
        </w:rPr>
        <w:drawing>
          <wp:inline distT="0" distB="0" distL="0" distR="0" wp14:anchorId="7A2E52CB" wp14:editId="4E355E06">
            <wp:extent cx="3600000" cy="410760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00000" cy="4107600"/>
                    </a:xfrm>
                    <a:prstGeom prst="rect">
                      <a:avLst/>
                    </a:prstGeom>
                  </pic:spPr>
                </pic:pic>
              </a:graphicData>
            </a:graphic>
          </wp:inline>
        </w:drawing>
      </w:r>
    </w:p>
    <w:p w14:paraId="4ECE4AE1" w14:textId="35EB640A" w:rsidR="00AC0686" w:rsidRPr="003543D7" w:rsidRDefault="00AC0686" w:rsidP="00AC0686">
      <w:pPr>
        <w:rPr>
          <w:rFonts w:ascii="Times New Roman" w:hAnsi="Times New Roman" w:cs="Times New Roman"/>
          <w:b/>
        </w:rPr>
      </w:pPr>
      <w:r w:rsidRPr="003543D7">
        <w:rPr>
          <w:rFonts w:ascii="Times New Roman" w:hAnsi="Times New Roman" w:cs="Times New Roman"/>
          <w:b/>
        </w:rPr>
        <w:t xml:space="preserve">Figure </w:t>
      </w:r>
      <w:r w:rsidR="003543D7" w:rsidRPr="003543D7">
        <w:rPr>
          <w:rFonts w:ascii="Times New Roman" w:hAnsi="Times New Roman" w:cs="Times New Roman"/>
          <w:b/>
        </w:rPr>
        <w:t>S</w:t>
      </w:r>
      <w:r w:rsidR="00397618" w:rsidRPr="003543D7">
        <w:rPr>
          <w:rFonts w:ascii="Times New Roman" w:hAnsi="Times New Roman" w:cs="Times New Roman"/>
          <w:b/>
        </w:rPr>
        <w:t>.</w:t>
      </w:r>
      <w:r w:rsidRPr="003543D7">
        <w:rPr>
          <w:rFonts w:ascii="Times New Roman" w:hAnsi="Times New Roman" w:cs="Times New Roman"/>
          <w:b/>
        </w:rPr>
        <w:t>1. Relationship between androgens and lipogenesis</w:t>
      </w:r>
      <w:r w:rsidR="00C70F0B">
        <w:rPr>
          <w:rFonts w:ascii="Times New Roman" w:hAnsi="Times New Roman" w:cs="Times New Roman"/>
          <w:b/>
        </w:rPr>
        <w:t xml:space="preserve"> according to enzyme regulation and </w:t>
      </w:r>
      <w:r w:rsidRPr="003543D7">
        <w:rPr>
          <w:rFonts w:ascii="Times New Roman" w:hAnsi="Times New Roman" w:cs="Times New Roman"/>
          <w:b/>
        </w:rPr>
        <w:t xml:space="preserve">selectivity in </w:t>
      </w:r>
      <w:r w:rsidR="00C70F0B">
        <w:rPr>
          <w:rFonts w:ascii="Times New Roman" w:hAnsi="Times New Roman" w:cs="Times New Roman"/>
          <w:b/>
        </w:rPr>
        <w:t>the LXR pathway</w:t>
      </w:r>
      <w:r w:rsidR="00C65F1D">
        <w:rPr>
          <w:rFonts w:ascii="Times New Roman" w:hAnsi="Times New Roman" w:cs="Times New Roman"/>
          <w:b/>
        </w:rPr>
        <w:t xml:space="preserve"> in the light of previous research</w:t>
      </w:r>
      <w:bookmarkStart w:id="0" w:name="_GoBack"/>
      <w:bookmarkEnd w:id="0"/>
    </w:p>
    <w:p w14:paraId="662C7304" w14:textId="12CE2AF0" w:rsidR="003543D7" w:rsidRPr="003543D7" w:rsidRDefault="003543D7" w:rsidP="003543D7">
      <w:pPr>
        <w:rPr>
          <w:rFonts w:ascii="Times New Roman" w:hAnsi="Times New Roman" w:cs="Times New Roman"/>
          <w:b/>
        </w:rPr>
      </w:pPr>
    </w:p>
    <w:p w14:paraId="0A51EE2A" w14:textId="370AC9EB" w:rsidR="003543D7" w:rsidRPr="003543D7" w:rsidRDefault="003543D7" w:rsidP="003543D7">
      <w:pPr>
        <w:rPr>
          <w:rFonts w:ascii="Times New Roman" w:hAnsi="Times New Roman" w:cs="Times New Roman"/>
          <w:b/>
        </w:rPr>
      </w:pPr>
      <w:r w:rsidRPr="003543D7">
        <w:rPr>
          <w:rFonts w:ascii="Times New Roman" w:hAnsi="Times New Roman" w:cs="Times New Roman"/>
          <w:b/>
        </w:rPr>
        <w:t>References</w:t>
      </w:r>
    </w:p>
    <w:p w14:paraId="59DC7407"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fldChar w:fldCharType="begin"/>
      </w:r>
      <w:r w:rsidRPr="003543D7">
        <w:rPr>
          <w:rFonts w:ascii="Times New Roman" w:hAnsi="Times New Roman" w:cs="Times New Roman"/>
        </w:rPr>
        <w:instrText xml:space="preserve"> ADDIN ZOTERO_BIBL {"uncited":[],"omitted":[],"custom":[]} CSL_BIBLIOGRAPHY </w:instrText>
      </w:r>
      <w:r w:rsidRPr="003543D7">
        <w:rPr>
          <w:rFonts w:ascii="Times New Roman" w:hAnsi="Times New Roman" w:cs="Times New Roman"/>
        </w:rPr>
        <w:fldChar w:fldCharType="separate"/>
      </w:r>
      <w:r w:rsidRPr="003543D7">
        <w:rPr>
          <w:rFonts w:ascii="Times New Roman" w:hAnsi="Times New Roman" w:cs="Times New Roman"/>
        </w:rPr>
        <w:t xml:space="preserve">Choi, S. H., &amp; Ginsberg, H. N. (2011). Increased very low density lipoprotein (VLDL) secretion, hepatic steatosis, and insulin resistance. </w:t>
      </w:r>
      <w:r w:rsidRPr="003543D7">
        <w:rPr>
          <w:rFonts w:ascii="Times New Roman" w:hAnsi="Times New Roman" w:cs="Times New Roman"/>
          <w:i/>
          <w:iCs/>
        </w:rPr>
        <w:t>Trends in endocrinology and metabolism</w:t>
      </w:r>
      <w:r w:rsidRPr="003543D7">
        <w:rPr>
          <w:rFonts w:ascii="Times New Roman" w:hAnsi="Times New Roman" w:cs="Times New Roman"/>
        </w:rPr>
        <w:t xml:space="preserve">, </w:t>
      </w:r>
      <w:r w:rsidRPr="003543D7">
        <w:rPr>
          <w:rFonts w:ascii="Times New Roman" w:hAnsi="Times New Roman" w:cs="Times New Roman"/>
          <w:i/>
          <w:iCs/>
        </w:rPr>
        <w:t>22</w:t>
      </w:r>
      <w:r w:rsidRPr="003543D7">
        <w:rPr>
          <w:rFonts w:ascii="Times New Roman" w:hAnsi="Times New Roman" w:cs="Times New Roman"/>
        </w:rPr>
        <w:t>(9), 353–363. https://doi.org/10.1016/j.tem.2011.04.007</w:t>
      </w:r>
    </w:p>
    <w:p w14:paraId="795C0DFA"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Cowart, L. A., &amp; Hannun, Y. A. (2007). Selective substrate supply in the regulation of yeast de novo sphingolipid synthesis. </w:t>
      </w:r>
      <w:r w:rsidRPr="003543D7">
        <w:rPr>
          <w:rFonts w:ascii="Times New Roman" w:hAnsi="Times New Roman" w:cs="Times New Roman"/>
          <w:i/>
          <w:iCs/>
        </w:rPr>
        <w:t>The Journal of Biological Chemistry</w:t>
      </w:r>
      <w:r w:rsidRPr="003543D7">
        <w:rPr>
          <w:rFonts w:ascii="Times New Roman" w:hAnsi="Times New Roman" w:cs="Times New Roman"/>
        </w:rPr>
        <w:t xml:space="preserve">, </w:t>
      </w:r>
      <w:r w:rsidRPr="003543D7">
        <w:rPr>
          <w:rFonts w:ascii="Times New Roman" w:hAnsi="Times New Roman" w:cs="Times New Roman"/>
          <w:i/>
          <w:iCs/>
        </w:rPr>
        <w:t>282</w:t>
      </w:r>
      <w:r w:rsidRPr="003543D7">
        <w:rPr>
          <w:rFonts w:ascii="Times New Roman" w:hAnsi="Times New Roman" w:cs="Times New Roman"/>
        </w:rPr>
        <w:t>(16), 12330–12340. https://doi.org/10.1074/jbc.M700685200</w:t>
      </w:r>
    </w:p>
    <w:p w14:paraId="5B911D10"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Harayama, T., &amp; Riezman, H. (2018). Understanding the diversity of membrane lipid composition. </w:t>
      </w:r>
      <w:r w:rsidRPr="003543D7">
        <w:rPr>
          <w:rFonts w:ascii="Times New Roman" w:hAnsi="Times New Roman" w:cs="Times New Roman"/>
          <w:i/>
          <w:iCs/>
        </w:rPr>
        <w:t>Nature Reviews. Molecular Cell Biology</w:t>
      </w:r>
      <w:r w:rsidRPr="003543D7">
        <w:rPr>
          <w:rFonts w:ascii="Times New Roman" w:hAnsi="Times New Roman" w:cs="Times New Roman"/>
        </w:rPr>
        <w:t xml:space="preserve">, </w:t>
      </w:r>
      <w:r w:rsidRPr="003543D7">
        <w:rPr>
          <w:rFonts w:ascii="Times New Roman" w:hAnsi="Times New Roman" w:cs="Times New Roman"/>
          <w:i/>
          <w:iCs/>
        </w:rPr>
        <w:t>19</w:t>
      </w:r>
      <w:r w:rsidRPr="003543D7">
        <w:rPr>
          <w:rFonts w:ascii="Times New Roman" w:hAnsi="Times New Roman" w:cs="Times New Roman"/>
        </w:rPr>
        <w:t>(5), 281–296. https://doi.org/10.1038/nrm.2017.138</w:t>
      </w:r>
    </w:p>
    <w:p w14:paraId="6914E8B8"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lastRenderedPageBreak/>
        <w:t xml:space="preserve">Krycer, J. R., &amp; Brown, A. J. (2011). Cross-talk between the androgen receptor and the liver X receptor: implications for cholesterol homeostasis. </w:t>
      </w:r>
      <w:r w:rsidRPr="003543D7">
        <w:rPr>
          <w:rFonts w:ascii="Times New Roman" w:hAnsi="Times New Roman" w:cs="Times New Roman"/>
          <w:i/>
          <w:iCs/>
        </w:rPr>
        <w:t>The Journal of Biological Chemistry</w:t>
      </w:r>
      <w:r w:rsidRPr="003543D7">
        <w:rPr>
          <w:rFonts w:ascii="Times New Roman" w:hAnsi="Times New Roman" w:cs="Times New Roman"/>
        </w:rPr>
        <w:t xml:space="preserve">, </w:t>
      </w:r>
      <w:r w:rsidRPr="003543D7">
        <w:rPr>
          <w:rFonts w:ascii="Times New Roman" w:hAnsi="Times New Roman" w:cs="Times New Roman"/>
          <w:i/>
          <w:iCs/>
        </w:rPr>
        <w:t>286</w:t>
      </w:r>
      <w:r w:rsidRPr="003543D7">
        <w:rPr>
          <w:rFonts w:ascii="Times New Roman" w:hAnsi="Times New Roman" w:cs="Times New Roman"/>
        </w:rPr>
        <w:t>(23), 20637–20647. https://doi.org/10.1074/jbc.M111.227082</w:t>
      </w:r>
    </w:p>
    <w:p w14:paraId="6230C8FD"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Mathews, C. K., &amp; Mathews-Van Holde-Appling-Anthony-Cahill (Eds.). (2013). </w:t>
      </w:r>
      <w:r w:rsidRPr="003543D7">
        <w:rPr>
          <w:rFonts w:ascii="Times New Roman" w:hAnsi="Times New Roman" w:cs="Times New Roman"/>
          <w:i/>
          <w:iCs/>
        </w:rPr>
        <w:t>Biochemistry</w:t>
      </w:r>
      <w:r w:rsidRPr="003543D7">
        <w:rPr>
          <w:rFonts w:ascii="Times New Roman" w:hAnsi="Times New Roman" w:cs="Times New Roman"/>
        </w:rPr>
        <w:t xml:space="preserve"> (4. ed.). Toronto: Pearson.</w:t>
      </w:r>
    </w:p>
    <w:p w14:paraId="049B6C34"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Mauvais-Jarvis, F. (2011). Estrogen and androgen receptors: regulators of fuel homeostasis and emerging targets for diabetes and obesity. </w:t>
      </w:r>
      <w:r w:rsidRPr="003543D7">
        <w:rPr>
          <w:rFonts w:ascii="Times New Roman" w:hAnsi="Times New Roman" w:cs="Times New Roman"/>
          <w:i/>
          <w:iCs/>
        </w:rPr>
        <w:t>Trends in endocrinology and metabolism</w:t>
      </w:r>
      <w:r w:rsidRPr="003543D7">
        <w:rPr>
          <w:rFonts w:ascii="Times New Roman" w:hAnsi="Times New Roman" w:cs="Times New Roman"/>
        </w:rPr>
        <w:t xml:space="preserve">, </w:t>
      </w:r>
      <w:r w:rsidRPr="003543D7">
        <w:rPr>
          <w:rFonts w:ascii="Times New Roman" w:hAnsi="Times New Roman" w:cs="Times New Roman"/>
          <w:i/>
          <w:iCs/>
        </w:rPr>
        <w:t>22</w:t>
      </w:r>
      <w:r w:rsidRPr="003543D7">
        <w:rPr>
          <w:rFonts w:ascii="Times New Roman" w:hAnsi="Times New Roman" w:cs="Times New Roman"/>
        </w:rPr>
        <w:t>(1), 24–33. https://doi.org/10.1016/j.tem.2010.10.002</w:t>
      </w:r>
    </w:p>
    <w:p w14:paraId="5992B5A5"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Mauvoisin, D., &amp; Mounier, C. (2011). Hormonal and nutritional regulation of SCD1 gene expression. </w:t>
      </w:r>
      <w:r w:rsidRPr="003543D7">
        <w:rPr>
          <w:rFonts w:ascii="Times New Roman" w:hAnsi="Times New Roman" w:cs="Times New Roman"/>
          <w:i/>
          <w:iCs/>
        </w:rPr>
        <w:t>Biochimie</w:t>
      </w:r>
      <w:r w:rsidRPr="003543D7">
        <w:rPr>
          <w:rFonts w:ascii="Times New Roman" w:hAnsi="Times New Roman" w:cs="Times New Roman"/>
        </w:rPr>
        <w:t xml:space="preserve">, </w:t>
      </w:r>
      <w:r w:rsidRPr="003543D7">
        <w:rPr>
          <w:rFonts w:ascii="Times New Roman" w:hAnsi="Times New Roman" w:cs="Times New Roman"/>
          <w:i/>
          <w:iCs/>
        </w:rPr>
        <w:t>93</w:t>
      </w:r>
      <w:r w:rsidRPr="003543D7">
        <w:rPr>
          <w:rFonts w:ascii="Times New Roman" w:hAnsi="Times New Roman" w:cs="Times New Roman"/>
        </w:rPr>
        <w:t>(1), 78–86. https://doi.org/10.1016/j.biochi.2010.08.001</w:t>
      </w:r>
    </w:p>
    <w:p w14:paraId="6C4F61F7"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Monroy, G., Rola, F. H., &amp; Pullman, M. E. (1972). A substrate- and position-specific acylation of sn-glycerol 3-phosphate by rat liver mitochondria. </w:t>
      </w:r>
      <w:r w:rsidRPr="003543D7">
        <w:rPr>
          <w:rFonts w:ascii="Times New Roman" w:hAnsi="Times New Roman" w:cs="Times New Roman"/>
          <w:i/>
          <w:iCs/>
        </w:rPr>
        <w:t>The Journal of Biological Chemistry</w:t>
      </w:r>
      <w:r w:rsidRPr="003543D7">
        <w:rPr>
          <w:rFonts w:ascii="Times New Roman" w:hAnsi="Times New Roman" w:cs="Times New Roman"/>
        </w:rPr>
        <w:t xml:space="preserve">, </w:t>
      </w:r>
      <w:r w:rsidRPr="003543D7">
        <w:rPr>
          <w:rFonts w:ascii="Times New Roman" w:hAnsi="Times New Roman" w:cs="Times New Roman"/>
          <w:i/>
          <w:iCs/>
        </w:rPr>
        <w:t>247</w:t>
      </w:r>
      <w:r w:rsidRPr="003543D7">
        <w:rPr>
          <w:rFonts w:ascii="Times New Roman" w:hAnsi="Times New Roman" w:cs="Times New Roman"/>
        </w:rPr>
        <w:t>(21), 6884–6894.</w:t>
      </w:r>
    </w:p>
    <w:p w14:paraId="3C6E3791"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Smith, S., Witkowski, A., &amp; Joshi, A. K. (2003). Structural and functional organization of the animal fatty acid synthase. </w:t>
      </w:r>
      <w:r w:rsidRPr="003543D7">
        <w:rPr>
          <w:rFonts w:ascii="Times New Roman" w:hAnsi="Times New Roman" w:cs="Times New Roman"/>
          <w:i/>
          <w:iCs/>
        </w:rPr>
        <w:t>Progress in Lipid Research</w:t>
      </w:r>
      <w:r w:rsidRPr="003543D7">
        <w:rPr>
          <w:rFonts w:ascii="Times New Roman" w:hAnsi="Times New Roman" w:cs="Times New Roman"/>
        </w:rPr>
        <w:t xml:space="preserve">, </w:t>
      </w:r>
      <w:r w:rsidRPr="003543D7">
        <w:rPr>
          <w:rFonts w:ascii="Times New Roman" w:hAnsi="Times New Roman" w:cs="Times New Roman"/>
          <w:i/>
          <w:iCs/>
        </w:rPr>
        <w:t>42</w:t>
      </w:r>
      <w:r w:rsidRPr="003543D7">
        <w:rPr>
          <w:rFonts w:ascii="Times New Roman" w:hAnsi="Times New Roman" w:cs="Times New Roman"/>
        </w:rPr>
        <w:t>(4), 289–317. https://doi.org/10.1016/S0163-7827(02)00067-X</w:t>
      </w:r>
    </w:p>
    <w:p w14:paraId="6B5692CF" w14:textId="77777777" w:rsidR="003543D7" w:rsidRPr="003543D7" w:rsidRDefault="003543D7" w:rsidP="003543D7">
      <w:pPr>
        <w:pStyle w:val="Bibliography"/>
        <w:rPr>
          <w:rFonts w:ascii="Times New Roman" w:hAnsi="Times New Roman" w:cs="Times New Roman"/>
          <w:lang w:val="es-ES"/>
        </w:rPr>
      </w:pPr>
      <w:r w:rsidRPr="003543D7">
        <w:rPr>
          <w:rFonts w:ascii="Times New Roman" w:hAnsi="Times New Roman" w:cs="Times New Roman"/>
        </w:rPr>
        <w:t xml:space="preserve">Tijburg, L. B., Geelen, M. J., &amp; van Golde, L. M. (1989). Regulation of the biosynthesis of triacylglycerol, phosphatidylcholine and phosphatidylethanolamine in the liver. </w:t>
      </w:r>
      <w:r w:rsidRPr="003543D7">
        <w:rPr>
          <w:rFonts w:ascii="Times New Roman" w:hAnsi="Times New Roman" w:cs="Times New Roman"/>
          <w:i/>
          <w:iCs/>
          <w:lang w:val="es-ES"/>
        </w:rPr>
        <w:t>Biochimica Et Biophysica Acta</w:t>
      </w:r>
      <w:r w:rsidRPr="003543D7">
        <w:rPr>
          <w:rFonts w:ascii="Times New Roman" w:hAnsi="Times New Roman" w:cs="Times New Roman"/>
          <w:lang w:val="es-ES"/>
        </w:rPr>
        <w:t xml:space="preserve">, </w:t>
      </w:r>
      <w:r w:rsidRPr="003543D7">
        <w:rPr>
          <w:rFonts w:ascii="Times New Roman" w:hAnsi="Times New Roman" w:cs="Times New Roman"/>
          <w:i/>
          <w:iCs/>
          <w:lang w:val="es-ES"/>
        </w:rPr>
        <w:t>1004</w:t>
      </w:r>
      <w:r w:rsidRPr="003543D7">
        <w:rPr>
          <w:rFonts w:ascii="Times New Roman" w:hAnsi="Times New Roman" w:cs="Times New Roman"/>
          <w:lang w:val="es-ES"/>
        </w:rPr>
        <w:t>(1), 1–19. https://doi.org/10.1016/0005-2760(89)90206-3</w:t>
      </w:r>
    </w:p>
    <w:p w14:paraId="734B06EF"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lang w:val="es-ES"/>
        </w:rPr>
        <w:t xml:space="preserve">Wang, B., &amp; Tontonoz, P. (2018). </w:t>
      </w:r>
      <w:r w:rsidRPr="003543D7">
        <w:rPr>
          <w:rFonts w:ascii="Times New Roman" w:hAnsi="Times New Roman" w:cs="Times New Roman"/>
        </w:rPr>
        <w:t xml:space="preserve">Liver X receptors in lipid signalling and membrane homeostasis. </w:t>
      </w:r>
      <w:r w:rsidRPr="003543D7">
        <w:rPr>
          <w:rFonts w:ascii="Times New Roman" w:hAnsi="Times New Roman" w:cs="Times New Roman"/>
          <w:i/>
          <w:iCs/>
        </w:rPr>
        <w:t>Nature Reviews. Endocrinology</w:t>
      </w:r>
      <w:r w:rsidRPr="003543D7">
        <w:rPr>
          <w:rFonts w:ascii="Times New Roman" w:hAnsi="Times New Roman" w:cs="Times New Roman"/>
        </w:rPr>
        <w:t xml:space="preserve">, </w:t>
      </w:r>
      <w:r w:rsidRPr="003543D7">
        <w:rPr>
          <w:rFonts w:ascii="Times New Roman" w:hAnsi="Times New Roman" w:cs="Times New Roman"/>
          <w:i/>
          <w:iCs/>
        </w:rPr>
        <w:t>14</w:t>
      </w:r>
      <w:r w:rsidRPr="003543D7">
        <w:rPr>
          <w:rFonts w:ascii="Times New Roman" w:hAnsi="Times New Roman" w:cs="Times New Roman"/>
        </w:rPr>
        <w:t>(8), 452–463. https://doi.org/10.1038/s41574-018-0037-x</w:t>
      </w:r>
    </w:p>
    <w:p w14:paraId="2055E2DB" w14:textId="77777777" w:rsidR="003543D7" w:rsidRPr="003543D7" w:rsidRDefault="003543D7" w:rsidP="003543D7">
      <w:pPr>
        <w:pStyle w:val="Bibliography"/>
        <w:rPr>
          <w:rFonts w:ascii="Times New Roman" w:hAnsi="Times New Roman" w:cs="Times New Roman"/>
        </w:rPr>
      </w:pPr>
      <w:r w:rsidRPr="003543D7">
        <w:rPr>
          <w:rFonts w:ascii="Times New Roman" w:hAnsi="Times New Roman" w:cs="Times New Roman"/>
        </w:rPr>
        <w:t xml:space="preserve">Yu, J., Loh, K., Song, Z.-Y., Yang, H.-Q., Zhang, Y., &amp; Lin, S. (2018). Update on glycerol-3-phosphate acyltransferases: the roles in the development of insulin resistance. </w:t>
      </w:r>
      <w:r w:rsidRPr="003543D7">
        <w:rPr>
          <w:rFonts w:ascii="Times New Roman" w:hAnsi="Times New Roman" w:cs="Times New Roman"/>
          <w:i/>
          <w:iCs/>
        </w:rPr>
        <w:t>Nutrition &amp; Diabetes</w:t>
      </w:r>
      <w:r w:rsidRPr="003543D7">
        <w:rPr>
          <w:rFonts w:ascii="Times New Roman" w:hAnsi="Times New Roman" w:cs="Times New Roman"/>
        </w:rPr>
        <w:t xml:space="preserve">, </w:t>
      </w:r>
      <w:r w:rsidRPr="003543D7">
        <w:rPr>
          <w:rFonts w:ascii="Times New Roman" w:hAnsi="Times New Roman" w:cs="Times New Roman"/>
          <w:i/>
          <w:iCs/>
        </w:rPr>
        <w:t>8</w:t>
      </w:r>
      <w:r w:rsidRPr="003543D7">
        <w:rPr>
          <w:rFonts w:ascii="Times New Roman" w:hAnsi="Times New Roman" w:cs="Times New Roman"/>
        </w:rPr>
        <w:t>(1), 34. https://doi.org/10.1038/s41387-018-0045-x</w:t>
      </w:r>
    </w:p>
    <w:p w14:paraId="33F0FC10" w14:textId="28724D5A" w:rsidR="003543D7" w:rsidRPr="003543D7" w:rsidRDefault="003543D7" w:rsidP="003543D7">
      <w:pPr>
        <w:rPr>
          <w:rFonts w:ascii="Times New Roman" w:hAnsi="Times New Roman" w:cs="Times New Roman"/>
        </w:rPr>
      </w:pPr>
      <w:r w:rsidRPr="003543D7">
        <w:rPr>
          <w:rFonts w:ascii="Times New Roman" w:hAnsi="Times New Roman" w:cs="Times New Roman"/>
        </w:rPr>
        <w:fldChar w:fldCharType="end"/>
      </w:r>
    </w:p>
    <w:sectPr w:rsidR="003543D7" w:rsidRPr="003543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8"/>
    <w:rsid w:val="00103B7D"/>
    <w:rsid w:val="001829E8"/>
    <w:rsid w:val="00261014"/>
    <w:rsid w:val="003543D7"/>
    <w:rsid w:val="00397618"/>
    <w:rsid w:val="005B5300"/>
    <w:rsid w:val="00633FCC"/>
    <w:rsid w:val="00641BC3"/>
    <w:rsid w:val="006727D7"/>
    <w:rsid w:val="00770E20"/>
    <w:rsid w:val="00954BC4"/>
    <w:rsid w:val="00964ADC"/>
    <w:rsid w:val="00AC0686"/>
    <w:rsid w:val="00C65F1D"/>
    <w:rsid w:val="00C70F0B"/>
    <w:rsid w:val="00E4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0A239"/>
  <w15:chartTrackingRefBased/>
  <w15:docId w15:val="{EF07F9A9-7F09-4A0C-9E21-FC216D705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1BC3"/>
    <w:rPr>
      <w:sz w:val="16"/>
      <w:szCs w:val="16"/>
    </w:rPr>
  </w:style>
  <w:style w:type="paragraph" w:styleId="CommentText">
    <w:name w:val="annotation text"/>
    <w:basedOn w:val="Normal"/>
    <w:link w:val="CommentTextChar"/>
    <w:uiPriority w:val="99"/>
    <w:semiHidden/>
    <w:unhideWhenUsed/>
    <w:rsid w:val="00641BC3"/>
    <w:pPr>
      <w:spacing w:line="240" w:lineRule="auto"/>
    </w:pPr>
    <w:rPr>
      <w:sz w:val="20"/>
      <w:szCs w:val="20"/>
    </w:rPr>
  </w:style>
  <w:style w:type="character" w:customStyle="1" w:styleId="CommentTextChar">
    <w:name w:val="Comment Text Char"/>
    <w:basedOn w:val="DefaultParagraphFont"/>
    <w:link w:val="CommentText"/>
    <w:uiPriority w:val="99"/>
    <w:semiHidden/>
    <w:rsid w:val="00641BC3"/>
    <w:rPr>
      <w:sz w:val="20"/>
      <w:szCs w:val="20"/>
    </w:rPr>
  </w:style>
  <w:style w:type="paragraph" w:styleId="CommentSubject">
    <w:name w:val="annotation subject"/>
    <w:basedOn w:val="CommentText"/>
    <w:next w:val="CommentText"/>
    <w:link w:val="CommentSubjectChar"/>
    <w:uiPriority w:val="99"/>
    <w:semiHidden/>
    <w:unhideWhenUsed/>
    <w:rsid w:val="00641BC3"/>
    <w:rPr>
      <w:b/>
      <w:bCs/>
    </w:rPr>
  </w:style>
  <w:style w:type="character" w:customStyle="1" w:styleId="CommentSubjectChar">
    <w:name w:val="Comment Subject Char"/>
    <w:basedOn w:val="CommentTextChar"/>
    <w:link w:val="CommentSubject"/>
    <w:uiPriority w:val="99"/>
    <w:semiHidden/>
    <w:rsid w:val="00641BC3"/>
    <w:rPr>
      <w:b/>
      <w:bCs/>
      <w:sz w:val="20"/>
      <w:szCs w:val="20"/>
    </w:rPr>
  </w:style>
  <w:style w:type="paragraph" w:styleId="BalloonText">
    <w:name w:val="Balloon Text"/>
    <w:basedOn w:val="Normal"/>
    <w:link w:val="BalloonTextChar"/>
    <w:uiPriority w:val="99"/>
    <w:semiHidden/>
    <w:unhideWhenUsed/>
    <w:rsid w:val="00641B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BC3"/>
    <w:rPr>
      <w:rFonts w:ascii="Segoe UI" w:hAnsi="Segoe UI" w:cs="Segoe UI"/>
      <w:sz w:val="18"/>
      <w:szCs w:val="18"/>
    </w:rPr>
  </w:style>
  <w:style w:type="paragraph" w:styleId="ListParagraph">
    <w:name w:val="List Paragraph"/>
    <w:basedOn w:val="Normal"/>
    <w:uiPriority w:val="34"/>
    <w:qFormat/>
    <w:rsid w:val="003543D7"/>
    <w:pPr>
      <w:ind w:left="720"/>
      <w:contextualSpacing/>
    </w:pPr>
  </w:style>
  <w:style w:type="table" w:styleId="TableGrid">
    <w:name w:val="Table Grid"/>
    <w:basedOn w:val="TableNormal"/>
    <w:uiPriority w:val="39"/>
    <w:rsid w:val="00354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BAuthorName">
    <w:name w:val="BB_Author_Name"/>
    <w:basedOn w:val="Normal"/>
    <w:next w:val="Normal"/>
    <w:autoRedefine/>
    <w:rsid w:val="003543D7"/>
    <w:pPr>
      <w:spacing w:after="180" w:line="240" w:lineRule="auto"/>
    </w:pPr>
    <w:rPr>
      <w:rFonts w:ascii="Arno Pro" w:eastAsia="Times New Roman" w:hAnsi="Arno Pro" w:cs="Times New Roman"/>
      <w:kern w:val="26"/>
      <w:sz w:val="24"/>
      <w:szCs w:val="20"/>
    </w:rPr>
  </w:style>
  <w:style w:type="paragraph" w:customStyle="1" w:styleId="BCAuthorAddress">
    <w:name w:val="BC_Author_Address"/>
    <w:basedOn w:val="Normal"/>
    <w:next w:val="Normal"/>
    <w:autoRedefine/>
    <w:rsid w:val="003543D7"/>
    <w:pPr>
      <w:spacing w:after="60" w:line="240" w:lineRule="auto"/>
    </w:pPr>
    <w:rPr>
      <w:rFonts w:ascii="Arno Pro" w:eastAsia="Times New Roman" w:hAnsi="Arno Pro" w:cs="Times New Roman"/>
      <w:kern w:val="22"/>
      <w:sz w:val="20"/>
      <w:szCs w:val="20"/>
    </w:rPr>
  </w:style>
  <w:style w:type="paragraph" w:styleId="Bibliography">
    <w:name w:val="Bibliography"/>
    <w:basedOn w:val="Normal"/>
    <w:next w:val="Normal"/>
    <w:uiPriority w:val="37"/>
    <w:unhideWhenUsed/>
    <w:rsid w:val="003543D7"/>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4828</Words>
  <Characters>27521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Balgoma</dc:creator>
  <cp:lastModifiedBy>David Balgoma</cp:lastModifiedBy>
  <cp:revision>7</cp:revision>
  <cp:lastPrinted>2019-10-22T10:20:00Z</cp:lastPrinted>
  <dcterms:created xsi:type="dcterms:W3CDTF">2019-09-25T06:51:00Z</dcterms:created>
  <dcterms:modified xsi:type="dcterms:W3CDTF">2019-10-22T11:24:00Z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id="KQTA1jko"/&gt;&lt;style id="http://www.zotero.org/styles/metabolomics" hasBibliography="1" bibliographyStyleHasBeenSet="1"/&gt;&lt;prefs&gt;&lt;pref name="fieldType" value="Field"/&gt;&lt;/prefs&gt;&lt;/data&gt;</vt:lpwstr>
  </property>
</Properties>
</file>