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BF0" w:rsidRDefault="005F1BF0" w:rsidP="005F1BF0">
      <w:pPr>
        <w:tabs>
          <w:tab w:val="left" w:pos="2730"/>
        </w:tabs>
      </w:pPr>
      <w:bookmarkStart w:id="0" w:name="_GoBack"/>
      <w:r>
        <w:t xml:space="preserve">Supplemental Figure </w:t>
      </w:r>
      <w:r w:rsidR="005E557C">
        <w:t>1</w:t>
      </w:r>
      <w:r>
        <w:t xml:space="preserve">. </w:t>
      </w:r>
    </w:p>
    <w:p w:rsidR="005F1BF0" w:rsidRPr="003228D9" w:rsidRDefault="005F1BF0" w:rsidP="005F1BF0">
      <w:pPr>
        <w:pStyle w:val="NoSpacing"/>
        <w:rPr>
          <w:lang w:val="en-US"/>
        </w:rPr>
      </w:pPr>
      <w:r w:rsidRPr="003228D9">
        <w:rPr>
          <w:noProof/>
          <w:lang w:val="en-IN" w:eastAsia="en-IN"/>
        </w:rPr>
        <w:drawing>
          <wp:inline distT="0" distB="0" distL="0" distR="0" wp14:anchorId="00A41540" wp14:editId="31CFE44F">
            <wp:extent cx="5429250" cy="2695575"/>
            <wp:effectExtent l="0" t="0" r="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Start w:id="1" w:name="_Ref520371039"/>
      <w:r w:rsidRPr="00D438AD">
        <w:rPr>
          <w:b/>
          <w:sz w:val="20"/>
          <w:szCs w:val="20"/>
          <w:lang w:val="en-US"/>
        </w:rPr>
        <w:t xml:space="preserve"> </w:t>
      </w:r>
      <w:r>
        <w:rPr>
          <w:b/>
          <w:sz w:val="20"/>
          <w:szCs w:val="20"/>
          <w:lang w:val="en-US"/>
        </w:rPr>
        <w:t xml:space="preserve">Supplemental </w:t>
      </w:r>
      <w:r w:rsidRPr="003228D9">
        <w:rPr>
          <w:b/>
          <w:sz w:val="20"/>
          <w:szCs w:val="20"/>
          <w:lang w:val="en-US"/>
        </w:rPr>
        <w:t xml:space="preserve">Figure </w:t>
      </w:r>
      <w:bookmarkEnd w:id="1"/>
      <w:r w:rsidR="005E557C">
        <w:rPr>
          <w:b/>
          <w:sz w:val="20"/>
          <w:szCs w:val="20"/>
          <w:lang w:val="en-US"/>
        </w:rPr>
        <w:t>1</w:t>
      </w:r>
      <w:r w:rsidRPr="003228D9">
        <w:rPr>
          <w:b/>
          <w:sz w:val="20"/>
          <w:szCs w:val="20"/>
          <w:lang w:val="en-US"/>
        </w:rPr>
        <w:t>.</w:t>
      </w:r>
      <w:r w:rsidRPr="003228D9">
        <w:rPr>
          <w:sz w:val="20"/>
          <w:szCs w:val="20"/>
          <w:lang w:val="en-US"/>
        </w:rPr>
        <w:t xml:space="preserve"> </w:t>
      </w:r>
      <w:r w:rsidRPr="003228D9">
        <w:rPr>
          <w:i/>
          <w:sz w:val="20"/>
          <w:szCs w:val="20"/>
          <w:lang w:val="en-US"/>
        </w:rPr>
        <w:t>Influence of the injection temperature on a water and alcohol mixture.</w:t>
      </w:r>
      <w:r w:rsidRPr="003228D9">
        <w:rPr>
          <w:sz w:val="20"/>
          <w:szCs w:val="20"/>
          <w:lang w:val="en-US"/>
        </w:rPr>
        <w:t xml:space="preserve"> On the y-axis the peak area is displayed, and on the x-axis the assessed alcohols are displayed. An increase of the peak area is demonstrated for 1-</w:t>
      </w:r>
      <w:proofErr w:type="spellStart"/>
      <w:r w:rsidRPr="003228D9">
        <w:rPr>
          <w:sz w:val="20"/>
          <w:szCs w:val="20"/>
          <w:lang w:val="en-US"/>
        </w:rPr>
        <w:t>heptanol</w:t>
      </w:r>
      <w:proofErr w:type="spellEnd"/>
      <w:r w:rsidRPr="003228D9">
        <w:rPr>
          <w:sz w:val="20"/>
          <w:szCs w:val="20"/>
          <w:lang w:val="en-US"/>
        </w:rPr>
        <w:t xml:space="preserve">, </w:t>
      </w:r>
      <w:proofErr w:type="spellStart"/>
      <w:r w:rsidRPr="003228D9">
        <w:rPr>
          <w:sz w:val="20"/>
          <w:szCs w:val="20"/>
          <w:lang w:val="en-US"/>
        </w:rPr>
        <w:t>octanol</w:t>
      </w:r>
      <w:proofErr w:type="spellEnd"/>
      <w:r w:rsidRPr="003228D9">
        <w:rPr>
          <w:sz w:val="20"/>
          <w:szCs w:val="20"/>
          <w:lang w:val="en-US"/>
        </w:rPr>
        <w:t xml:space="preserve">, </w:t>
      </w:r>
      <w:proofErr w:type="spellStart"/>
      <w:r w:rsidRPr="003228D9">
        <w:rPr>
          <w:sz w:val="20"/>
          <w:szCs w:val="20"/>
          <w:lang w:val="en-US"/>
        </w:rPr>
        <w:t>nonanol</w:t>
      </w:r>
      <w:proofErr w:type="spellEnd"/>
      <w:r w:rsidRPr="003228D9">
        <w:rPr>
          <w:sz w:val="20"/>
          <w:szCs w:val="20"/>
          <w:lang w:val="en-US"/>
        </w:rPr>
        <w:t xml:space="preserve"> and 1-</w:t>
      </w:r>
      <w:proofErr w:type="spellStart"/>
      <w:r w:rsidRPr="003228D9">
        <w:rPr>
          <w:sz w:val="20"/>
          <w:szCs w:val="20"/>
          <w:lang w:val="en-US"/>
        </w:rPr>
        <w:t>decanol</w:t>
      </w:r>
      <w:proofErr w:type="spellEnd"/>
      <w:r w:rsidRPr="003228D9">
        <w:rPr>
          <w:sz w:val="20"/>
          <w:szCs w:val="20"/>
          <w:lang w:val="en-US"/>
        </w:rPr>
        <w:t xml:space="preserve">, in which the largest effect was seen on the alcohol with the highest boiling point. The response of 1-decanol increased with a factor 7 by increasing the injection temperature from </w:t>
      </w:r>
      <w:proofErr w:type="spellStart"/>
      <w:r w:rsidRPr="003228D9">
        <w:rPr>
          <w:sz w:val="20"/>
          <w:szCs w:val="20"/>
          <w:lang w:val="en-US"/>
        </w:rPr>
        <w:t>40</w:t>
      </w:r>
      <w:r w:rsidRPr="003228D9">
        <w:rPr>
          <w:rFonts w:cstheme="minorHAnsi"/>
          <w:sz w:val="20"/>
          <w:szCs w:val="20"/>
          <w:lang w:val="en-US"/>
        </w:rPr>
        <w:t>°</w:t>
      </w:r>
      <w:r w:rsidRPr="003228D9">
        <w:rPr>
          <w:sz w:val="20"/>
          <w:szCs w:val="20"/>
          <w:lang w:val="en-US"/>
        </w:rPr>
        <w:t>C</w:t>
      </w:r>
      <w:proofErr w:type="spellEnd"/>
      <w:r w:rsidRPr="003228D9">
        <w:rPr>
          <w:sz w:val="20"/>
          <w:szCs w:val="20"/>
          <w:lang w:val="en-US"/>
        </w:rPr>
        <w:t xml:space="preserve"> to </w:t>
      </w:r>
      <w:proofErr w:type="spellStart"/>
      <w:r w:rsidRPr="003228D9">
        <w:rPr>
          <w:sz w:val="20"/>
          <w:szCs w:val="20"/>
          <w:lang w:val="en-US"/>
        </w:rPr>
        <w:t>90</w:t>
      </w:r>
      <w:r w:rsidRPr="003228D9">
        <w:rPr>
          <w:rFonts w:cstheme="minorHAnsi"/>
          <w:sz w:val="20"/>
          <w:szCs w:val="20"/>
          <w:lang w:val="en-US"/>
        </w:rPr>
        <w:t>°</w:t>
      </w:r>
      <w:r w:rsidRPr="003228D9">
        <w:rPr>
          <w:sz w:val="20"/>
          <w:szCs w:val="20"/>
          <w:lang w:val="en-US"/>
        </w:rPr>
        <w:t>C</w:t>
      </w:r>
      <w:proofErr w:type="spellEnd"/>
      <w:r w:rsidR="009D7E6E" w:rsidRPr="003228D9">
        <w:rPr>
          <w:sz w:val="20"/>
          <w:szCs w:val="20"/>
          <w:lang w:val="en-US"/>
        </w:rPr>
        <w:t>.</w:t>
      </w:r>
      <w:r w:rsidR="009D7E6E" w:rsidRPr="003228D9">
        <w:rPr>
          <w:lang w:val="en-US"/>
        </w:rPr>
        <w:t xml:space="preserve"> </w:t>
      </w:r>
      <w:r w:rsidR="009D7E6E">
        <w:rPr>
          <w:lang w:val="en-US"/>
        </w:rPr>
        <w:t xml:space="preserve">Samples were analyzed by means of GC-MS.  </w:t>
      </w:r>
    </w:p>
    <w:p w:rsidR="005F1BF0" w:rsidRDefault="005F1BF0" w:rsidP="005F1BF0">
      <w:pPr>
        <w:tabs>
          <w:tab w:val="left" w:pos="2730"/>
        </w:tabs>
      </w:pPr>
    </w:p>
    <w:bookmarkEnd w:id="0"/>
    <w:p w:rsidR="005A4569" w:rsidRDefault="001E373D"/>
    <w:sectPr w:rsidR="005A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BF0"/>
    <w:rsid w:val="00152F2C"/>
    <w:rsid w:val="001E373D"/>
    <w:rsid w:val="00364F0A"/>
    <w:rsid w:val="005E557C"/>
    <w:rsid w:val="005F1BF0"/>
    <w:rsid w:val="00621C78"/>
    <w:rsid w:val="006D239A"/>
    <w:rsid w:val="009D7E6E"/>
    <w:rsid w:val="00C94AF8"/>
    <w:rsid w:val="00DC6267"/>
    <w:rsid w:val="00F5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BCE34A-C939-4228-8CC4-BE2143AB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1BF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F1BF0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5F1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lux.intra.lighting.com\global\119792-p\MA\Material_Analysis\MA_Groups\GC-MS\breath\breath_2016\NEC-2016\Frederique\Excel%20files\NEC%20(Mix%20Alcohol)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97842784965798"/>
          <c:y val="0.17171296296296307"/>
          <c:w val="0.77329748023457345"/>
          <c:h val="0.72088764946048423"/>
        </c:manualLayout>
      </c:layout>
      <c:barChart>
        <c:barDir val="col"/>
        <c:grouping val="clustered"/>
        <c:varyColors val="0"/>
        <c:ser>
          <c:idx val="0"/>
          <c:order val="0"/>
          <c:tx>
            <c:v>40°C</c:v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'Inlet T'!$R$32:$R$39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('Inlet T'!$M$3,'Inlet T'!$P$3,'Inlet T'!$M$11,'Inlet T'!$P$11,'Inlet T'!$M$19,'Inlet T'!$P$19,'Inlet T'!$M$27,'Inlet T'!$P$27)</c:f>
              <c:numCache>
                <c:formatCode>General</c:formatCode>
                <c:ptCount val="8"/>
                <c:pt idx="0">
                  <c:v>122452.48999999999</c:v>
                </c:pt>
                <c:pt idx="1">
                  <c:v>75604.39</c:v>
                </c:pt>
                <c:pt idx="2">
                  <c:v>223029.43</c:v>
                </c:pt>
                <c:pt idx="3">
                  <c:v>448259.99000000011</c:v>
                </c:pt>
                <c:pt idx="4">
                  <c:v>646115.52</c:v>
                </c:pt>
                <c:pt idx="5">
                  <c:v>507736.72000000009</c:v>
                </c:pt>
                <c:pt idx="6">
                  <c:v>192727.22</c:v>
                </c:pt>
                <c:pt idx="7">
                  <c:v>58509.11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CF8-4C5D-A14D-9670B8522AB3}"/>
            </c:ext>
          </c:extLst>
        </c:ser>
        <c:ser>
          <c:idx val="2"/>
          <c:order val="1"/>
          <c:tx>
            <c:v>50°C</c:v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'Inlet T'!$R$32:$R$39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('Inlet T'!$M$4,'Inlet T'!$P$4,'Inlet T'!$M$12,'Inlet T'!$P$12,'Inlet T'!$M$20,'Inlet T'!$P$20,'Inlet T'!$M$28,'Inlet T'!$P$28)</c:f>
              <c:numCache>
                <c:formatCode>General</c:formatCode>
                <c:ptCount val="8"/>
                <c:pt idx="0">
                  <c:v>122909.31</c:v>
                </c:pt>
                <c:pt idx="1">
                  <c:v>82892.739999999991</c:v>
                </c:pt>
                <c:pt idx="2">
                  <c:v>253711.76</c:v>
                </c:pt>
                <c:pt idx="3">
                  <c:v>509518.53</c:v>
                </c:pt>
                <c:pt idx="4">
                  <c:v>713373.9600000002</c:v>
                </c:pt>
                <c:pt idx="5">
                  <c:v>610554.35000000021</c:v>
                </c:pt>
                <c:pt idx="6">
                  <c:v>350880.94</c:v>
                </c:pt>
                <c:pt idx="7">
                  <c:v>165693.04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CF8-4C5D-A14D-9670B8522AB3}"/>
            </c:ext>
          </c:extLst>
        </c:ser>
        <c:ser>
          <c:idx val="3"/>
          <c:order val="2"/>
          <c:tx>
            <c:v>60°C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'Inlet T'!$R$32:$R$39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('Inlet T'!$M$5,'Inlet T'!$P$5,'Inlet T'!$M$13,'Inlet T'!$P$13,'Inlet T'!$M$21,'Inlet T'!$P$21,'Inlet T'!$M$29,'Inlet T'!$P$29)</c:f>
              <c:numCache>
                <c:formatCode>General</c:formatCode>
                <c:ptCount val="8"/>
                <c:pt idx="0">
                  <c:v>119525.11</c:v>
                </c:pt>
                <c:pt idx="1">
                  <c:v>79159.539999999994</c:v>
                </c:pt>
                <c:pt idx="2">
                  <c:v>253555.88999999996</c:v>
                </c:pt>
                <c:pt idx="3">
                  <c:v>520807.49000000011</c:v>
                </c:pt>
                <c:pt idx="4">
                  <c:v>754640.73</c:v>
                </c:pt>
                <c:pt idx="5">
                  <c:v>655117.86000000022</c:v>
                </c:pt>
                <c:pt idx="6">
                  <c:v>440234.06</c:v>
                </c:pt>
                <c:pt idx="7">
                  <c:v>247978.31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BCF8-4C5D-A14D-9670B8522AB3}"/>
            </c:ext>
          </c:extLst>
        </c:ser>
        <c:ser>
          <c:idx val="4"/>
          <c:order val="3"/>
          <c:tx>
            <c:v>70°C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'Inlet T'!$R$32:$R$39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('Inlet T'!$M$6,'Inlet T'!$P$6,'Inlet T'!$M$14,'Inlet T'!$P$14,'Inlet T'!$M$22,'Inlet T'!$P$22,'Inlet T'!$M$30,'Inlet T'!$P$30)</c:f>
              <c:numCache>
                <c:formatCode>General</c:formatCode>
                <c:ptCount val="8"/>
                <c:pt idx="0">
                  <c:v>126900.09</c:v>
                </c:pt>
                <c:pt idx="1">
                  <c:v>79129.53</c:v>
                </c:pt>
                <c:pt idx="2">
                  <c:v>257894.52</c:v>
                </c:pt>
                <c:pt idx="3">
                  <c:v>520308.97000000009</c:v>
                </c:pt>
                <c:pt idx="4">
                  <c:v>759179.6899999982</c:v>
                </c:pt>
                <c:pt idx="5">
                  <c:v>676073.81</c:v>
                </c:pt>
                <c:pt idx="6">
                  <c:v>479808.82</c:v>
                </c:pt>
                <c:pt idx="7">
                  <c:v>290465.56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BCF8-4C5D-A14D-9670B8522AB3}"/>
            </c:ext>
          </c:extLst>
        </c:ser>
        <c:ser>
          <c:idx val="5"/>
          <c:order val="4"/>
          <c:tx>
            <c:v>80°C</c:v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'Inlet T'!$R$32:$R$39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('Inlet T'!$M$7,'Inlet T'!$P$7,'Inlet T'!$M$15,'Inlet T'!$P$15,'Inlet T'!$M$23,'Inlet T'!$P$23,'Inlet T'!$M$31,'Inlet T'!$P$31)</c:f>
              <c:numCache>
                <c:formatCode>General</c:formatCode>
                <c:ptCount val="8"/>
                <c:pt idx="0">
                  <c:v>117780.3</c:v>
                </c:pt>
                <c:pt idx="1">
                  <c:v>79226.89</c:v>
                </c:pt>
                <c:pt idx="2">
                  <c:v>243537.91999999998</c:v>
                </c:pt>
                <c:pt idx="3">
                  <c:v>517576.78</c:v>
                </c:pt>
                <c:pt idx="4">
                  <c:v>778643.14</c:v>
                </c:pt>
                <c:pt idx="5">
                  <c:v>722055.25</c:v>
                </c:pt>
                <c:pt idx="6">
                  <c:v>550293.26999999897</c:v>
                </c:pt>
                <c:pt idx="7">
                  <c:v>395664.2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CF8-4C5D-A14D-9670B8522AB3}"/>
            </c:ext>
          </c:extLst>
        </c:ser>
        <c:ser>
          <c:idx val="1"/>
          <c:order val="5"/>
          <c:tx>
            <c:v>90°C</c:v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'Inlet T'!$R$32:$R$39</c:f>
              <c:strCache>
                <c:ptCount val="8"/>
                <c:pt idx="0">
                  <c:v>Propanol</c:v>
                </c:pt>
                <c:pt idx="1">
                  <c:v>Butanol</c:v>
                </c:pt>
                <c:pt idx="2">
                  <c:v>Pentanol</c:v>
                </c:pt>
                <c:pt idx="3">
                  <c:v>Hexanol</c:v>
                </c:pt>
                <c:pt idx="4">
                  <c:v>Heptanol</c:v>
                </c:pt>
                <c:pt idx="5">
                  <c:v>Octanol</c:v>
                </c:pt>
                <c:pt idx="6">
                  <c:v>Nonanol</c:v>
                </c:pt>
                <c:pt idx="7">
                  <c:v>Decanol</c:v>
                </c:pt>
              </c:strCache>
            </c:strRef>
          </c:cat>
          <c:val>
            <c:numRef>
              <c:f>('Inlet T'!$M$8,'Inlet T'!$P$8,'Inlet T'!$M$16,'Inlet T'!$P$16,'Inlet T'!$M$24,'Inlet T'!$P$24,'Inlet T'!$M$32,'Inlet T'!$P$32)</c:f>
              <c:numCache>
                <c:formatCode>General</c:formatCode>
                <c:ptCount val="8"/>
                <c:pt idx="0">
                  <c:v>101215.95</c:v>
                </c:pt>
                <c:pt idx="1">
                  <c:v>80931.239999999991</c:v>
                </c:pt>
                <c:pt idx="2">
                  <c:v>249232.64000000001</c:v>
                </c:pt>
                <c:pt idx="3">
                  <c:v>504774.11</c:v>
                </c:pt>
                <c:pt idx="4">
                  <c:v>753675.45000000019</c:v>
                </c:pt>
                <c:pt idx="5">
                  <c:v>677431.22</c:v>
                </c:pt>
                <c:pt idx="6">
                  <c:v>514590.9</c:v>
                </c:pt>
                <c:pt idx="7">
                  <c:v>418651.59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BCF8-4C5D-A14D-9670B8522A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2019497600"/>
        <c:axId val="-2019520992"/>
      </c:barChart>
      <c:catAx>
        <c:axId val="-2019497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019520992"/>
        <c:crosses val="autoZero"/>
        <c:auto val="1"/>
        <c:lblAlgn val="ctr"/>
        <c:lblOffset val="100"/>
        <c:noMultiLvlLbl val="0"/>
      </c:catAx>
      <c:valAx>
        <c:axId val="-201952099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Area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201949760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91471921507193799"/>
          <c:y val="0.42501545945500302"/>
          <c:w val="7.2414450811449635E-2"/>
          <c:h val="0.283966781639206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tint val="75000"/>
          <a:shade val="95000"/>
          <a:satMod val="105000"/>
        </a:schemeClr>
      </a:solidFill>
      <a:prstDash val="solid"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103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 mods="ignoreCSTransforms">
      <cs:styleClr val="0">
        <a:shade val="25000"/>
      </cs:styl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 mods="ignoreCSTransforms">
      <cs:styleClr val="0">
        <a:tint val="25000"/>
      </cs:styl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Manouni El Hassani, S. (Sofia)</dc:creator>
  <cp:keywords/>
  <dc:description/>
  <cp:lastModifiedBy>Renugadevi G.</cp:lastModifiedBy>
  <cp:revision>3</cp:revision>
  <cp:lastPrinted>2020-03-25T15:04:00Z</cp:lastPrinted>
  <dcterms:created xsi:type="dcterms:W3CDTF">2020-09-02T16:11:00Z</dcterms:created>
  <dcterms:modified xsi:type="dcterms:W3CDTF">2020-10-03T03:38:00Z</dcterms:modified>
</cp:coreProperties>
</file>