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0F7" w:rsidRDefault="007E20F7" w:rsidP="007E20F7">
      <w:pPr>
        <w:tabs>
          <w:tab w:val="left" w:pos="2730"/>
        </w:tabs>
      </w:pPr>
      <w:r>
        <w:t xml:space="preserve">Supplemental Figure </w:t>
      </w:r>
      <w:r w:rsidR="00EE42EB">
        <w:t>3</w:t>
      </w:r>
      <w:r>
        <w:t xml:space="preserve">. </w:t>
      </w:r>
      <w:r w:rsidRPr="00D438AD">
        <w:tab/>
      </w:r>
      <w:bookmarkStart w:id="0" w:name="_GoBack"/>
      <w:bookmarkEnd w:id="0"/>
    </w:p>
    <w:p w:rsidR="007E20F7" w:rsidRDefault="007E20F7" w:rsidP="007E20F7">
      <w:pPr>
        <w:tabs>
          <w:tab w:val="left" w:pos="2730"/>
        </w:tabs>
      </w:pPr>
      <w:r w:rsidRPr="003228D9">
        <w:rPr>
          <w:noProof/>
          <w:lang w:val="en-IN" w:eastAsia="en-IN"/>
        </w:rPr>
        <w:drawing>
          <wp:inline distT="0" distB="0" distL="0" distR="0" wp14:anchorId="7BDFD71E" wp14:editId="554C9C59">
            <wp:extent cx="5760720" cy="3456305"/>
            <wp:effectExtent l="0" t="0" r="11430" b="1079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E20F7" w:rsidRPr="003228D9" w:rsidRDefault="007E20F7" w:rsidP="007E20F7">
      <w:pPr>
        <w:pStyle w:val="NoSpacing"/>
        <w:rPr>
          <w:sz w:val="20"/>
          <w:szCs w:val="20"/>
          <w:lang w:val="en-US"/>
        </w:rPr>
      </w:pPr>
      <w:bookmarkStart w:id="1" w:name="_Ref520378990"/>
      <w:r>
        <w:rPr>
          <w:b/>
          <w:sz w:val="20"/>
          <w:szCs w:val="20"/>
          <w:lang w:val="en-US"/>
        </w:rPr>
        <w:t xml:space="preserve">Supplemental </w:t>
      </w:r>
      <w:r w:rsidRPr="003228D9">
        <w:rPr>
          <w:b/>
          <w:sz w:val="20"/>
          <w:szCs w:val="20"/>
          <w:lang w:val="en-US"/>
        </w:rPr>
        <w:t xml:space="preserve">Figure </w:t>
      </w:r>
      <w:r w:rsidR="00EE42EB">
        <w:rPr>
          <w:b/>
          <w:sz w:val="20"/>
          <w:szCs w:val="20"/>
          <w:lang w:val="en-US"/>
        </w:rPr>
        <w:t>3</w:t>
      </w:r>
      <w:bookmarkEnd w:id="1"/>
      <w:r w:rsidRPr="003228D9">
        <w:rPr>
          <w:b/>
          <w:sz w:val="20"/>
          <w:szCs w:val="20"/>
          <w:lang w:val="en-US"/>
        </w:rPr>
        <w:t>.</w:t>
      </w:r>
      <w:r w:rsidRPr="003228D9">
        <w:rPr>
          <w:sz w:val="20"/>
          <w:szCs w:val="20"/>
          <w:lang w:val="en-US"/>
        </w:rPr>
        <w:t xml:space="preserve"> </w:t>
      </w:r>
      <w:r w:rsidRPr="003228D9">
        <w:rPr>
          <w:i/>
          <w:sz w:val="20"/>
          <w:szCs w:val="20"/>
          <w:lang w:val="en-US"/>
        </w:rPr>
        <w:t>Influence of injection volume on a water and alcohol mixture.</w:t>
      </w:r>
      <w:r w:rsidRPr="003228D9">
        <w:rPr>
          <w:sz w:val="20"/>
          <w:szCs w:val="20"/>
          <w:lang w:val="en-US"/>
        </w:rPr>
        <w:t xml:space="preserve"> On the y-axis the peak area is displayed, and on the x-axis the assessed alcohols are displayed. Increasing the injection volume from 0.5 to 2.5mL results in an increased peak area, in particular for </w:t>
      </w:r>
      <w:proofErr w:type="spellStart"/>
      <w:r w:rsidRPr="003228D9">
        <w:rPr>
          <w:sz w:val="20"/>
          <w:szCs w:val="20"/>
          <w:lang w:val="en-US"/>
        </w:rPr>
        <w:t>pentanol</w:t>
      </w:r>
      <w:proofErr w:type="spellEnd"/>
      <w:r w:rsidRPr="003228D9">
        <w:rPr>
          <w:sz w:val="20"/>
          <w:szCs w:val="20"/>
          <w:lang w:val="en-US"/>
        </w:rPr>
        <w:t xml:space="preserve">, </w:t>
      </w:r>
      <w:proofErr w:type="spellStart"/>
      <w:r w:rsidRPr="003228D9">
        <w:rPr>
          <w:sz w:val="20"/>
          <w:szCs w:val="20"/>
          <w:lang w:val="en-US"/>
        </w:rPr>
        <w:t>hexanal</w:t>
      </w:r>
      <w:proofErr w:type="spellEnd"/>
      <w:r w:rsidRPr="003228D9">
        <w:rPr>
          <w:sz w:val="20"/>
          <w:szCs w:val="20"/>
          <w:lang w:val="en-US"/>
        </w:rPr>
        <w:t xml:space="preserve">, </w:t>
      </w:r>
      <w:proofErr w:type="spellStart"/>
      <w:r w:rsidRPr="003228D9">
        <w:rPr>
          <w:sz w:val="20"/>
          <w:szCs w:val="20"/>
          <w:lang w:val="en-US"/>
        </w:rPr>
        <w:t>heptanol</w:t>
      </w:r>
      <w:proofErr w:type="spellEnd"/>
      <w:r w:rsidRPr="003228D9">
        <w:rPr>
          <w:sz w:val="20"/>
          <w:szCs w:val="20"/>
          <w:lang w:val="en-US"/>
        </w:rPr>
        <w:t xml:space="preserve"> and </w:t>
      </w:r>
      <w:proofErr w:type="spellStart"/>
      <w:r w:rsidRPr="003228D9">
        <w:rPr>
          <w:sz w:val="20"/>
          <w:szCs w:val="20"/>
          <w:lang w:val="en-US"/>
        </w:rPr>
        <w:t>decanol</w:t>
      </w:r>
      <w:proofErr w:type="spellEnd"/>
      <w:r w:rsidRPr="003228D9">
        <w:rPr>
          <w:sz w:val="20"/>
          <w:szCs w:val="20"/>
          <w:lang w:val="en-US"/>
        </w:rPr>
        <w:t xml:space="preserve">. For butanol, </w:t>
      </w:r>
      <w:proofErr w:type="spellStart"/>
      <w:r w:rsidRPr="003228D9">
        <w:rPr>
          <w:sz w:val="20"/>
          <w:szCs w:val="20"/>
          <w:lang w:val="en-US"/>
        </w:rPr>
        <w:t>octanol</w:t>
      </w:r>
      <w:proofErr w:type="spellEnd"/>
      <w:r w:rsidRPr="003228D9">
        <w:rPr>
          <w:sz w:val="20"/>
          <w:szCs w:val="20"/>
          <w:lang w:val="en-US"/>
        </w:rPr>
        <w:t xml:space="preserve"> and </w:t>
      </w:r>
      <w:proofErr w:type="spellStart"/>
      <w:r w:rsidRPr="003228D9">
        <w:rPr>
          <w:sz w:val="20"/>
          <w:szCs w:val="20"/>
          <w:lang w:val="en-US"/>
        </w:rPr>
        <w:t>nonanol</w:t>
      </w:r>
      <w:proofErr w:type="spellEnd"/>
      <w:r w:rsidRPr="003228D9">
        <w:rPr>
          <w:sz w:val="20"/>
          <w:szCs w:val="20"/>
          <w:lang w:val="en-US"/>
        </w:rPr>
        <w:t xml:space="preserve">, this increase is obtained until a volume of 2mL, after this, the peak area decreases. </w:t>
      </w:r>
      <w:r w:rsidR="00AC0BD1" w:rsidRPr="00AC0BD1">
        <w:rPr>
          <w:sz w:val="20"/>
          <w:szCs w:val="20"/>
          <w:lang w:val="en-US"/>
        </w:rPr>
        <w:t xml:space="preserve">Samples were analyzed by means of GC-MS.  </w:t>
      </w:r>
    </w:p>
    <w:p w:rsidR="005A4569" w:rsidRPr="007E20F7" w:rsidRDefault="000807F8" w:rsidP="007E20F7"/>
    <w:sectPr w:rsidR="005A4569" w:rsidRPr="007E20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0F7"/>
    <w:rsid w:val="000807F8"/>
    <w:rsid w:val="00152F2C"/>
    <w:rsid w:val="00364F0A"/>
    <w:rsid w:val="00464BF1"/>
    <w:rsid w:val="00621C78"/>
    <w:rsid w:val="006D239A"/>
    <w:rsid w:val="007E20F7"/>
    <w:rsid w:val="00AC0BD1"/>
    <w:rsid w:val="00BB2A20"/>
    <w:rsid w:val="00DC6267"/>
    <w:rsid w:val="00EE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ADB4EB-3512-4EC8-8B9B-55A6E71F6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0F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E20F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E2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lux.intra.lighting.com\global\119792-p\MA\Material_Analysis\MA_Groups\GC-MS\breath\breath_2016\NEC-2016\Frederique\Excel%20files\NEC%20(Mix%20Alcohol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97842784965798"/>
          <c:y val="0.17171296296296307"/>
          <c:w val="0.77329748023457345"/>
          <c:h val="0.72088764946048423"/>
        </c:manualLayout>
      </c:layout>
      <c:barChart>
        <c:barDir val="col"/>
        <c:grouping val="clustered"/>
        <c:varyColors val="0"/>
        <c:ser>
          <c:idx val="1"/>
          <c:order val="0"/>
          <c:tx>
            <c:v>0.5 mL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'Inj volume'!$T$25:$T$31</c:f>
              <c:strCache>
                <c:ptCount val="7"/>
                <c:pt idx="0">
                  <c:v>Butanol</c:v>
                </c:pt>
                <c:pt idx="1">
                  <c:v>Pentanol</c:v>
                </c:pt>
                <c:pt idx="2">
                  <c:v>Hexanol</c:v>
                </c:pt>
                <c:pt idx="3">
                  <c:v>Heptanol</c:v>
                </c:pt>
                <c:pt idx="4">
                  <c:v>Octanol</c:v>
                </c:pt>
                <c:pt idx="5">
                  <c:v>Nonanol</c:v>
                </c:pt>
                <c:pt idx="6">
                  <c:v>Decanol</c:v>
                </c:pt>
              </c:strCache>
            </c:strRef>
          </c:cat>
          <c:val>
            <c:numRef>
              <c:f>('Inj volume'!$Q$3,'Inj volume'!$M$10,'Inj volume'!$Q$10,'Inj volume'!$M$17,'Inj volume'!$Q$17,'Inj volume'!$M$24,'Inj volume'!$Q$24)</c:f>
              <c:numCache>
                <c:formatCode>General</c:formatCode>
                <c:ptCount val="7"/>
                <c:pt idx="0">
                  <c:v>0</c:v>
                </c:pt>
                <c:pt idx="1">
                  <c:v>339551.97000000009</c:v>
                </c:pt>
                <c:pt idx="2">
                  <c:v>252905.73</c:v>
                </c:pt>
                <c:pt idx="3">
                  <c:v>405948.64999999991</c:v>
                </c:pt>
                <c:pt idx="4">
                  <c:v>323687.78999999998</c:v>
                </c:pt>
                <c:pt idx="5">
                  <c:v>202335.37999999998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718-4A19-844B-1FF10D2EBEFF}"/>
            </c:ext>
          </c:extLst>
        </c:ser>
        <c:ser>
          <c:idx val="2"/>
          <c:order val="1"/>
          <c:tx>
            <c:v>1 mL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'Inj volume'!$T$25:$T$31</c:f>
              <c:strCache>
                <c:ptCount val="7"/>
                <c:pt idx="0">
                  <c:v>Butanol</c:v>
                </c:pt>
                <c:pt idx="1">
                  <c:v>Pentanol</c:v>
                </c:pt>
                <c:pt idx="2">
                  <c:v>Hexanol</c:v>
                </c:pt>
                <c:pt idx="3">
                  <c:v>Heptanol</c:v>
                </c:pt>
                <c:pt idx="4">
                  <c:v>Octanol</c:v>
                </c:pt>
                <c:pt idx="5">
                  <c:v>Nonanol</c:v>
                </c:pt>
                <c:pt idx="6">
                  <c:v>Decanol</c:v>
                </c:pt>
              </c:strCache>
            </c:strRef>
          </c:cat>
          <c:val>
            <c:numRef>
              <c:f>('Inj volume'!$Q$4,'Inj volume'!$M$11,'Inj volume'!$Q$11,'Inj volume'!$M$18,'Inj volume'!$Q$18,'Inj volume'!$M$25,'Inj volume'!$Q$25)</c:f>
              <c:numCache>
                <c:formatCode>General</c:formatCode>
                <c:ptCount val="7"/>
                <c:pt idx="0">
                  <c:v>81102.84</c:v>
                </c:pt>
                <c:pt idx="1">
                  <c:v>495381.16</c:v>
                </c:pt>
                <c:pt idx="2">
                  <c:v>464064.3</c:v>
                </c:pt>
                <c:pt idx="3">
                  <c:v>791226.47</c:v>
                </c:pt>
                <c:pt idx="4">
                  <c:v>634205.30000000005</c:v>
                </c:pt>
                <c:pt idx="5">
                  <c:v>383194.35</c:v>
                </c:pt>
                <c:pt idx="6">
                  <c:v>108552.2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718-4A19-844B-1FF10D2EBEFF}"/>
            </c:ext>
          </c:extLst>
        </c:ser>
        <c:ser>
          <c:idx val="3"/>
          <c:order val="2"/>
          <c:tx>
            <c:v>1.5 mL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'Inj volume'!$T$25:$T$31</c:f>
              <c:strCache>
                <c:ptCount val="7"/>
                <c:pt idx="0">
                  <c:v>Butanol</c:v>
                </c:pt>
                <c:pt idx="1">
                  <c:v>Pentanol</c:v>
                </c:pt>
                <c:pt idx="2">
                  <c:v>Hexanol</c:v>
                </c:pt>
                <c:pt idx="3">
                  <c:v>Heptanol</c:v>
                </c:pt>
                <c:pt idx="4">
                  <c:v>Octanol</c:v>
                </c:pt>
                <c:pt idx="5">
                  <c:v>Nonanol</c:v>
                </c:pt>
                <c:pt idx="6">
                  <c:v>Decanol</c:v>
                </c:pt>
              </c:strCache>
            </c:strRef>
          </c:cat>
          <c:val>
            <c:numRef>
              <c:f>('Inj volume'!$Q$5,'Inj volume'!$M$12,'Inj volume'!$Q$12,'Inj volume'!$M$19,'Inj volume'!$Q$19,'Inj volume'!$M$26,'Inj volume'!$Q$26)</c:f>
              <c:numCache>
                <c:formatCode>General</c:formatCode>
                <c:ptCount val="7"/>
                <c:pt idx="0">
                  <c:v>129891.3</c:v>
                </c:pt>
                <c:pt idx="1">
                  <c:v>780943.51</c:v>
                </c:pt>
                <c:pt idx="2">
                  <c:v>712798.14</c:v>
                </c:pt>
                <c:pt idx="3">
                  <c:v>1297092.6800000004</c:v>
                </c:pt>
                <c:pt idx="4">
                  <c:v>1384291.54</c:v>
                </c:pt>
                <c:pt idx="5">
                  <c:v>1132214.94</c:v>
                </c:pt>
                <c:pt idx="6">
                  <c:v>560301.27999999805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718-4A19-844B-1FF10D2EBEFF}"/>
            </c:ext>
          </c:extLst>
        </c:ser>
        <c:ser>
          <c:idx val="4"/>
          <c:order val="3"/>
          <c:tx>
            <c:v>2 mL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'Inj volume'!$T$25:$T$31</c:f>
              <c:strCache>
                <c:ptCount val="7"/>
                <c:pt idx="0">
                  <c:v>Butanol</c:v>
                </c:pt>
                <c:pt idx="1">
                  <c:v>Pentanol</c:v>
                </c:pt>
                <c:pt idx="2">
                  <c:v>Hexanol</c:v>
                </c:pt>
                <c:pt idx="3">
                  <c:v>Heptanol</c:v>
                </c:pt>
                <c:pt idx="4">
                  <c:v>Octanol</c:v>
                </c:pt>
                <c:pt idx="5">
                  <c:v>Nonanol</c:v>
                </c:pt>
                <c:pt idx="6">
                  <c:v>Decanol</c:v>
                </c:pt>
              </c:strCache>
            </c:strRef>
          </c:cat>
          <c:val>
            <c:numRef>
              <c:f>('Inj volume'!$Q$6,'Inj volume'!$M$13,'Inj volume'!$Q$13,'Inj volume'!$M$20,'Inj volume'!$Q$20,'Inj volume'!$M$27,'Inj volume'!$Q$27)</c:f>
              <c:numCache>
                <c:formatCode>General</c:formatCode>
                <c:ptCount val="7"/>
                <c:pt idx="0">
                  <c:v>198655.56</c:v>
                </c:pt>
                <c:pt idx="1">
                  <c:v>950134.76</c:v>
                </c:pt>
                <c:pt idx="2">
                  <c:v>946302.27999999805</c:v>
                </c:pt>
                <c:pt idx="3">
                  <c:v>1766682.21</c:v>
                </c:pt>
                <c:pt idx="4">
                  <c:v>1971974.94</c:v>
                </c:pt>
                <c:pt idx="5">
                  <c:v>1551667.6</c:v>
                </c:pt>
                <c:pt idx="6">
                  <c:v>776172.61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718-4A19-844B-1FF10D2EBEFF}"/>
            </c:ext>
          </c:extLst>
        </c:ser>
        <c:ser>
          <c:idx val="0"/>
          <c:order val="4"/>
          <c:tx>
            <c:v>2.5 mL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'Inj volume'!$T$25:$T$31</c:f>
              <c:strCache>
                <c:ptCount val="7"/>
                <c:pt idx="0">
                  <c:v>Butanol</c:v>
                </c:pt>
                <c:pt idx="1">
                  <c:v>Pentanol</c:v>
                </c:pt>
                <c:pt idx="2">
                  <c:v>Hexanol</c:v>
                </c:pt>
                <c:pt idx="3">
                  <c:v>Heptanol</c:v>
                </c:pt>
                <c:pt idx="4">
                  <c:v>Octanol</c:v>
                </c:pt>
                <c:pt idx="5">
                  <c:v>Nonanol</c:v>
                </c:pt>
                <c:pt idx="6">
                  <c:v>Decanol</c:v>
                </c:pt>
              </c:strCache>
            </c:strRef>
          </c:cat>
          <c:val>
            <c:numRef>
              <c:f>('Inj volume'!$Q$7,'Inj volume'!$M$14,'Inj volume'!$Q$14,'Inj volume'!$M$21,'Inj volume'!$Q$21,'Inj volume'!$M$28,'Inj volume'!$Q$28)</c:f>
              <c:numCache>
                <c:formatCode>General</c:formatCode>
                <c:ptCount val="7"/>
                <c:pt idx="0">
                  <c:v>183558.52</c:v>
                </c:pt>
                <c:pt idx="1">
                  <c:v>1016097.54</c:v>
                </c:pt>
                <c:pt idx="2">
                  <c:v>1056661.81</c:v>
                </c:pt>
                <c:pt idx="3">
                  <c:v>1880225.77</c:v>
                </c:pt>
                <c:pt idx="4">
                  <c:v>1920906.52</c:v>
                </c:pt>
                <c:pt idx="5">
                  <c:v>1542828.83</c:v>
                </c:pt>
                <c:pt idx="6">
                  <c:v>860514.62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718-4A19-844B-1FF10D2EBE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19497600"/>
        <c:axId val="-2019510656"/>
      </c:barChart>
      <c:catAx>
        <c:axId val="-2019497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019510656"/>
        <c:crosses val="autoZero"/>
        <c:auto val="1"/>
        <c:lblAlgn val="ctr"/>
        <c:lblOffset val="100"/>
        <c:noMultiLvlLbl val="0"/>
      </c:catAx>
      <c:valAx>
        <c:axId val="-2019510656"/>
        <c:scaling>
          <c:orientation val="minMax"/>
          <c:max val="20000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Area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01949760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9934847274525498"/>
          <c:y val="0.28252027455220513"/>
          <c:w val="8.7124957206436204E-2"/>
          <c:h val="0.339516401029582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3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Manouni El Hassani, S. (Sofia)</dc:creator>
  <cp:keywords/>
  <dc:description/>
  <cp:lastModifiedBy>Renugadevi G.</cp:lastModifiedBy>
  <cp:revision>3</cp:revision>
  <cp:lastPrinted>2020-03-25T15:05:00Z</cp:lastPrinted>
  <dcterms:created xsi:type="dcterms:W3CDTF">2020-09-02T16:13:00Z</dcterms:created>
  <dcterms:modified xsi:type="dcterms:W3CDTF">2020-10-03T03:38:00Z</dcterms:modified>
</cp:coreProperties>
</file>