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144" w:rsidRDefault="00343144" w:rsidP="00343144">
      <w:pPr>
        <w:tabs>
          <w:tab w:val="left" w:pos="2730"/>
        </w:tabs>
      </w:pPr>
      <w:bookmarkStart w:id="0" w:name="_GoBack"/>
      <w:r>
        <w:t xml:space="preserve">Supplemental Figure </w:t>
      </w:r>
      <w:r w:rsidR="00C47D0E">
        <w:t>4.</w:t>
      </w:r>
    </w:p>
    <w:p w:rsidR="00343144" w:rsidRDefault="00343144" w:rsidP="00343144">
      <w:pPr>
        <w:tabs>
          <w:tab w:val="left" w:pos="2730"/>
        </w:tabs>
      </w:pPr>
      <w:r w:rsidRPr="003228D9">
        <w:rPr>
          <w:noProof/>
          <w:lang w:val="en-IN" w:eastAsia="en-IN"/>
        </w:rPr>
        <w:drawing>
          <wp:inline distT="0" distB="0" distL="0" distR="0" wp14:anchorId="325B7D2B" wp14:editId="7ADDB176">
            <wp:extent cx="5400000" cy="3240000"/>
            <wp:effectExtent l="0" t="0" r="10795" b="17780"/>
            <wp:docPr id="20" name="Char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43144" w:rsidRPr="003228D9" w:rsidRDefault="00343144" w:rsidP="00343144">
      <w:pPr>
        <w:pStyle w:val="NoSpacing"/>
        <w:rPr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Supplemental </w:t>
      </w:r>
      <w:r w:rsidRPr="003228D9">
        <w:rPr>
          <w:b/>
          <w:sz w:val="20"/>
          <w:szCs w:val="20"/>
          <w:lang w:val="en-US"/>
        </w:rPr>
        <w:t xml:space="preserve">Figure </w:t>
      </w:r>
      <w:r w:rsidR="00C47D0E">
        <w:rPr>
          <w:b/>
          <w:sz w:val="20"/>
          <w:szCs w:val="20"/>
          <w:lang w:val="en-US"/>
        </w:rPr>
        <w:t>4</w:t>
      </w:r>
      <w:r w:rsidRPr="003228D9">
        <w:rPr>
          <w:b/>
          <w:sz w:val="20"/>
          <w:szCs w:val="20"/>
          <w:lang w:val="en-US"/>
        </w:rPr>
        <w:t>.</w:t>
      </w:r>
      <w:r w:rsidRPr="003228D9">
        <w:rPr>
          <w:sz w:val="20"/>
          <w:szCs w:val="20"/>
          <w:lang w:val="en-US"/>
        </w:rPr>
        <w:t xml:space="preserve"> </w:t>
      </w:r>
      <w:r w:rsidRPr="003228D9">
        <w:rPr>
          <w:i/>
          <w:sz w:val="20"/>
          <w:szCs w:val="20"/>
          <w:lang w:val="en-US"/>
        </w:rPr>
        <w:t>Response of chloroform over time using different septa.</w:t>
      </w:r>
      <w:r w:rsidRPr="003228D9">
        <w:rPr>
          <w:sz w:val="20"/>
          <w:szCs w:val="20"/>
          <w:lang w:val="en-US"/>
        </w:rPr>
        <w:t xml:space="preserve"> On the y-axis the area percentage for chloroform is displayed, and on the x-axis the time in hours is displayed. The response of chloroform on PTFE (blue line), barrier (red line) and PTFE + Aluminum liner (green line) is displayed over the exposure time. Using only a PTFE or a barrier septum, loss of chloroform is perceived after storage of only a few hours, respectively 50% and 20% after five hours. Around 90% of the chloroform is perceived when a PTFE septum is combined with an aluminum liner for a period of eight hours. </w:t>
      </w:r>
      <w:r w:rsidR="005C42C4" w:rsidRPr="00AC0BD1">
        <w:rPr>
          <w:sz w:val="20"/>
          <w:szCs w:val="20"/>
          <w:lang w:val="en-US"/>
        </w:rPr>
        <w:t xml:space="preserve">Samples were analyzed by means of GC-MS.  </w:t>
      </w:r>
      <w:r w:rsidRPr="003228D9">
        <w:rPr>
          <w:b/>
          <w:sz w:val="20"/>
          <w:szCs w:val="20"/>
          <w:lang w:val="en-US"/>
        </w:rPr>
        <w:t>Abbreviations:</w:t>
      </w:r>
      <w:r w:rsidRPr="003228D9">
        <w:rPr>
          <w:sz w:val="20"/>
          <w:szCs w:val="20"/>
          <w:lang w:val="en-US"/>
        </w:rPr>
        <w:t xml:space="preserve"> PTFE, polytetrafluoroethylene; Al, aluminum. </w:t>
      </w:r>
    </w:p>
    <w:bookmarkEnd w:id="0"/>
    <w:p w:rsidR="005A4569" w:rsidRDefault="00B939D9"/>
    <w:sectPr w:rsidR="005A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144"/>
    <w:rsid w:val="00152F2C"/>
    <w:rsid w:val="00343144"/>
    <w:rsid w:val="00364F0A"/>
    <w:rsid w:val="005C42C4"/>
    <w:rsid w:val="00621C78"/>
    <w:rsid w:val="006D239A"/>
    <w:rsid w:val="007A249B"/>
    <w:rsid w:val="00B46F8E"/>
    <w:rsid w:val="00B939D9"/>
    <w:rsid w:val="00C47D0E"/>
    <w:rsid w:val="00DC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53258F-FB6F-4235-BF3E-A4CEC97A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1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314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3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lux.intra.lighting.com\global\119792-p\MA\Material_Analysis\MA_Groups\GC-MS\Frederique\Excel%20files\NEC%20(Tenax%20liner%202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'grafiek artikel'!$AA$40</c:f>
              <c:strCache>
                <c:ptCount val="1"/>
                <c:pt idx="0">
                  <c:v>PTFE</c:v>
                </c:pt>
              </c:strCache>
            </c:strRef>
          </c:tx>
          <c:xVal>
            <c:numRef>
              <c:f>('grafiek artikel'!$Z$41,'grafiek artikel'!$Z$43,'grafiek artikel'!$Z$45,'grafiek artikel'!$Z$47,'grafiek artikel'!$Z$49,'grafiek artikel'!$Z$51)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</c:numCache>
            </c:numRef>
          </c:xVal>
          <c:yVal>
            <c:numRef>
              <c:f>('grafiek artikel'!$AA$41,'grafiek artikel'!$AA$43,'grafiek artikel'!$AA$45,'grafiek artikel'!$AA$47,'grafiek artikel'!$AA$49,'grafiek artikel'!$AA$51)</c:f>
              <c:numCache>
                <c:formatCode>0.00</c:formatCode>
                <c:ptCount val="6"/>
                <c:pt idx="0">
                  <c:v>1</c:v>
                </c:pt>
                <c:pt idx="1">
                  <c:v>0.87836984031656462</c:v>
                </c:pt>
                <c:pt idx="2">
                  <c:v>0.7333244438008798</c:v>
                </c:pt>
                <c:pt idx="3">
                  <c:v>0.61535288231804308</c:v>
                </c:pt>
                <c:pt idx="4">
                  <c:v>0.28109144359930222</c:v>
                </c:pt>
                <c:pt idx="5">
                  <c:v>0.49668413494518626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8CC-411C-BF85-EE2D62790103}"/>
            </c:ext>
          </c:extLst>
        </c:ser>
        <c:ser>
          <c:idx val="1"/>
          <c:order val="1"/>
          <c:tx>
            <c:strRef>
              <c:f>'grafiek artikel'!$AB$40</c:f>
              <c:strCache>
                <c:ptCount val="1"/>
                <c:pt idx="0">
                  <c:v>Barrier</c:v>
                </c:pt>
              </c:strCache>
            </c:strRef>
          </c:tx>
          <c:xVal>
            <c:numRef>
              <c:f>('grafiek artikel'!$Z$41,'grafiek artikel'!$Z$43,'grafiek artikel'!$Z$45,'grafiek artikel'!$Z$47,'grafiek artikel'!$Z$49,'grafiek artikel'!$Z$51)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</c:numCache>
            </c:numRef>
          </c:xVal>
          <c:yVal>
            <c:numRef>
              <c:f>('grafiek artikel'!$AB$41,'grafiek artikel'!$AB$43,'grafiek artikel'!$AB$45,'grafiek artikel'!$AB$47,'grafiek artikel'!$AB$49,'grafiek artikel'!$AB$51)</c:f>
              <c:numCache>
                <c:formatCode>0.00</c:formatCode>
                <c:ptCount val="6"/>
                <c:pt idx="0">
                  <c:v>1</c:v>
                </c:pt>
                <c:pt idx="1">
                  <c:v>0.89378102568865414</c:v>
                </c:pt>
                <c:pt idx="2">
                  <c:v>0.71836588088789144</c:v>
                </c:pt>
                <c:pt idx="3">
                  <c:v>0.73922689527983065</c:v>
                </c:pt>
                <c:pt idx="4">
                  <c:v>0.6839388574775348</c:v>
                </c:pt>
                <c:pt idx="5">
                  <c:v>0.1209350306205422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8CC-411C-BF85-EE2D62790103}"/>
            </c:ext>
          </c:extLst>
        </c:ser>
        <c:ser>
          <c:idx val="2"/>
          <c:order val="2"/>
          <c:tx>
            <c:strRef>
              <c:f>'grafiek artikel'!$AC$40</c:f>
              <c:strCache>
                <c:ptCount val="1"/>
                <c:pt idx="0">
                  <c:v>PTFE+Al</c:v>
                </c:pt>
              </c:strCache>
            </c:strRef>
          </c:tx>
          <c:spPr>
            <a:ln>
              <a:solidFill>
                <a:srgbClr val="92D050"/>
              </a:solidFill>
            </a:ln>
          </c:spPr>
          <c:marker>
            <c:spPr>
              <a:solidFill>
                <a:srgbClr val="92D050"/>
              </a:solidFill>
              <a:ln>
                <a:solidFill>
                  <a:srgbClr val="92D050"/>
                </a:solidFill>
              </a:ln>
            </c:spPr>
          </c:marker>
          <c:xVal>
            <c:numRef>
              <c:f>('grafiek artikel'!$Z$41,'grafiek artikel'!$Z$43,'grafiek artikel'!$Z$47,'grafiek artikel'!$Z$49,'grafiek artikel'!$Z$51,'grafiek artikel'!$Z$53,'grafiek artikel'!$Z$55,'grafiek artikel'!$Z$57)</c:f>
              <c:numCache>
                <c:formatCode>General</c:formatCode>
                <c:ptCount val="8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xVal>
          <c:yVal>
            <c:numRef>
              <c:f>('grafiek artikel'!$AC$41,'grafiek artikel'!$AC$43,'grafiek artikel'!$AC$45,'grafiek artikel'!$AC$47,'grafiek artikel'!$AC$49,'grafiek artikel'!$AC$51,'grafiek artikel'!$AC$53,'grafiek artikel'!$AC$55,'grafiek artikel'!$AC$57)</c:f>
              <c:numCache>
                <c:formatCode>0.00</c:formatCode>
                <c:ptCount val="9"/>
                <c:pt idx="0">
                  <c:v>1</c:v>
                </c:pt>
                <c:pt idx="1">
                  <c:v>0.9991576149434217</c:v>
                </c:pt>
                <c:pt idx="2">
                  <c:v>0.96140175359013735</c:v>
                </c:pt>
                <c:pt idx="3">
                  <c:v>0.9131224872146998</c:v>
                </c:pt>
                <c:pt idx="4">
                  <c:v>0.92987154113355763</c:v>
                </c:pt>
                <c:pt idx="5">
                  <c:v>0.90848257284358769</c:v>
                </c:pt>
                <c:pt idx="6">
                  <c:v>1.0409618957664029</c:v>
                </c:pt>
                <c:pt idx="7">
                  <c:v>0.90287793533714045</c:v>
                </c:pt>
                <c:pt idx="8">
                  <c:v>0.89549609450247625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8CC-411C-BF85-EE2D627901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19497600"/>
        <c:axId val="-2019520992"/>
      </c:scatterChart>
      <c:catAx>
        <c:axId val="-201949760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Time (hours)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en-US"/>
          </a:p>
        </c:txPr>
        <c:crossAx val="-2019520992"/>
        <c:crosses val="autoZero"/>
        <c:auto val="1"/>
        <c:lblAlgn val="ctr"/>
        <c:lblOffset val="100"/>
        <c:noMultiLvlLbl val="0"/>
      </c:catAx>
      <c:valAx>
        <c:axId val="-201952099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Area % chloroform</a:t>
                </a:r>
              </a:p>
            </c:rich>
          </c:tx>
          <c:layout/>
          <c:overlay val="0"/>
        </c:title>
        <c:numFmt formatCode="0.00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en-US"/>
          </a:p>
        </c:txPr>
        <c:crossAx val="-2019497600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Manouni El Hassani, S. (Sofia)</dc:creator>
  <cp:keywords/>
  <dc:description/>
  <cp:lastModifiedBy>Renugadevi G.</cp:lastModifiedBy>
  <cp:revision>3</cp:revision>
  <cp:lastPrinted>2020-03-25T15:06:00Z</cp:lastPrinted>
  <dcterms:created xsi:type="dcterms:W3CDTF">2020-09-02T16:13:00Z</dcterms:created>
  <dcterms:modified xsi:type="dcterms:W3CDTF">2020-10-03T03:39:00Z</dcterms:modified>
</cp:coreProperties>
</file>