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6DA" w:rsidRPr="00D06A38" w:rsidRDefault="005F26DA" w:rsidP="005F26DA">
      <w:pPr>
        <w:rPr>
          <w:rFonts w:ascii="Times New Roman" w:hAnsi="Times New Roman" w:cs="Times New Roman"/>
        </w:rPr>
      </w:pPr>
      <w:bookmarkStart w:id="0" w:name="_GoBack"/>
      <w:r w:rsidRPr="00D06A38">
        <w:rPr>
          <w:rFonts w:ascii="Times New Roman" w:hAnsi="Times New Roman" w:cs="Times New Roman"/>
        </w:rPr>
        <w:t>Supplementary tables and figures</w:t>
      </w:r>
    </w:p>
    <w:p w:rsidR="005F26DA" w:rsidRPr="00D06A38" w:rsidRDefault="005F26DA" w:rsidP="005F26DA">
      <w:pPr>
        <w:pStyle w:val="Style1"/>
        <w:rPr>
          <w:sz w:val="22"/>
          <w:szCs w:val="22"/>
        </w:rPr>
      </w:pPr>
      <w:r w:rsidRPr="00D06A38">
        <w:rPr>
          <w:b/>
          <w:bCs/>
          <w:sz w:val="22"/>
          <w:szCs w:val="22"/>
        </w:rPr>
        <w:t>8.1 Tables</w:t>
      </w:r>
    </w:p>
    <w:p w:rsidR="005F26DA" w:rsidRPr="00D06A38" w:rsidRDefault="005F26DA" w:rsidP="005F26DA">
      <w:pPr>
        <w:spacing w:after="0" w:line="240" w:lineRule="auto"/>
        <w:jc w:val="both"/>
        <w:rPr>
          <w:rFonts w:ascii="Times New Roman" w:hAnsi="Times New Roman" w:cs="Times New Roman"/>
        </w:rPr>
      </w:pPr>
      <w:r w:rsidRPr="00D06A38">
        <w:rPr>
          <w:rFonts w:ascii="Times New Roman" w:hAnsi="Times New Roman" w:cs="Times New Roman"/>
          <w:b/>
          <w:bCs/>
        </w:rPr>
        <w:t>Supplementary Table A1.</w:t>
      </w:r>
      <w:r w:rsidRPr="00D06A38">
        <w:rPr>
          <w:rFonts w:ascii="Times New Roman" w:hAnsi="Times New Roman" w:cs="Times New Roman"/>
        </w:rPr>
        <w:t xml:space="preserve"> Compounds used in calibration curves and internal standard mixtures.</w:t>
      </w:r>
    </w:p>
    <w:tbl>
      <w:tblPr>
        <w:tblStyle w:val="TableGrid"/>
        <w:tblW w:w="10173" w:type="dxa"/>
        <w:tblLook w:val="04A0" w:firstRow="1" w:lastRow="0" w:firstColumn="1" w:lastColumn="0" w:noHBand="0" w:noVBand="1"/>
      </w:tblPr>
      <w:tblGrid>
        <w:gridCol w:w="2376"/>
        <w:gridCol w:w="4962"/>
        <w:gridCol w:w="2835"/>
      </w:tblGrid>
      <w:tr w:rsidR="005F26DA" w:rsidRPr="00D06A38" w:rsidTr="008176E8">
        <w:tc>
          <w:tcPr>
            <w:tcW w:w="2376" w:type="dxa"/>
          </w:tcPr>
          <w:p w:rsidR="005F26DA" w:rsidRPr="00D06A38" w:rsidRDefault="005F26DA" w:rsidP="008176E8">
            <w:pPr>
              <w:rPr>
                <w:rFonts w:ascii="Times New Roman" w:hAnsi="Times New Roman" w:cs="Times New Roman"/>
                <w:b/>
                <w:bCs/>
                <w:lang w:val="en-US"/>
              </w:rPr>
            </w:pPr>
            <w:r w:rsidRPr="00D06A38">
              <w:rPr>
                <w:rFonts w:ascii="Times New Roman" w:hAnsi="Times New Roman" w:cs="Times New Roman"/>
                <w:b/>
                <w:bCs/>
                <w:lang w:val="en-US"/>
              </w:rPr>
              <w:t>Lipidomics</w:t>
            </w:r>
          </w:p>
        </w:tc>
        <w:tc>
          <w:tcPr>
            <w:tcW w:w="4962" w:type="dxa"/>
          </w:tcPr>
          <w:p w:rsidR="005F26DA" w:rsidRPr="00D06A38" w:rsidRDefault="005F26DA" w:rsidP="008176E8">
            <w:pPr>
              <w:rPr>
                <w:rFonts w:ascii="Times New Roman" w:hAnsi="Times New Roman" w:cs="Times New Roman"/>
                <w:b/>
                <w:bCs/>
                <w:lang w:val="en-US"/>
              </w:rPr>
            </w:pPr>
            <w:r w:rsidRPr="00D06A38">
              <w:rPr>
                <w:rFonts w:ascii="Times New Roman" w:hAnsi="Times New Roman" w:cs="Times New Roman"/>
                <w:b/>
                <w:bCs/>
                <w:lang w:val="en-US"/>
              </w:rPr>
              <w:t>BAs and PFAS</w:t>
            </w:r>
          </w:p>
        </w:tc>
        <w:tc>
          <w:tcPr>
            <w:tcW w:w="2835" w:type="dxa"/>
          </w:tcPr>
          <w:p w:rsidR="005F26DA" w:rsidRPr="00D06A38" w:rsidRDefault="005F26DA" w:rsidP="008176E8">
            <w:pPr>
              <w:rPr>
                <w:rFonts w:ascii="Times New Roman" w:hAnsi="Times New Roman" w:cs="Times New Roman"/>
                <w:b/>
                <w:bCs/>
                <w:lang w:val="en-US"/>
              </w:rPr>
            </w:pPr>
            <w:r w:rsidRPr="00D06A38">
              <w:rPr>
                <w:rFonts w:ascii="Times New Roman" w:hAnsi="Times New Roman" w:cs="Times New Roman"/>
                <w:b/>
                <w:bCs/>
                <w:lang w:val="en-US"/>
              </w:rPr>
              <w:t>Polar metabolites</w:t>
            </w:r>
          </w:p>
        </w:tc>
      </w:tr>
      <w:tr w:rsidR="005F26DA" w:rsidRPr="00D06A38" w:rsidTr="008176E8">
        <w:tc>
          <w:tcPr>
            <w:tcW w:w="2376" w:type="dxa"/>
          </w:tcPr>
          <w:p w:rsidR="005F26DA" w:rsidRPr="00D06A38" w:rsidRDefault="005F26DA" w:rsidP="008176E8">
            <w:pPr>
              <w:rPr>
                <w:rFonts w:ascii="Times New Roman" w:hAnsi="Times New Roman" w:cs="Times New Roman"/>
                <w:i/>
                <w:iCs/>
                <w:lang w:val="en-US"/>
              </w:rPr>
            </w:pPr>
            <w:r w:rsidRPr="00D06A38">
              <w:rPr>
                <w:rFonts w:ascii="Times New Roman" w:hAnsi="Times New Roman" w:cs="Times New Roman"/>
                <w:i/>
                <w:iCs/>
                <w:lang w:val="en-US"/>
              </w:rPr>
              <w:t>Calibration standards</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CE(18:0)</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CE(18:2)</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Cer(d18:0/18:1(9Z))</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DG(18:0/18:2)</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LPC(16:0)</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LPC(18:0)</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LPC(18:1)</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LPE(18:1)</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PC(16:0e/18:1(9Z))</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PC(18:0p/18:1(9Z))</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PC(18:0p/22:6)</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PE(16:0/18:1)</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PE(16:0/18:1(9Z))</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TG(16:0/16:0/16:0)</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TG(18:0/18:0/18:0)</w:t>
            </w:r>
          </w:p>
        </w:tc>
        <w:tc>
          <w:tcPr>
            <w:tcW w:w="4962" w:type="dxa"/>
          </w:tcPr>
          <w:p w:rsidR="005F26DA" w:rsidRPr="00D06A38" w:rsidRDefault="005F26DA" w:rsidP="008176E8">
            <w:pPr>
              <w:rPr>
                <w:rFonts w:ascii="Times New Roman" w:hAnsi="Times New Roman" w:cs="Times New Roman"/>
                <w:i/>
                <w:iCs/>
                <w:lang w:val="en-US"/>
              </w:rPr>
            </w:pPr>
            <w:r w:rsidRPr="00D06A38">
              <w:rPr>
                <w:rFonts w:ascii="Times New Roman" w:hAnsi="Times New Roman" w:cs="Times New Roman"/>
                <w:i/>
                <w:iCs/>
                <w:lang w:val="en-US"/>
              </w:rPr>
              <w:t>Calibration standards</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7-oxo-hyocholic acid (7-oxo-HCA)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7-oxo-deoxycholic acid (7-oxo-DCA)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 xml:space="preserve">alpha-Muricholic acid (αMCA) </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beta-Muricholic acid (βMCA)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omega-Muricholic acid (ω</w:t>
            </w:r>
            <w:r w:rsidRPr="00D06A38">
              <w:rPr>
                <w:rFonts w:ascii="Times New Roman" w:eastAsia="Times New Roman" w:hAnsi="Times New Roman" w:cs="Times New Roman"/>
                <w:color w:val="000000"/>
                <w:lang w:val="en-US"/>
              </w:rPr>
              <w:t>MCA)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Cholic acid (CA)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Deoxycholic acid (DCA)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Glycocholic acid (GCA)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Glycochenodeoxycholic acid (GCDCA)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Glycodeoxycholic acid (GDCA)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Glycolitocholic acid (GLCA)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Glycoursodeoxycholic acid (GUDCA)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Hyodeoxycholic acid (HDCA)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Litocholic acid (LCA)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Tauro-alpha-muricholic acid (TαMCA)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Tauro-beta-muricholic acid (TβMCA)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Tauro-omega-muricholic acid (Tω</w:t>
            </w:r>
            <w:r w:rsidRPr="00D06A38">
              <w:rPr>
                <w:rFonts w:ascii="Times New Roman" w:eastAsia="Times New Roman" w:hAnsi="Times New Roman" w:cs="Times New Roman"/>
                <w:color w:val="000000"/>
                <w:lang w:val="en-US"/>
              </w:rPr>
              <w:t>MCA)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Taurocholic acid (TCA)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Taurochenodeoxycholic acid (TCDCA)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Taurodeoxycjolic acid (TDCA)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Taurohyodeoxycholic acid (THDCA)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Taurolitocholic acid (TLCA)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Tauroursodeoxycholic acid (TUDCA)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Perfluorooctanoic acid (PFOA)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Perfluorononanoic acid (PFNA)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Perfluorodecanoic acid (PFDA)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Perfluoroundecanoic acid (PFUnDA)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Perfluorohexanesulfonic acid (PFHxS)</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Perfluorooctanesulfonic acid (PFOS)</w:t>
            </w:r>
          </w:p>
        </w:tc>
        <w:tc>
          <w:tcPr>
            <w:tcW w:w="2835" w:type="dxa"/>
          </w:tcPr>
          <w:p w:rsidR="005F26DA" w:rsidRPr="00D06A38" w:rsidRDefault="005F26DA" w:rsidP="008176E8">
            <w:pPr>
              <w:rPr>
                <w:rFonts w:ascii="Times New Roman" w:hAnsi="Times New Roman" w:cs="Times New Roman"/>
                <w:i/>
                <w:iCs/>
                <w:lang w:val="en-US"/>
              </w:rPr>
            </w:pPr>
            <w:r w:rsidRPr="00D06A38">
              <w:rPr>
                <w:rFonts w:ascii="Times New Roman" w:hAnsi="Times New Roman" w:cs="Times New Roman"/>
                <w:i/>
                <w:iCs/>
                <w:lang w:val="en-US"/>
              </w:rPr>
              <w:t>Calibration standards</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Alanine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Asparagine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Aspartic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Glutamic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Glutamine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Glycine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Isoleucine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Leucine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Methionine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Ornithine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Phenylalanine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Proline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Serine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Threonine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Valine</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2-hydroxybutyric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3-hydroxybutyric acid Arachidonic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Citric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Fumaric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Isocitric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Lactic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Linoleic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Malic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Octanoic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Oleic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Palmitic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Stearic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Succinic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Cholesterol</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Fructose</w:t>
            </w:r>
          </w:p>
          <w:p w:rsidR="005F26DA" w:rsidRPr="00D06A38" w:rsidRDefault="005F26DA" w:rsidP="008176E8">
            <w:pPr>
              <w:rPr>
                <w:rFonts w:ascii="Times New Roman" w:hAnsi="Times New Roman" w:cs="Times New Roman"/>
                <w:b/>
                <w:bCs/>
                <w:lang w:val="en-US"/>
              </w:rPr>
            </w:pPr>
            <w:r w:rsidRPr="00D06A38">
              <w:rPr>
                <w:rFonts w:ascii="Times New Roman" w:hAnsi="Times New Roman" w:cs="Times New Roman"/>
                <w:lang w:val="en-US"/>
              </w:rPr>
              <w:t>Glycerol-3-phosphate</w:t>
            </w:r>
          </w:p>
        </w:tc>
      </w:tr>
      <w:tr w:rsidR="005F26DA" w:rsidRPr="00D06A38" w:rsidTr="008176E8">
        <w:tc>
          <w:tcPr>
            <w:tcW w:w="2376" w:type="dxa"/>
          </w:tcPr>
          <w:p w:rsidR="005F26DA" w:rsidRPr="00D06A38" w:rsidRDefault="005F26DA" w:rsidP="008176E8">
            <w:pPr>
              <w:rPr>
                <w:rFonts w:ascii="Times New Roman" w:hAnsi="Times New Roman" w:cs="Times New Roman"/>
                <w:i/>
                <w:iCs/>
                <w:lang w:val="en-US"/>
              </w:rPr>
            </w:pPr>
            <w:r w:rsidRPr="00D06A38">
              <w:rPr>
                <w:rFonts w:ascii="Times New Roman" w:hAnsi="Times New Roman" w:cs="Times New Roman"/>
                <w:i/>
                <w:iCs/>
                <w:lang w:val="en-US"/>
              </w:rPr>
              <w:t>Internal standards</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Cer(d18:1/17:0)</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LPC(17:0)</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PC(16:0/d31/18:1)</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PC(17:0/17:0)</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PE(17:0/17:0)</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SM(d18:1/17:0)</w:t>
            </w:r>
          </w:p>
          <w:p w:rsidR="005F26DA" w:rsidRPr="00D06A38" w:rsidRDefault="005F26DA" w:rsidP="008176E8">
            <w:pPr>
              <w:rPr>
                <w:rFonts w:ascii="Times New Roman" w:hAnsi="Times New Roman" w:cs="Times New Roman"/>
                <w:b/>
                <w:bCs/>
                <w:lang w:val="en-US"/>
              </w:rPr>
            </w:pPr>
            <w:r w:rsidRPr="00D06A38">
              <w:rPr>
                <w:rFonts w:ascii="Times New Roman" w:hAnsi="Times New Roman" w:cs="Times New Roman"/>
                <w:lang w:val="en-US"/>
              </w:rPr>
              <w:t>TG(17:0/17:0/17:0)</w:t>
            </w:r>
          </w:p>
        </w:tc>
        <w:tc>
          <w:tcPr>
            <w:tcW w:w="4962" w:type="dxa"/>
          </w:tcPr>
          <w:p w:rsidR="005F26DA" w:rsidRPr="00D06A38" w:rsidRDefault="005F26DA" w:rsidP="008176E8">
            <w:pPr>
              <w:rPr>
                <w:rFonts w:ascii="Times New Roman" w:hAnsi="Times New Roman" w:cs="Times New Roman"/>
                <w:i/>
                <w:iCs/>
              </w:rPr>
            </w:pPr>
            <w:r w:rsidRPr="00D06A38">
              <w:rPr>
                <w:rFonts w:ascii="Times New Roman" w:hAnsi="Times New Roman" w:cs="Times New Roman"/>
                <w:i/>
                <w:iCs/>
              </w:rPr>
              <w:t>Internal standards</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C4]-PFPeA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C2]-PFHxA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C4]-PFHpA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C4]-PFOA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C5]-PFNA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C2]-PFDA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C2]-PFUnDA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C2]-PFDoDA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C3]-PFBS</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18</w:t>
            </w:r>
            <w:r w:rsidRPr="00D06A38">
              <w:rPr>
                <w:rFonts w:ascii="Times New Roman" w:hAnsi="Times New Roman" w:cs="Times New Roman"/>
              </w:rPr>
              <w:t>O3]-PFHxS</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C4]-PFOS</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2</w:t>
            </w:r>
            <w:r w:rsidRPr="00D06A38">
              <w:rPr>
                <w:rFonts w:ascii="Times New Roman" w:hAnsi="Times New Roman" w:cs="Times New Roman"/>
              </w:rPr>
              <w:t>D4]-CDCA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2</w:t>
            </w:r>
            <w:r w:rsidRPr="00D06A38">
              <w:rPr>
                <w:rFonts w:ascii="Times New Roman" w:hAnsi="Times New Roman" w:cs="Times New Roman"/>
                <w:lang w:val="en-US"/>
              </w:rPr>
              <w:t>D4]-CA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2</w:t>
            </w:r>
            <w:r w:rsidRPr="00D06A38">
              <w:rPr>
                <w:rFonts w:ascii="Times New Roman" w:hAnsi="Times New Roman" w:cs="Times New Roman"/>
                <w:lang w:val="en-US"/>
              </w:rPr>
              <w:t>D4]-DCA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2</w:t>
            </w:r>
            <w:r w:rsidRPr="00D06A38">
              <w:rPr>
                <w:rFonts w:ascii="Times New Roman" w:hAnsi="Times New Roman" w:cs="Times New Roman"/>
                <w:lang w:val="en-US"/>
              </w:rPr>
              <w:t>D4]-GCDCA</w:t>
            </w:r>
          </w:p>
          <w:p w:rsidR="005F26DA" w:rsidRPr="00D06A38" w:rsidRDefault="005F26DA" w:rsidP="008176E8">
            <w:pPr>
              <w:rPr>
                <w:rFonts w:ascii="Times New Roman" w:hAnsi="Times New Roman" w:cs="Times New Roman"/>
              </w:rPr>
            </w:pPr>
            <w:r w:rsidRPr="00D06A38">
              <w:rPr>
                <w:rFonts w:ascii="Times New Roman" w:hAnsi="Times New Roman" w:cs="Times New Roman"/>
              </w:rPr>
              <w:lastRenderedPageBreak/>
              <w:t>[</w:t>
            </w:r>
            <w:r w:rsidRPr="00D06A38">
              <w:rPr>
                <w:rFonts w:ascii="Times New Roman" w:hAnsi="Times New Roman" w:cs="Times New Roman"/>
                <w:vertAlign w:val="superscript"/>
              </w:rPr>
              <w:t>2</w:t>
            </w:r>
            <w:r w:rsidRPr="00D06A38">
              <w:rPr>
                <w:rFonts w:ascii="Times New Roman" w:hAnsi="Times New Roman" w:cs="Times New Roman"/>
              </w:rPr>
              <w:t>D4]-GCA</w:t>
            </w:r>
          </w:p>
          <w:p w:rsidR="005F26DA" w:rsidRPr="00D06A38" w:rsidRDefault="005F26DA" w:rsidP="008176E8">
            <w:pPr>
              <w:rPr>
                <w:rFonts w:ascii="Times New Roman" w:hAnsi="Times New Roman" w:cs="Times New Roman"/>
              </w:rPr>
            </w:pPr>
            <w:r w:rsidRPr="00D06A38">
              <w:rPr>
                <w:rFonts w:ascii="Times New Roman" w:hAnsi="Times New Roman" w:cs="Times New Roman"/>
              </w:rPr>
              <w:t>[D4]-GLCA</w:t>
            </w:r>
          </w:p>
          <w:p w:rsidR="005F26DA" w:rsidRPr="00D06A38" w:rsidRDefault="005F26DA" w:rsidP="008176E8">
            <w:pPr>
              <w:rPr>
                <w:rFonts w:ascii="Times New Roman" w:hAnsi="Times New Roman" w:cs="Times New Roman"/>
              </w:rPr>
            </w:pPr>
            <w:r w:rsidRPr="00D06A38">
              <w:rPr>
                <w:rFonts w:ascii="Times New Roman" w:hAnsi="Times New Roman" w:cs="Times New Roman"/>
              </w:rPr>
              <w:t>[D4]-GUDCA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[D4]-LCA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[D4]-TCA</w:t>
            </w:r>
          </w:p>
          <w:p w:rsidR="005F26DA" w:rsidRPr="00D06A38" w:rsidRDefault="005F26DA" w:rsidP="008176E8">
            <w:pPr>
              <w:rPr>
                <w:rFonts w:ascii="Times New Roman" w:hAnsi="Times New Roman" w:cs="Times New Roman"/>
                <w:b/>
                <w:bCs/>
                <w:lang w:val="en-US"/>
              </w:rPr>
            </w:pPr>
            <w:r w:rsidRPr="00D06A38">
              <w:rPr>
                <w:rFonts w:ascii="Times New Roman" w:hAnsi="Times New Roman" w:cs="Times New Roman"/>
                <w:lang w:val="en-US"/>
              </w:rPr>
              <w:t>[D4]-UDCA</w:t>
            </w:r>
          </w:p>
        </w:tc>
        <w:tc>
          <w:tcPr>
            <w:tcW w:w="2835" w:type="dxa"/>
          </w:tcPr>
          <w:p w:rsidR="005F26DA" w:rsidRPr="00D06A38" w:rsidRDefault="005F26DA" w:rsidP="008176E8">
            <w:pPr>
              <w:rPr>
                <w:rFonts w:ascii="Times New Roman" w:hAnsi="Times New Roman" w:cs="Times New Roman"/>
                <w:i/>
                <w:iCs/>
                <w:lang w:val="en-US"/>
              </w:rPr>
            </w:pPr>
            <w:r w:rsidRPr="00D06A38">
              <w:rPr>
                <w:rFonts w:ascii="Times New Roman" w:hAnsi="Times New Roman" w:cs="Times New Roman"/>
                <w:i/>
                <w:iCs/>
                <w:lang w:val="en-US"/>
              </w:rPr>
              <w:lastRenderedPageBreak/>
              <w:t>Internal standards</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Heptadecanoic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2</w:t>
            </w:r>
            <w:r w:rsidRPr="00D06A38">
              <w:rPr>
                <w:rFonts w:ascii="Times New Roman" w:hAnsi="Times New Roman" w:cs="Times New Roman"/>
                <w:lang w:val="en-US"/>
              </w:rPr>
              <w:t>D5]-glutamic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2</w:t>
            </w:r>
            <w:r w:rsidRPr="00D06A38">
              <w:rPr>
                <w:rFonts w:ascii="Times New Roman" w:hAnsi="Times New Roman" w:cs="Times New Roman"/>
                <w:lang w:val="en-US"/>
              </w:rPr>
              <w:t>D4]-succinic acid</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2</w:t>
            </w:r>
            <w:r w:rsidRPr="00D06A38">
              <w:rPr>
                <w:rFonts w:ascii="Times New Roman" w:hAnsi="Times New Roman" w:cs="Times New Roman"/>
                <w:lang w:val="en-US"/>
              </w:rPr>
              <w:t>D8]-valine</w:t>
            </w:r>
          </w:p>
          <w:p w:rsidR="005F26DA" w:rsidRPr="00D06A38" w:rsidRDefault="005F26DA" w:rsidP="008176E8">
            <w:pPr>
              <w:rPr>
                <w:rFonts w:ascii="Times New Roman" w:hAnsi="Times New Roman" w:cs="Times New Roman"/>
                <w:b/>
                <w:bCs/>
                <w:lang w:val="en-US"/>
              </w:rPr>
            </w:pPr>
          </w:p>
        </w:tc>
      </w:tr>
      <w:tr w:rsidR="005F26DA" w:rsidRPr="00D06A38" w:rsidTr="008176E8">
        <w:tc>
          <w:tcPr>
            <w:tcW w:w="2376" w:type="dxa"/>
          </w:tcPr>
          <w:p w:rsidR="005F26DA" w:rsidRPr="00D06A38" w:rsidRDefault="005F26DA" w:rsidP="008176E8">
            <w:pPr>
              <w:rPr>
                <w:rFonts w:ascii="Times New Roman" w:hAnsi="Times New Roman" w:cs="Times New Roman"/>
                <w:b/>
                <w:bCs/>
                <w:lang w:val="en-US"/>
              </w:rPr>
            </w:pPr>
          </w:p>
        </w:tc>
        <w:tc>
          <w:tcPr>
            <w:tcW w:w="4962" w:type="dxa"/>
          </w:tcPr>
          <w:p w:rsidR="005F26DA" w:rsidRPr="00D06A38" w:rsidRDefault="005F26DA" w:rsidP="008176E8">
            <w:pPr>
              <w:rPr>
                <w:rFonts w:ascii="Times New Roman" w:hAnsi="Times New Roman" w:cs="Times New Roman"/>
                <w:i/>
                <w:iCs/>
                <w:lang w:val="en-US"/>
              </w:rPr>
            </w:pPr>
            <w:r w:rsidRPr="00D06A38">
              <w:rPr>
                <w:rFonts w:ascii="Times New Roman" w:hAnsi="Times New Roman" w:cs="Times New Roman"/>
                <w:i/>
                <w:iCs/>
                <w:lang w:val="en-US"/>
              </w:rPr>
              <w:t>Injection standards</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13</w:t>
            </w:r>
            <w:r w:rsidRPr="00D06A38">
              <w:rPr>
                <w:rFonts w:ascii="Times New Roman" w:hAnsi="Times New Roman" w:cs="Times New Roman"/>
                <w:lang w:val="en-US"/>
              </w:rPr>
              <w:t>C5]-PFpeA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13</w:t>
            </w:r>
            <w:r w:rsidRPr="00D06A38">
              <w:rPr>
                <w:rFonts w:ascii="Times New Roman" w:hAnsi="Times New Roman" w:cs="Times New Roman"/>
                <w:lang w:val="en-US"/>
              </w:rPr>
              <w:t>C5]-PFHxA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13</w:t>
            </w:r>
            <w:r w:rsidRPr="00D06A38">
              <w:rPr>
                <w:rFonts w:ascii="Times New Roman" w:hAnsi="Times New Roman" w:cs="Times New Roman"/>
                <w:lang w:val="en-US"/>
              </w:rPr>
              <w:t>C8]-PFOA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13</w:t>
            </w:r>
            <w:r w:rsidRPr="00D06A38">
              <w:rPr>
                <w:rFonts w:ascii="Times New Roman" w:hAnsi="Times New Roman" w:cs="Times New Roman"/>
                <w:lang w:val="en-US"/>
              </w:rPr>
              <w:t>C9]-PFNA</w:t>
            </w:r>
          </w:p>
          <w:p w:rsidR="005F26DA" w:rsidRPr="00D06A38" w:rsidRDefault="005F26DA" w:rsidP="008176E8">
            <w:pPr>
              <w:rPr>
                <w:rFonts w:ascii="Times New Roman" w:hAnsi="Times New Roman" w:cs="Times New Roman"/>
                <w:lang w:val="en-US"/>
              </w:rPr>
            </w:pPr>
            <w:r w:rsidRPr="00D06A38">
              <w:rPr>
                <w:rFonts w:ascii="Times New Roman" w:hAnsi="Times New Roman" w:cs="Times New Roman"/>
                <w:lang w:val="en-US"/>
              </w:rPr>
              <w:t>[</w:t>
            </w:r>
            <w:r w:rsidRPr="00D06A38">
              <w:rPr>
                <w:rFonts w:ascii="Times New Roman" w:hAnsi="Times New Roman" w:cs="Times New Roman"/>
                <w:vertAlign w:val="superscript"/>
                <w:lang w:val="en-US"/>
              </w:rPr>
              <w:t>13</w:t>
            </w:r>
            <w:r w:rsidRPr="00D06A38">
              <w:rPr>
                <w:rFonts w:ascii="Times New Roman" w:hAnsi="Times New Roman" w:cs="Times New Roman"/>
                <w:lang w:val="en-US"/>
              </w:rPr>
              <w:t>C6]-PFDA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C7]-PFUnDA</w:t>
            </w:r>
          </w:p>
          <w:p w:rsidR="005F26DA" w:rsidRPr="00D06A38" w:rsidRDefault="005F26DA" w:rsidP="008176E8">
            <w:pPr>
              <w:rPr>
                <w:rFonts w:ascii="Times New Roman" w:hAnsi="Times New Roman" w:cs="Times New Roman"/>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C4]-PFHxS</w:t>
            </w:r>
          </w:p>
          <w:p w:rsidR="005F26DA" w:rsidRPr="00D06A38" w:rsidRDefault="005F26DA" w:rsidP="008176E8">
            <w:pPr>
              <w:rPr>
                <w:rFonts w:ascii="Times New Roman" w:hAnsi="Times New Roman" w:cs="Times New Roman"/>
                <w:b/>
                <w:bCs/>
              </w:rPr>
            </w:pPr>
            <w:r w:rsidRPr="00D06A38">
              <w:rPr>
                <w:rFonts w:ascii="Times New Roman" w:hAnsi="Times New Roman" w:cs="Times New Roman"/>
              </w:rPr>
              <w:t>[</w:t>
            </w:r>
            <w:r w:rsidRPr="00D06A38">
              <w:rPr>
                <w:rFonts w:ascii="Times New Roman" w:hAnsi="Times New Roman" w:cs="Times New Roman"/>
                <w:vertAlign w:val="superscript"/>
              </w:rPr>
              <w:t>13</w:t>
            </w:r>
            <w:r w:rsidRPr="00D06A38">
              <w:rPr>
                <w:rFonts w:ascii="Times New Roman" w:hAnsi="Times New Roman" w:cs="Times New Roman"/>
              </w:rPr>
              <w:t>C8]-PFOS</w:t>
            </w:r>
          </w:p>
        </w:tc>
        <w:tc>
          <w:tcPr>
            <w:tcW w:w="2835" w:type="dxa"/>
          </w:tcPr>
          <w:p w:rsidR="005F26DA" w:rsidRPr="00D06A38" w:rsidRDefault="005F26DA" w:rsidP="008176E8">
            <w:pPr>
              <w:rPr>
                <w:rFonts w:ascii="Times New Roman" w:hAnsi="Times New Roman" w:cs="Times New Roman"/>
                <w:b/>
                <w:bCs/>
              </w:rPr>
            </w:pPr>
          </w:p>
        </w:tc>
      </w:tr>
    </w:tbl>
    <w:p w:rsidR="005F26DA" w:rsidRPr="00D06A38" w:rsidRDefault="005F26DA" w:rsidP="005F26DA">
      <w:pPr>
        <w:spacing w:after="0" w:line="240" w:lineRule="auto"/>
        <w:jc w:val="both"/>
        <w:rPr>
          <w:rFonts w:ascii="Times New Roman" w:hAnsi="Times New Roman" w:cs="Times New Roman"/>
        </w:rPr>
      </w:pPr>
      <w:r w:rsidRPr="00D06A38">
        <w:rPr>
          <w:rFonts w:ascii="Times New Roman" w:hAnsi="Times New Roman" w:cs="Times New Roman"/>
          <w:b/>
          <w:bCs/>
        </w:rPr>
        <w:t>Supplementary Table A2.</w:t>
      </w:r>
      <w:r w:rsidRPr="00D06A38">
        <w:rPr>
          <w:rFonts w:ascii="Times New Roman" w:hAnsi="Times New Roman" w:cs="Times New Roman"/>
        </w:rPr>
        <w:t xml:space="preserve"> Level of identification based on Metabolomics Standard initiative, fold changes in median metabolite concentrations and p-values obtained after ANOVA and Tukey’s HSD post-hoc tests. Significant changes marked in green</w:t>
      </w:r>
    </w:p>
    <w:tbl>
      <w:tblPr>
        <w:tblW w:w="9382" w:type="dxa"/>
        <w:tblLook w:val="04A0" w:firstRow="1" w:lastRow="0" w:firstColumn="1" w:lastColumn="0" w:noHBand="0" w:noVBand="1"/>
      </w:tblPr>
      <w:tblGrid>
        <w:gridCol w:w="2962"/>
        <w:gridCol w:w="1204"/>
        <w:gridCol w:w="1080"/>
        <w:gridCol w:w="1204"/>
        <w:gridCol w:w="1080"/>
        <w:gridCol w:w="1204"/>
        <w:gridCol w:w="1080"/>
      </w:tblGrid>
      <w:tr w:rsidR="005F26DA" w:rsidRPr="00D06A38" w:rsidTr="008176E8">
        <w:trPr>
          <w:trHeight w:val="300"/>
        </w:trPr>
        <w:tc>
          <w:tcPr>
            <w:tcW w:w="2962" w:type="dxa"/>
            <w:tcBorders>
              <w:top w:val="single" w:sz="4" w:space="0" w:color="auto"/>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140" w:type="dxa"/>
            <w:gridSpan w:val="2"/>
            <w:tcBorders>
              <w:top w:val="single" w:sz="4" w:space="0" w:color="auto"/>
              <w:left w:val="nil"/>
              <w:bottom w:val="double" w:sz="6" w:space="0" w:color="auto"/>
              <w:right w:val="single" w:sz="4" w:space="0" w:color="000000"/>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b/>
                <w:bCs/>
                <w:color w:val="000000"/>
              </w:rPr>
            </w:pPr>
            <w:r w:rsidRPr="00D06A38">
              <w:rPr>
                <w:rFonts w:ascii="Times New Roman" w:eastAsia="Times New Roman" w:hAnsi="Times New Roman" w:cs="Times New Roman"/>
                <w:b/>
                <w:bCs/>
                <w:color w:val="000000"/>
              </w:rPr>
              <w:t>Low/Ctrl</w:t>
            </w:r>
          </w:p>
        </w:tc>
        <w:tc>
          <w:tcPr>
            <w:tcW w:w="2140" w:type="dxa"/>
            <w:gridSpan w:val="2"/>
            <w:tcBorders>
              <w:top w:val="single" w:sz="4" w:space="0" w:color="auto"/>
              <w:left w:val="nil"/>
              <w:bottom w:val="double" w:sz="6" w:space="0" w:color="auto"/>
              <w:right w:val="single" w:sz="4" w:space="0" w:color="000000"/>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b/>
                <w:bCs/>
                <w:color w:val="000000"/>
              </w:rPr>
            </w:pPr>
            <w:r w:rsidRPr="00D06A38">
              <w:rPr>
                <w:rFonts w:ascii="Times New Roman" w:eastAsia="Times New Roman" w:hAnsi="Times New Roman" w:cs="Times New Roman"/>
                <w:b/>
                <w:bCs/>
                <w:color w:val="000000"/>
              </w:rPr>
              <w:t>High/Ctrl</w:t>
            </w:r>
          </w:p>
        </w:tc>
        <w:tc>
          <w:tcPr>
            <w:tcW w:w="2140" w:type="dxa"/>
            <w:gridSpan w:val="2"/>
            <w:tcBorders>
              <w:top w:val="single" w:sz="4" w:space="0" w:color="auto"/>
              <w:left w:val="nil"/>
              <w:bottom w:val="double" w:sz="6" w:space="0" w:color="auto"/>
              <w:right w:val="single" w:sz="4" w:space="0" w:color="000000"/>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b/>
                <w:bCs/>
                <w:color w:val="000000"/>
              </w:rPr>
            </w:pPr>
            <w:r w:rsidRPr="00D06A38">
              <w:rPr>
                <w:rFonts w:ascii="Times New Roman" w:eastAsia="Times New Roman" w:hAnsi="Times New Roman" w:cs="Times New Roman"/>
                <w:b/>
                <w:bCs/>
                <w:color w:val="000000"/>
              </w:rPr>
              <w:t>High/Low</w:t>
            </w:r>
          </w:p>
        </w:tc>
      </w:tr>
      <w:tr w:rsidR="005F26DA" w:rsidRPr="00D06A38" w:rsidTr="008176E8">
        <w:trPr>
          <w:trHeight w:val="300"/>
        </w:trPr>
        <w:tc>
          <w:tcPr>
            <w:tcW w:w="2962" w:type="dxa"/>
            <w:tcBorders>
              <w:top w:val="double" w:sz="6" w:space="0" w:color="auto"/>
              <w:left w:val="single" w:sz="4" w:space="0" w:color="auto"/>
              <w:bottom w:val="single" w:sz="4" w:space="0" w:color="auto"/>
              <w:right w:val="single" w:sz="4" w:space="0" w:color="auto"/>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Metabolite [level of identification]</w:t>
            </w:r>
          </w:p>
        </w:tc>
        <w:tc>
          <w:tcPr>
            <w:tcW w:w="1204" w:type="dxa"/>
            <w:tcBorders>
              <w:top w:val="nil"/>
              <w:left w:val="nil"/>
              <w:bottom w:val="single" w:sz="4" w:space="0" w:color="auto"/>
              <w:right w:val="nil"/>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Fold change</w:t>
            </w:r>
          </w:p>
        </w:tc>
        <w:tc>
          <w:tcPr>
            <w:tcW w:w="936" w:type="dxa"/>
            <w:tcBorders>
              <w:top w:val="nil"/>
              <w:left w:val="nil"/>
              <w:bottom w:val="single" w:sz="4" w:space="0" w:color="auto"/>
              <w:right w:val="single" w:sz="4" w:space="0" w:color="auto"/>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p-value</w:t>
            </w:r>
          </w:p>
        </w:tc>
        <w:tc>
          <w:tcPr>
            <w:tcW w:w="1204" w:type="dxa"/>
            <w:tcBorders>
              <w:top w:val="nil"/>
              <w:left w:val="nil"/>
              <w:bottom w:val="single" w:sz="4" w:space="0" w:color="auto"/>
              <w:right w:val="nil"/>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Fold change</w:t>
            </w:r>
          </w:p>
        </w:tc>
        <w:tc>
          <w:tcPr>
            <w:tcW w:w="936" w:type="dxa"/>
            <w:tcBorders>
              <w:top w:val="nil"/>
              <w:left w:val="nil"/>
              <w:bottom w:val="single" w:sz="4" w:space="0" w:color="auto"/>
              <w:right w:val="single" w:sz="4" w:space="0" w:color="auto"/>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p-value</w:t>
            </w:r>
          </w:p>
        </w:tc>
        <w:tc>
          <w:tcPr>
            <w:tcW w:w="1204" w:type="dxa"/>
            <w:tcBorders>
              <w:top w:val="nil"/>
              <w:left w:val="nil"/>
              <w:bottom w:val="single" w:sz="4" w:space="0" w:color="auto"/>
              <w:right w:val="nil"/>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Fold change</w:t>
            </w:r>
          </w:p>
        </w:tc>
        <w:tc>
          <w:tcPr>
            <w:tcW w:w="936" w:type="dxa"/>
            <w:tcBorders>
              <w:top w:val="nil"/>
              <w:left w:val="nil"/>
              <w:bottom w:val="single" w:sz="4" w:space="0" w:color="auto"/>
              <w:right w:val="single" w:sz="4" w:space="0" w:color="auto"/>
            </w:tcBorders>
            <w:shd w:val="clear" w:color="auto" w:fill="auto"/>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p-value</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FE699"/>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 </w:t>
            </w:r>
          </w:p>
        </w:tc>
        <w:tc>
          <w:tcPr>
            <w:tcW w:w="6420" w:type="dxa"/>
            <w:gridSpan w:val="6"/>
            <w:tcBorders>
              <w:top w:val="single" w:sz="4" w:space="0" w:color="auto"/>
              <w:left w:val="nil"/>
              <w:bottom w:val="single" w:sz="4" w:space="0" w:color="auto"/>
              <w:right w:val="single" w:sz="4" w:space="0" w:color="000000"/>
            </w:tcBorders>
            <w:shd w:val="clear" w:color="000000" w:fill="FFE699"/>
            <w:noWrap/>
            <w:vAlign w:val="bottom"/>
            <w:hideMark/>
          </w:tcPr>
          <w:p w:rsidR="005F26DA" w:rsidRPr="00D06A38" w:rsidRDefault="005F26DA" w:rsidP="008176E8">
            <w:pPr>
              <w:spacing w:after="0" w:line="240" w:lineRule="auto"/>
              <w:jc w:val="center"/>
              <w:rPr>
                <w:rFonts w:ascii="Times New Roman" w:eastAsia="Times New Roman" w:hAnsi="Times New Roman" w:cs="Times New Roman"/>
                <w:b/>
                <w:bCs/>
                <w:i/>
                <w:iCs/>
                <w:color w:val="000000"/>
              </w:rPr>
            </w:pPr>
            <w:r w:rsidRPr="00D06A38">
              <w:rPr>
                <w:rFonts w:ascii="Times New Roman" w:eastAsia="Times New Roman" w:hAnsi="Times New Roman" w:cs="Times New Roman"/>
                <w:b/>
                <w:bCs/>
                <w:i/>
                <w:iCs/>
                <w:color w:val="000000"/>
              </w:rPr>
              <w:t>Polar metabolites</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Lactic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5.44E-02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2.90E-03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Alanine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9.09E-01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2-Hydroxybutyric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9.17E-01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7.44E-01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3-Hydroxybutyric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5.42E-01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3.88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3.20E-11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3.30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2.67E-10</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Valine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4.23E-01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3.28E-01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Octanoic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4.73E-01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3.97E-01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Leucine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8.59E-01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6.42E-01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9.35E-01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Isoleucine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1.99E-01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Proline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9.04E-01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8.16E-01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Glycine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7.13E-02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5.34E-02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Succinic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8.65E-01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1.96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3.75E-01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Fumaric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9.57E-01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2.68E-02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5.87E-02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Serine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4.94E-01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2.27E-02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2.46E-01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Threonine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6.61E-01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3.48E-03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3.22E-02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Malic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3.12E-01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Aspartic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8.87E-01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3.76E-04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1.60E-03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Methionine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8.15E-01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9.32E-02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3.00E-01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Glutamic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8.61E-01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1.73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7.31E-07</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3.57E-06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Phenylalanine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8.55E-01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8.02E-01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Asparagine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2.73E-02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4.98E-02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Glycerol-3-phosphate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7.57E-02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1.39E-04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3.88E-02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Glutamine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6.49E-01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8.64E-02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1.59E-02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Ornithine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8.20E-01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5.14E-01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2.36E-01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Citric and isocitric acids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7.61E-01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7.18E-01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3.29E-01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Fructose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Palmitic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6.38E-03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3.84E-02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6.39E-01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Linoleic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5.13E-01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4.44E-02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3.70E-01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lastRenderedPageBreak/>
              <w:t>Oleic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3.58E-01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4.16E-01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3.91E-02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Stearic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7.19E-01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7.90E-04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1.85E-04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Arachidonic acid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4.38E-07</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1.12E-06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Cholesterol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1.07E-02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7.84E-06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1.92E-02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Gondoic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9.28E-01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8.39E-02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Monomyristin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6.56E-01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7.01E-01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2.42E-01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Tartaric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3.50E-01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Glutaric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9.45E-01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4.57E-01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3.14E-01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Gluconic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2.99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9.99E-10</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2.36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1.92E-08</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Uridine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7.88E-01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3.70E-01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7.83E-01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Uric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2.00E-02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7.03E-01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Palmitoleic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3.26E-01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1.48E-03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7.06E-05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2-Palmitoylglycerol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8.98E-01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3.93E-01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Threitol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1.00E+00</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Hexanoic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5.69E-01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6.35E-01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1-Monopalmitin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6.47E-01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6.00E-01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Talofuranose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4.28E-01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5.61E-01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Glycerol monostearate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6.41E-01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4.13E-02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2.58E-01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Maltose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8.20E-01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8.37E-01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Lactose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9.27E-01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2.87E-01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Glyceric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6.70E-01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8.23E-01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Threonic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8.32E-01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5.30E-01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8.84E-01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Glycolic acid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2.72E-02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2.36E-02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1,5-Anhydrohexitol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3.78E-02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1.63E-05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1.10E-02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Myo-Inositol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7.28E-01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5.35E-01</w:t>
            </w:r>
          </w:p>
        </w:tc>
      </w:tr>
      <w:tr w:rsidR="005F26DA" w:rsidRPr="00D06A38" w:rsidTr="008176E8">
        <w:trPr>
          <w:trHeight w:val="288"/>
        </w:trPr>
        <w:tc>
          <w:tcPr>
            <w:tcW w:w="2962" w:type="dxa"/>
            <w:tcBorders>
              <w:top w:val="nil"/>
              <w:left w:val="single" w:sz="4" w:space="0" w:color="auto"/>
              <w:bottom w:val="nil"/>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Glucose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1.99E-01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2.55E-03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1.26E-01</w:t>
            </w:r>
          </w:p>
        </w:tc>
      </w:tr>
      <w:tr w:rsidR="005F26DA" w:rsidRPr="00D06A38" w:rsidTr="008176E8">
        <w:trPr>
          <w:trHeight w:val="288"/>
        </w:trPr>
        <w:tc>
          <w:tcPr>
            <w:tcW w:w="2962"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6420" w:type="dxa"/>
            <w:gridSpan w:val="6"/>
            <w:tcBorders>
              <w:top w:val="single" w:sz="4" w:space="0" w:color="auto"/>
              <w:left w:val="nil"/>
              <w:bottom w:val="single" w:sz="4" w:space="0" w:color="auto"/>
              <w:right w:val="single" w:sz="4" w:space="0" w:color="000000"/>
            </w:tcBorders>
            <w:shd w:val="clear" w:color="000000" w:fill="FFE699"/>
            <w:noWrap/>
            <w:vAlign w:val="bottom"/>
            <w:hideMark/>
          </w:tcPr>
          <w:p w:rsidR="005F26DA" w:rsidRPr="00D06A38" w:rsidRDefault="005F26DA" w:rsidP="008176E8">
            <w:pPr>
              <w:spacing w:after="0" w:line="240" w:lineRule="auto"/>
              <w:jc w:val="center"/>
              <w:rPr>
                <w:rFonts w:ascii="Times New Roman" w:eastAsia="Times New Roman" w:hAnsi="Times New Roman" w:cs="Times New Roman"/>
                <w:b/>
                <w:bCs/>
                <w:i/>
                <w:iCs/>
                <w:color w:val="000000"/>
              </w:rPr>
            </w:pPr>
            <w:r w:rsidRPr="00D06A38">
              <w:rPr>
                <w:rFonts w:ascii="Times New Roman" w:eastAsia="Times New Roman" w:hAnsi="Times New Roman" w:cs="Times New Roman"/>
                <w:b/>
                <w:bCs/>
                <w:i/>
                <w:iCs/>
                <w:color w:val="000000"/>
              </w:rPr>
              <w:t>Bile acids</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TwMCA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6.79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5.54E-01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1.96E-02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TabMCA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3.57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4.37E-01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4.37E-01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5.73E-02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6.28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9.13E-01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TUDCA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3.35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7.41E-02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3.71E-01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4.20E-03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THDCA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3.32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6.05E-01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0.08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2.20E-02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TCDCA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3.17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4.92E-01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1.19E-02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8.85E-01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6.01E-02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0.03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2.69E-02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7-oxo-HCA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3.55E-01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0.05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2.08E-02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7-oxo-DCA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6.60E-01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7.53E-01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9.69E-01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8.32E-01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7.06E-01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waMCA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2.85E-01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1.12E-02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bMCA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0.08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0.04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1.66E-03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1.94E-01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8.17E-01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6.59E-02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GUDCA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9.69E-01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9.14E-01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GCDCA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4.91E-01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5.76E-01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0.09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7.23E-02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0.08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1.20E-01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HDCA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2.51E-02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5.05E-04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DCA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8.52E-01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4.72E-02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GLCA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8.02E-01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5.71E-01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9.34E-01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lastRenderedPageBreak/>
              <w:t>TLCA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3.32E-01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7.86E-01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LCA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2.33E-03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5.92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1.44E-12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4.84E-10</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FE699"/>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6420" w:type="dxa"/>
            <w:gridSpan w:val="6"/>
            <w:tcBorders>
              <w:top w:val="single" w:sz="4" w:space="0" w:color="auto"/>
              <w:left w:val="nil"/>
              <w:bottom w:val="single" w:sz="4" w:space="0" w:color="auto"/>
              <w:right w:val="single" w:sz="4" w:space="0" w:color="000000"/>
            </w:tcBorders>
            <w:shd w:val="clear" w:color="000000" w:fill="FFE699"/>
            <w:noWrap/>
            <w:vAlign w:val="bottom"/>
            <w:hideMark/>
          </w:tcPr>
          <w:p w:rsidR="005F26DA" w:rsidRPr="00D06A38" w:rsidRDefault="005F26DA" w:rsidP="008176E8">
            <w:pPr>
              <w:spacing w:after="0" w:line="240" w:lineRule="auto"/>
              <w:jc w:val="center"/>
              <w:rPr>
                <w:rFonts w:ascii="Times New Roman" w:eastAsia="Times New Roman" w:hAnsi="Times New Roman" w:cs="Times New Roman"/>
                <w:b/>
                <w:bCs/>
                <w:i/>
                <w:iCs/>
                <w:color w:val="000000"/>
              </w:rPr>
            </w:pPr>
            <w:r w:rsidRPr="00D06A38">
              <w:rPr>
                <w:rFonts w:ascii="Times New Roman" w:eastAsia="Times New Roman" w:hAnsi="Times New Roman" w:cs="Times New Roman"/>
                <w:b/>
                <w:bCs/>
                <w:i/>
                <w:iCs/>
                <w:color w:val="000000"/>
              </w:rPr>
              <w:t>Lipids</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CE(16:0)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9.39E-02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CE(18:1)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CE(18:1)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6.60E-02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8.92E-01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CE(16:0)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5.48E-01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4.87E-02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CE(18:2)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7.84E-01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7.84E-01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CE(20:3)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6.33E-01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3.11E-02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1.99E-01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CE(20:3)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2.59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6.88E-06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2.49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1.32E-05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CE(20:3)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6.54E-01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1.76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8.61E-01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3.77E-01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CE(18:2)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6.54E-01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4.51E-01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CE(20:4)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6.83E-01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4.83E-02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2.45E-01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Cer(d18:1/22:0)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5.80E-01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3.84E-01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9.40E-01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Cer(d18:1/23:0)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3.29E-01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9.49E-01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5.14E-01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Cer(d18:1/24:0)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Cer(d18:1/24:1)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7.95E-01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2.82E-01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DG(18:1/18:1)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6.16E-01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4.11E-01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LPC(16:0e)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3.15E-07</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2.88E-05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LPC(16:0p)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8.79E-07</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1.02E-04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LPC(16:1)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1.21E-02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3.36E-04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LPC(18:0)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8.08E-02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2.06E-03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LPC(18:1)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4.52E-01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9.50E-03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8.43E-04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LPC(18:2)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8.64E-01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5.16E-02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LPC(20:3)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3.14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2.34E-07</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2.94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2.54E-07</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LPC(20:4)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6.31E-01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1.02E-05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2.53E-06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LPC(22:5)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9.74E-10</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1.25E-08</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LPC(22:6)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7.44E-01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6.02E-06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2.21E-06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LPE(18:1)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5.44E-01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2.29E-02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2.88E-03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PC(16:0/16:0)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1.79E-01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2.60E-04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2.01E-02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PC(16:0e/18:1(9Z))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7.87E-01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4.44E-02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1.73E-01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PC(18:0/18:0)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4.63E-03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6.51E-05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PC(18:0p/18:1(9Z))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5.25E-04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4.75E-04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PC(18:0p/22:6)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2.61E-04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4.77E-04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PC(30:0)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2.35E-01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4.23E-03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PC(31:0)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6.57E-04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7.91E-04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PC(32:1)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2.48E-02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9.27E-01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1.40E-02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PC(32:2)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1.52E-02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6.71E-03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9.31E-01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PC(33:1)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1.55E-02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1.76E-02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PC(34:1)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9.54E-03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1.13E-04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PC(34:2)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1.06E-02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1.23E-02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PC(34:3)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1.25E-02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1.05E-02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PC(35:1)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8.31E-02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1.83E-04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3.46E-02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PC(35:2)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5.10E-01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3.43E-07</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4.57E-06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PC(35:2)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9.00E-01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8.86E-02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4.43E-02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PC(35:3)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6.54E-04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1.90E-02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3.29E-01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lastRenderedPageBreak/>
              <w:t>PC(35:3)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1.66E-03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2.72E-02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9.09E-01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2.39E-04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8.40E-04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8.37E-02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4.11E-06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7.37E-04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7.73E-01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1.46E-04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9.31E-04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3.52E-02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8.33E-04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5.33E-01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7.04E-01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6.94E-02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6.55E-05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1.60E-02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7.15E-03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3.26E-02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2.54E-05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7.36E-01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8.82E-02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3.36E-01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PC(37:1)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7.20E-04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8.30E-04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PC(37:2)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9.11E-01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4.08E-05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1.44E-04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PC(37:3)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9.03E-01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7.12E-01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4.76E-01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PC(37:3)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9.25E-01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1.61E-02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8.97E-03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PC(37:4)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9.52E-01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1.04E-07</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1.02E-07</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2.53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1.07E-06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1.51E-06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5.77E-01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1.89E-05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3.78E-06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2.55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3.06E-06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5.46E-06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7.24E-01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7.10E-05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2.09E-05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6.47E-01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7.26E-03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5.79E-02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8.86E-02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8.16E-06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1.44E-03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4.60E-01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5.62E-06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1.04E-04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8.76E-01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4.75E-02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PC(39:6)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5.31E-01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2.00E-04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2.86E-05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9.00E-01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4.97E-02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4.61E-03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3.84E-03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1.00E+00</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4.02E-06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6.13E-06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6.60E-01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2.73E-02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9.57E-01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9.00E-01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6.94E-01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3.92E-01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6.87E-01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1.00E-05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2.97E-06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PC(40:7)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1.00E+00</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2.33E-01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2.55E-01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PC(40:7)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9.41E-03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1.65E-02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PC(40:8)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8.50E-01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2.88E-04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1.33E-03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PC(O-32:0)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3.61E-06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6.54E-06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PC(O-32:1)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6.13E-01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3.17E-05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3.58E-04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PC(O-34:2)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3.20E-01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1.81E-05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6.36E-04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PC(O-34:3)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1.15E-03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9.01E-02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PC(O-36:3)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4.18E-02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4.11E-03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5.62E-01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PC(O-36:4)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3.38E-01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4.58E-05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1.52E-03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PC(O-36:4)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5.91E-01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5.15E-01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9.92E-01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PC(O-36:4)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7.18E-01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6.49E-01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PC(O-36:5)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4.40E-01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1.80E-04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3.88E-03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PC(O-38:4)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6.28E-01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4.39E-05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4.74E-04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PC(O-38:4) or</w:t>
            </w:r>
            <w:r w:rsidRPr="00D06A38">
              <w:rPr>
                <w:rFonts w:ascii="Times New Roman" w:eastAsia="Times New Roman" w:hAnsi="Times New Roman" w:cs="Times New Roman"/>
                <w:color w:val="000000"/>
              </w:rPr>
              <w:br/>
              <w:t>PC(P-38:3) [3]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5.60E-01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4.49E-02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3.12E-01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PC(O-38:5)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2.51E-01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3.85E-04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1.88E-02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PC(O-38:5)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9.36E-01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4.78E-04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3.14E-04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lastRenderedPageBreak/>
              <w:t>PC(O-38:6)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9.46E-01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1.49E-02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3.53E-02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PC(O-38:6)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9.51E-01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7.73E-02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PC(O-40:6)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9.64E-01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8.09E-04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1.94E-03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PC(P-18:0/22:6)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8.47E-01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1.77E-02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6.80E-03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PE(16:0/18:1)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7.26E-01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8.49E-01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4.26E-01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PE(O-16:0/22:6) or</w:t>
            </w:r>
            <w:r w:rsidRPr="00D06A38">
              <w:rPr>
                <w:rFonts w:ascii="Times New Roman" w:eastAsia="Times New Roman" w:hAnsi="Times New Roman" w:cs="Times New Roman"/>
                <w:color w:val="000000"/>
              </w:rPr>
              <w:br/>
              <w:t xml:space="preserve"> PE(P-18:0/20:5) [3]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4.22E-01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2.60E-01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9.41E-01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PE(O-16:0/22:6) or</w:t>
            </w:r>
            <w:r w:rsidRPr="00D06A38">
              <w:rPr>
                <w:rFonts w:ascii="Times New Roman" w:eastAsia="Times New Roman" w:hAnsi="Times New Roman" w:cs="Times New Roman"/>
                <w:color w:val="000000"/>
              </w:rPr>
              <w:br/>
              <w:t xml:space="preserve"> PE(P-18:0/20:5) [3]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8.37E-01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5.75E-01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2.96E-01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PE(O-38:5) or</w:t>
            </w:r>
            <w:r w:rsidRPr="00D06A38">
              <w:rPr>
                <w:rFonts w:ascii="Times New Roman" w:eastAsia="Times New Roman" w:hAnsi="Times New Roman" w:cs="Times New Roman"/>
                <w:color w:val="000000"/>
              </w:rPr>
              <w:br/>
              <w:t xml:space="preserve"> PE(P-38:4) [3]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3.47E-02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2.66E-02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PE(P-18:0/22:6)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8.82E-01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4.64E-03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2.13E-03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PI(18:0/20:4)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8.40E-01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6.10E-01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3.23E-01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SM(d16:1/18:1) or SM(d18:2/16:0) [3]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7.86E-01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7.89E-09</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3.82E-08</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SM(d18:0/16:0)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4.02E-04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9.21E-05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SM(d18:1/24:0)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2.34E-05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1.53E-06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SM(d32:1)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8.36E-01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1.14E-04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4.95E-05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SM(d33:1)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5.58E-07</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7.59E-07</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SM(d34:1)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8.63E-01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2.63E-06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1.53E-06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SM(d36:1)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1.23E-03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2.02E-03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SM(d36:2)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1.66E-04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2.22E-04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SM(d38:2)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9.18E-01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8.06E-05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2.74E-04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SM(d40:1)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8.51E-01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1.92E-04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8.90E-04</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SM(d40:1)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2.34E-01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5.99E-01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0.11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4.58E-02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SM(d41:1)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4.71E-01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1.29E-05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1.89E-06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SM(d41:2)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7.92E-01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3.01E-06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1.35E-06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SM(d42:2)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8.88E-01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6.60E-06</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4.07E-06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TG(14:0/16:0/18:1)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2.47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9.55E-04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2.35E-05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TG(14:0/18:1/18:1)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8.05E-02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1.91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6.80E-05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2.48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1.04E-06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TG(14:0/18:2/18:2)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8.97E-01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8.04E-05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4.61E-05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TG(16:0/16:0/16:0) [1]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5.62E-02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1.40E-03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TG(16:0/18:0/18:1)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4.10E-01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9.62E-02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8.11E-03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TG(16:0/18:2/18:2)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8.46E-01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5.32E-01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TG(16:0/18:2/18:3)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9.26E-01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2.62E-01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TG(16:0/22:5/18:1) or TG(20:4/18:1/18:1) [3]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8.92E-01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6.71E-02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TG(18:1/12:0/18:1) or TG(18:2/16:0/14:0) [3]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2.38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3.95E-05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1.30E-06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TG(18:1/18:1/16:0)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1.66</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2.97E-03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7.53E-05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TG(18:1/18:1/18:1)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5.22E-01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1.12E-02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1.29E-03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TG(18:1/18:1/22:6)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6.47E-01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2.70E-02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0.35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4.93E-03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TG(18:1/18:2/18:2)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5.61E-01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3.78E-01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7.55E-02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TG(18:2/18:1/16:0)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3.35E-01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8.92E-03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TG(18:2/18:1/18:1)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6.20E-01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2.95E-01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6.53E-02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TG(18:2/18:2/18:2) or TG(18:3/18:2/18:1) [3]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9.42E-01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TG(18:2/18:2/18:2) or TG(18:3/18:2/18:1) [3]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4.78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4.48E-02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4.31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4.01E-02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lastRenderedPageBreak/>
              <w:t>TG(18:2/22:5/16:0)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5.97E-01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8.23E-02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0.43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1.35E-02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TG(47:0)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8.60E-01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8.55E-01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1.00E+00</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TG(48:0)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3.13E-01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6.56E-02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3.46E-03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TG(48:1)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2.97E-01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2.62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3.87E-04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2.12E-05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TG(48:3)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6.35E-01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2.16E-04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4.39E-05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TG(49:0)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0.83</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4.94E-02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9.95E-02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9.35E-01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TG(49:1)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2.81E-01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3.44E-01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TG(49:2)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3.84E-01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3.58E-02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7.85E-01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3.17E-01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8.33E-01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8.61E-01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5.45E-01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1.74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3.40E-03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2.28</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4.71E-05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7.66E-01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6.93E-01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5.24E-02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1.75E-04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1.55E-06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4.24E-01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8.99E-05</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9.41E-06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2.96E-01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2.00</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1.65E-04</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9.75E-06</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7.22E-01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5.22E-02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1.27E-02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TG(51:1)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6.90E-01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8.49E-01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3.95E-01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TG(51:2)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3.05E-01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4.15E-01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1.54</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3.43E-02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TG(51:3)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5.67E-01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7.28E-01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TG(51:4)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9.20E-01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5.61E-01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3.69E-01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TG(52:0)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7.94E-01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3.16E-01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6.98E-01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TG(52:2)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1.45</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5.90E-03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1.82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9.35E-05</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TG(52:3)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2.32E-01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4.46E-01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2.69E-02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TG(52:4)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8.02E-01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7.36E-01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3.89E-01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TG(52:5)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9.82E-01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2.18E-01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TG(52:6)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2.35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2.81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1.63E-02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4.03E-01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TG(53:2)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3.33E-01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TG(53:3)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6.23E-01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8.59E-01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3.52E-01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TG(53:4)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8.51E-01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7.93E-01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TG(53:5)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1.00E+00</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2.89E-01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3.02E-01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TG(54:1)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7.03E-01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6.79E-01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TG(54:2)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2.51E-01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8.13E-02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1.37</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3.20E-03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TG(54:3)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4.09E-01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1.42</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2.84E-02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1.39</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2.15E-03</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TG(54:4)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0.89</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5.64E-01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4.48E-01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9.73E-02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TG(54:5)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6.56E-01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4.86E-01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TG(54:6)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5.86E-01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3.43E-01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2.20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7.16E-02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TG(54:6)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6.45E-01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9.29E-01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4.51E-01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TG(54:7)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9.87E-01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1.55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1.67E-01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TG(55:5)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5.45E-01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5.89E-01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TG(56:2)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2.39E-01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7.79E-01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6.05E-01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TG(56:3)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9.73E-01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1.35</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2.11E-01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TG(56:4)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1.03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4.44E-01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6.59E-01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9.35E-01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TG(56:5)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1.16</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4.48E-01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9.63E-01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0.73</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3.36E-01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TG(56:5)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8.80E-01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0.81</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5.14E-01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0.88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8.13E-01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TG(56:6)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1.14</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9.97E-01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0.70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5.96E-02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0.62</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7.92E-02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TG(56:8)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1.20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5.11E-01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4.80E-01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0.57</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9.18E-02</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lastRenderedPageBreak/>
              <w:t>TG(58:6) [2]</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0.90</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2.79E-01</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0.61</w:t>
            </w:r>
          </w:p>
        </w:tc>
        <w:tc>
          <w:tcPr>
            <w:tcW w:w="936" w:type="dxa"/>
            <w:tcBorders>
              <w:top w:val="nil"/>
              <w:left w:val="nil"/>
              <w:bottom w:val="nil"/>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4.31E-03</w:t>
            </w:r>
          </w:p>
        </w:tc>
        <w:tc>
          <w:tcPr>
            <w:tcW w:w="1204" w:type="dxa"/>
            <w:tcBorders>
              <w:top w:val="nil"/>
              <w:left w:val="nil"/>
              <w:bottom w:val="nil"/>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0.68</w:t>
            </w:r>
          </w:p>
        </w:tc>
        <w:tc>
          <w:tcPr>
            <w:tcW w:w="936"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1.31E-01</w:t>
            </w:r>
          </w:p>
        </w:tc>
      </w:tr>
      <w:tr w:rsidR="005F26DA" w:rsidRPr="00D06A38" w:rsidTr="008176E8">
        <w:trPr>
          <w:trHeight w:val="288"/>
        </w:trPr>
        <w:tc>
          <w:tcPr>
            <w:tcW w:w="2962" w:type="dxa"/>
            <w:tcBorders>
              <w:top w:val="nil"/>
              <w:left w:val="single" w:sz="4" w:space="0" w:color="auto"/>
              <w:bottom w:val="single" w:sz="4" w:space="0" w:color="auto"/>
              <w:right w:val="single" w:sz="4" w:space="0" w:color="auto"/>
            </w:tcBorders>
            <w:shd w:val="clear" w:color="000000" w:fill="F0F0F0"/>
            <w:noWrap/>
            <w:vAlign w:val="center"/>
            <w:hideMark/>
          </w:tcPr>
          <w:p w:rsidR="005F26DA" w:rsidRPr="00D06A38" w:rsidRDefault="005F26DA" w:rsidP="008176E8">
            <w:pPr>
              <w:spacing w:after="0" w:line="240" w:lineRule="auto"/>
              <w:jc w:val="center"/>
              <w:rPr>
                <w:rFonts w:ascii="Times New Roman" w:eastAsia="Times New Roman" w:hAnsi="Times New Roman" w:cs="Times New Roman"/>
                <w:color w:val="000000"/>
              </w:rPr>
            </w:pPr>
            <w:r w:rsidRPr="00D06A38">
              <w:rPr>
                <w:rFonts w:ascii="Times New Roman" w:eastAsia="Times New Roman" w:hAnsi="Times New Roman" w:cs="Times New Roman"/>
                <w:color w:val="000000"/>
              </w:rPr>
              <w:t>TG(58:9) [2]</w:t>
            </w:r>
          </w:p>
        </w:tc>
        <w:tc>
          <w:tcPr>
            <w:tcW w:w="1204" w:type="dxa"/>
            <w:tcBorders>
              <w:top w:val="nil"/>
              <w:left w:val="nil"/>
              <w:bottom w:val="single" w:sz="4" w:space="0" w:color="auto"/>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1.45</w:t>
            </w:r>
          </w:p>
        </w:tc>
        <w:tc>
          <w:tcPr>
            <w:tcW w:w="936" w:type="dxa"/>
            <w:tcBorders>
              <w:top w:val="nil"/>
              <w:left w:val="nil"/>
              <w:bottom w:val="single" w:sz="4" w:space="0" w:color="auto"/>
              <w:right w:val="single" w:sz="4" w:space="0" w:color="auto"/>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4.13E-01</w:t>
            </w:r>
          </w:p>
        </w:tc>
        <w:tc>
          <w:tcPr>
            <w:tcW w:w="1204" w:type="dxa"/>
            <w:tcBorders>
              <w:top w:val="nil"/>
              <w:left w:val="nil"/>
              <w:bottom w:val="single" w:sz="4" w:space="0" w:color="auto"/>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0.28</w:t>
            </w:r>
          </w:p>
        </w:tc>
        <w:tc>
          <w:tcPr>
            <w:tcW w:w="936" w:type="dxa"/>
            <w:tcBorders>
              <w:top w:val="nil"/>
              <w:left w:val="nil"/>
              <w:bottom w:val="single" w:sz="4" w:space="0" w:color="auto"/>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5.98E-03</w:t>
            </w:r>
          </w:p>
        </w:tc>
        <w:tc>
          <w:tcPr>
            <w:tcW w:w="1204" w:type="dxa"/>
            <w:tcBorders>
              <w:top w:val="nil"/>
              <w:left w:val="nil"/>
              <w:bottom w:val="single" w:sz="4" w:space="0" w:color="auto"/>
              <w:right w:val="nil"/>
            </w:tcBorders>
            <w:shd w:val="clear" w:color="auto" w:fill="auto"/>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0000"/>
              </w:rPr>
            </w:pPr>
            <w:r w:rsidRPr="00D06A38">
              <w:rPr>
                <w:rFonts w:ascii="Times New Roman" w:eastAsia="Times New Roman" w:hAnsi="Times New Roman" w:cs="Times New Roman"/>
                <w:color w:val="000000"/>
              </w:rPr>
              <w:t>0.20</w:t>
            </w:r>
          </w:p>
        </w:tc>
        <w:tc>
          <w:tcPr>
            <w:tcW w:w="936" w:type="dxa"/>
            <w:tcBorders>
              <w:top w:val="nil"/>
              <w:left w:val="nil"/>
              <w:bottom w:val="single" w:sz="4" w:space="0" w:color="auto"/>
              <w:right w:val="single" w:sz="4" w:space="0" w:color="auto"/>
            </w:tcBorders>
            <w:shd w:val="clear" w:color="000000" w:fill="C6EFCE"/>
            <w:noWrap/>
            <w:vAlign w:val="bottom"/>
            <w:hideMark/>
          </w:tcPr>
          <w:p w:rsidR="005F26DA" w:rsidRPr="00D06A38" w:rsidRDefault="005F26DA" w:rsidP="008176E8">
            <w:pPr>
              <w:spacing w:after="0" w:line="240" w:lineRule="auto"/>
              <w:jc w:val="right"/>
              <w:rPr>
                <w:rFonts w:ascii="Times New Roman" w:eastAsia="Times New Roman" w:hAnsi="Times New Roman" w:cs="Times New Roman"/>
                <w:color w:val="006100"/>
              </w:rPr>
            </w:pPr>
            <w:r w:rsidRPr="00D06A38">
              <w:rPr>
                <w:rFonts w:ascii="Times New Roman" w:eastAsia="Times New Roman" w:hAnsi="Times New Roman" w:cs="Times New Roman"/>
                <w:color w:val="006100"/>
              </w:rPr>
              <w:t>4.59E-04</w:t>
            </w:r>
          </w:p>
        </w:tc>
      </w:tr>
    </w:tbl>
    <w:p w:rsidR="005F26DA" w:rsidRPr="00D06A38" w:rsidRDefault="005F26DA" w:rsidP="005F26DA">
      <w:pPr>
        <w:rPr>
          <w:rFonts w:ascii="Times New Roman" w:hAnsi="Times New Roman" w:cs="Times New Roman"/>
        </w:rPr>
      </w:pPr>
      <w:r w:rsidRPr="00D06A38">
        <w:rPr>
          <w:rFonts w:ascii="Times New Roman" w:hAnsi="Times New Roman" w:cs="Times New Roman"/>
        </w:rPr>
        <w:br w:type="page"/>
      </w:r>
    </w:p>
    <w:p w:rsidR="005F26DA" w:rsidRPr="00D06A38" w:rsidRDefault="005F26DA" w:rsidP="005F26DA">
      <w:pPr>
        <w:spacing w:after="0" w:line="276" w:lineRule="auto"/>
        <w:jc w:val="both"/>
        <w:rPr>
          <w:rFonts w:ascii="Times New Roman" w:hAnsi="Times New Roman" w:cs="Times New Roman"/>
        </w:rPr>
      </w:pPr>
      <w:r w:rsidRPr="00D06A38">
        <w:rPr>
          <w:rFonts w:ascii="Times New Roman" w:hAnsi="Times New Roman" w:cs="Times New Roman"/>
          <w:b/>
          <w:bCs/>
        </w:rPr>
        <w:lastRenderedPageBreak/>
        <w:t>Supplementary Table A3.</w:t>
      </w:r>
      <w:r w:rsidRPr="00D06A38">
        <w:rPr>
          <w:rFonts w:ascii="Times New Roman" w:hAnsi="Times New Roman" w:cs="Times New Roman"/>
        </w:rPr>
        <w:t xml:space="preserve"> Statistically-significantly altered metabolite levels in female NOD mice exposed to POP mixture.</w:t>
      </w:r>
    </w:p>
    <w:tbl>
      <w:tblPr>
        <w:tblW w:w="9964" w:type="dxa"/>
        <w:tblLook w:val="04A0" w:firstRow="1" w:lastRow="0" w:firstColumn="1" w:lastColumn="0" w:noHBand="0" w:noVBand="1"/>
      </w:tblPr>
      <w:tblGrid>
        <w:gridCol w:w="2168"/>
        <w:gridCol w:w="2000"/>
        <w:gridCol w:w="1719"/>
        <w:gridCol w:w="4077"/>
      </w:tblGrid>
      <w:tr w:rsidR="005F26DA" w:rsidRPr="00D06A38" w:rsidTr="008176E8">
        <w:trPr>
          <w:trHeight w:val="312"/>
        </w:trPr>
        <w:tc>
          <w:tcPr>
            <w:tcW w:w="9964" w:type="dxa"/>
            <w:gridSpan w:val="4"/>
            <w:tcBorders>
              <w:top w:val="single" w:sz="4" w:space="0" w:color="auto"/>
              <w:left w:val="single" w:sz="4" w:space="0" w:color="auto"/>
              <w:bottom w:val="single" w:sz="4" w:space="0" w:color="auto"/>
              <w:right w:val="single" w:sz="4" w:space="0" w:color="000000"/>
            </w:tcBorders>
            <w:shd w:val="clear" w:color="000000" w:fill="DBDBDB"/>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 xml:space="preserve">Common metabolites in </w:t>
            </w:r>
          </w:p>
        </w:tc>
      </w:tr>
      <w:tr w:rsidR="005F26DA" w:rsidRPr="00D06A38" w:rsidTr="008176E8">
        <w:trPr>
          <w:trHeight w:val="252"/>
        </w:trPr>
        <w:tc>
          <w:tcPr>
            <w:tcW w:w="2168" w:type="dxa"/>
            <w:tcBorders>
              <w:top w:val="single" w:sz="4" w:space="0" w:color="auto"/>
              <w:left w:val="single" w:sz="4" w:space="0" w:color="auto"/>
              <w:bottom w:val="single" w:sz="4" w:space="0" w:color="auto"/>
              <w:right w:val="single" w:sz="4" w:space="0" w:color="auto"/>
            </w:tcBorders>
            <w:shd w:val="clear" w:color="000000" w:fill="DBDBDB"/>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Low/Ctrl</w:t>
            </w:r>
          </w:p>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High/Low</w:t>
            </w:r>
          </w:p>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High/Ctrl</w:t>
            </w:r>
          </w:p>
        </w:tc>
        <w:tc>
          <w:tcPr>
            <w:tcW w:w="2000" w:type="dxa"/>
            <w:tcBorders>
              <w:top w:val="single" w:sz="4" w:space="0" w:color="auto"/>
              <w:left w:val="single" w:sz="4" w:space="0" w:color="auto"/>
              <w:bottom w:val="single" w:sz="4" w:space="0" w:color="auto"/>
              <w:right w:val="single" w:sz="4" w:space="0" w:color="auto"/>
            </w:tcBorders>
            <w:shd w:val="clear" w:color="000000" w:fill="DBDBDB"/>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Low/Ctrl</w:t>
            </w:r>
          </w:p>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High/Low</w:t>
            </w:r>
          </w:p>
        </w:tc>
        <w:tc>
          <w:tcPr>
            <w:tcW w:w="1719" w:type="dxa"/>
            <w:tcBorders>
              <w:top w:val="single" w:sz="4" w:space="0" w:color="auto"/>
              <w:left w:val="single" w:sz="4" w:space="0" w:color="auto"/>
              <w:bottom w:val="single" w:sz="4" w:space="0" w:color="auto"/>
              <w:right w:val="single" w:sz="4" w:space="0" w:color="auto"/>
            </w:tcBorders>
            <w:shd w:val="clear" w:color="000000" w:fill="DBDBDB"/>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Low/Ctrl High/Ctrl</w:t>
            </w:r>
          </w:p>
        </w:tc>
        <w:tc>
          <w:tcPr>
            <w:tcW w:w="4077" w:type="dxa"/>
            <w:tcBorders>
              <w:top w:val="single" w:sz="4" w:space="0" w:color="auto"/>
              <w:left w:val="single" w:sz="4" w:space="0" w:color="auto"/>
              <w:bottom w:val="single" w:sz="4" w:space="0" w:color="auto"/>
              <w:right w:val="single" w:sz="4" w:space="0" w:color="auto"/>
            </w:tcBorders>
            <w:shd w:val="clear" w:color="000000" w:fill="DBDBDB"/>
            <w:noWrap/>
            <w:vAlign w:val="bottom"/>
            <w:hideMark/>
          </w:tcPr>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High/Low</w:t>
            </w:r>
          </w:p>
          <w:p w:rsidR="005F26DA" w:rsidRPr="00D06A38" w:rsidRDefault="005F26DA" w:rsidP="008176E8">
            <w:pPr>
              <w:spacing w:after="0" w:line="240" w:lineRule="auto"/>
              <w:jc w:val="center"/>
              <w:rPr>
                <w:rFonts w:ascii="Times New Roman" w:eastAsia="Times New Roman" w:hAnsi="Times New Roman" w:cs="Times New Roman"/>
                <w:i/>
                <w:iCs/>
                <w:color w:val="000000"/>
              </w:rPr>
            </w:pPr>
            <w:r w:rsidRPr="00D06A38">
              <w:rPr>
                <w:rFonts w:ascii="Times New Roman" w:eastAsia="Times New Roman" w:hAnsi="Times New Roman" w:cs="Times New Roman"/>
                <w:i/>
                <w:iCs/>
                <w:color w:val="000000"/>
              </w:rPr>
              <w:t>High/Ctrl</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Cholesterol</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PC(34:1)</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Palmitic acid</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Asparagine</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1,5-Anhydrohexitol</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PC(34:3)</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PC(34:2)</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Aspartic acid</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LCA</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PC(32:1)</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PC(32:2)</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Glutamic acid</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PC(35:3)</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PC(33:1)</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Threonine</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PC(36:4)</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PC(O-36:3)</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3-Hydroxybutyric acid</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Arachidonic acid</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Stearic acid</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Gluconic acid</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Glycolic acid</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Palmitoleic acid</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Glycerol-3-phosphate</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HDCA</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CE(20:3)</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LPC(16:0e)</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LPC(16:0p)</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LPC(16:1)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LPC(18:1)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LPC(20:3)</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LPC(20:4)</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LPC(22:5)</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LPC(22:6)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LysoPE(18:1)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PC(16:0/16:0)</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PC(18:0/18:0)</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PC(18:0p/18:1(9Z))</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PC(18:0p/22:6)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PC(31:0)</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PC(35:1)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PC(35:2)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PC(36:3)</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PC(37:1)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PC(37:2)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PC(37:3)</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PC(37:4)</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PC(38:3)</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PC(38:4)</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PC(38:5)</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PC(38:6)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PC(39:6)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lastRenderedPageBreak/>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PC(40:5)</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PC(40:7)</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PC(40:8)</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PC(O-32:0)</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PC(O-32:1)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PC(O-34:2)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PC(O-36:4)</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PC(O-36:5)</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PC(O-38:4)</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PC(O-38:5)</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PC(O-38:6)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PC(O-40:6)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PC(P-18:0/22:6)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PE(O-38:5) or PE(P-38:4)</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PE(P-18:0/22:6)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SM(d16:1/18:1) or SM(d18:2/16:0)</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SM(d18:0/16:0)</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SM(d18:1/24:0)</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SM(d32:1)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SM(d33:1)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SM(d34:1)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SM(d36:1)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SM(d36:2)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SM(d38:2)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SM(d40:1)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SM(d41:1)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SM(d41:2)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SM(d42:2)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TG(14:0/16:0/18:1)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TG(14:0/18:1/18:1)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TG(14:0/18:2/18:2)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TG(18:1/12:0/18:1) or TG(18:2/16:0/14:0)</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TG(18:1/18:1/16:0)</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TG(18:1/18:1/18:1)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TG(18:1/18:1/22:6)</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TG(18:2/18:2/18:2) or TG(18:3/18:2/18:1)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TG(48:1)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TG(48:3)</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TG(50:1)</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TG(50:3)</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TG(52:2)</w:t>
            </w:r>
          </w:p>
        </w:tc>
      </w:tr>
      <w:tr w:rsidR="005F26DA" w:rsidRPr="00D06A38" w:rsidTr="008176E8">
        <w:trPr>
          <w:trHeight w:val="288"/>
        </w:trPr>
        <w:tc>
          <w:tcPr>
            <w:tcW w:w="2168" w:type="dxa"/>
            <w:tcBorders>
              <w:top w:val="nil"/>
              <w:left w:val="single" w:sz="4" w:space="0" w:color="auto"/>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nil"/>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TG(54:3)</w:t>
            </w:r>
          </w:p>
        </w:tc>
      </w:tr>
      <w:tr w:rsidR="005F26DA" w:rsidRPr="00D06A38" w:rsidTr="008176E8">
        <w:trPr>
          <w:trHeight w:val="288"/>
        </w:trPr>
        <w:tc>
          <w:tcPr>
            <w:tcW w:w="2168" w:type="dxa"/>
            <w:tcBorders>
              <w:top w:val="nil"/>
              <w:left w:val="single" w:sz="4" w:space="0" w:color="auto"/>
              <w:bottom w:val="single" w:sz="4" w:space="0" w:color="auto"/>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2000" w:type="dxa"/>
            <w:tcBorders>
              <w:top w:val="nil"/>
              <w:left w:val="nil"/>
              <w:bottom w:val="single" w:sz="4" w:space="0" w:color="auto"/>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1719" w:type="dxa"/>
            <w:tcBorders>
              <w:top w:val="nil"/>
              <w:left w:val="nil"/>
              <w:bottom w:val="single" w:sz="4" w:space="0" w:color="auto"/>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 </w:t>
            </w:r>
          </w:p>
        </w:tc>
        <w:tc>
          <w:tcPr>
            <w:tcW w:w="4077" w:type="dxa"/>
            <w:tcBorders>
              <w:top w:val="nil"/>
              <w:left w:val="nil"/>
              <w:bottom w:val="single" w:sz="4" w:space="0" w:color="auto"/>
              <w:right w:val="single" w:sz="4" w:space="0" w:color="auto"/>
            </w:tcBorders>
            <w:shd w:val="clear" w:color="auto" w:fill="auto"/>
            <w:noWrap/>
            <w:vAlign w:val="bottom"/>
            <w:hideMark/>
          </w:tcPr>
          <w:p w:rsidR="005F26DA" w:rsidRPr="00D06A38" w:rsidRDefault="005F26DA" w:rsidP="008176E8">
            <w:pPr>
              <w:spacing w:after="0" w:line="240" w:lineRule="auto"/>
              <w:rPr>
                <w:rFonts w:ascii="Times New Roman" w:eastAsia="Times New Roman" w:hAnsi="Times New Roman" w:cs="Times New Roman"/>
                <w:color w:val="000000"/>
              </w:rPr>
            </w:pPr>
            <w:r w:rsidRPr="00D06A38">
              <w:rPr>
                <w:rFonts w:ascii="Times New Roman" w:eastAsia="Times New Roman" w:hAnsi="Times New Roman" w:cs="Times New Roman"/>
                <w:color w:val="000000"/>
              </w:rPr>
              <w:t>TG(58:9)</w:t>
            </w:r>
          </w:p>
        </w:tc>
      </w:tr>
    </w:tbl>
    <w:p w:rsidR="005F26DA" w:rsidRPr="00D06A38" w:rsidRDefault="005F26DA" w:rsidP="005F26DA">
      <w:pPr>
        <w:rPr>
          <w:rFonts w:ascii="Times New Roman" w:eastAsiaTheme="majorEastAsia" w:hAnsi="Times New Roman" w:cs="Times New Roman"/>
          <w:i/>
          <w:iCs/>
        </w:rPr>
      </w:pPr>
      <w:r w:rsidRPr="00D06A38">
        <w:rPr>
          <w:rFonts w:ascii="Times New Roman" w:hAnsi="Times New Roman" w:cs="Times New Roman"/>
        </w:rPr>
        <w:br w:type="page"/>
      </w:r>
    </w:p>
    <w:p w:rsidR="005F26DA" w:rsidRPr="00D06A38" w:rsidRDefault="005F26DA" w:rsidP="005F26DA">
      <w:pPr>
        <w:pStyle w:val="Style1"/>
        <w:numPr>
          <w:ilvl w:val="1"/>
          <w:numId w:val="2"/>
        </w:numPr>
        <w:rPr>
          <w:b/>
          <w:bCs/>
          <w:sz w:val="22"/>
          <w:szCs w:val="22"/>
        </w:rPr>
      </w:pPr>
      <w:r w:rsidRPr="00D06A38">
        <w:rPr>
          <w:b/>
          <w:bCs/>
          <w:sz w:val="22"/>
          <w:szCs w:val="22"/>
        </w:rPr>
        <w:lastRenderedPageBreak/>
        <w:t>Figures</w:t>
      </w:r>
    </w:p>
    <w:p w:rsidR="005F26DA" w:rsidRPr="00D06A38" w:rsidRDefault="005F26DA" w:rsidP="005F26DA">
      <w:pPr>
        <w:spacing w:line="240" w:lineRule="auto"/>
        <w:jc w:val="center"/>
        <w:rPr>
          <w:rFonts w:ascii="Times New Roman" w:hAnsi="Times New Roman" w:cs="Times New Roman"/>
        </w:rPr>
      </w:pPr>
      <w:r w:rsidRPr="00D06A38">
        <w:rPr>
          <w:rFonts w:ascii="Times New Roman" w:hAnsi="Times New Roman" w:cs="Times New Roman"/>
          <w:noProof/>
        </w:rPr>
        <w:drawing>
          <wp:inline distT="0" distB="0" distL="0" distR="0" wp14:anchorId="457C8F0D" wp14:editId="5688BEBD">
            <wp:extent cx="3831319" cy="5325533"/>
            <wp:effectExtent l="0" t="0" r="0" b="8890"/>
            <wp:docPr id="15" name="Picture 2" descr="Diagram&#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8450160-6FFD-4B31-9B26-B75DCF4480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Diagram&#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8450160-6FFD-4B31-9B26-B75DCF4480FB}"/>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3849654" cy="5351018"/>
                    </a:xfrm>
                    <a:prstGeom prst="rect">
                      <a:avLst/>
                    </a:prstGeom>
                  </pic:spPr>
                </pic:pic>
              </a:graphicData>
            </a:graphic>
          </wp:inline>
        </w:drawing>
      </w:r>
    </w:p>
    <w:p w:rsidR="005F26DA" w:rsidRPr="00D06A38" w:rsidRDefault="005F26DA" w:rsidP="005F26DA">
      <w:pPr>
        <w:spacing w:line="240" w:lineRule="auto"/>
        <w:ind w:left="360"/>
        <w:rPr>
          <w:rFonts w:ascii="Times New Roman" w:hAnsi="Times New Roman" w:cs="Times New Roman"/>
        </w:rPr>
      </w:pPr>
      <w:r w:rsidRPr="00D06A38">
        <w:rPr>
          <w:rFonts w:ascii="Times New Roman" w:hAnsi="Times New Roman" w:cs="Times New Roman"/>
          <w:b/>
          <w:bCs/>
        </w:rPr>
        <w:t>Supplementary Figure A1.</w:t>
      </w:r>
      <w:r w:rsidRPr="00D06A38">
        <w:rPr>
          <w:rFonts w:ascii="Times New Roman" w:hAnsi="Times New Roman" w:cs="Times New Roman"/>
          <w:color w:val="00B0F0"/>
        </w:rPr>
        <w:t xml:space="preserve"> </w:t>
      </w:r>
      <w:r w:rsidRPr="00D06A38">
        <w:rPr>
          <w:rFonts w:ascii="Times New Roman" w:hAnsi="Times New Roman" w:cs="Times New Roman"/>
        </w:rPr>
        <w:t xml:space="preserve">Venn diagram showing the number of metabolites commonly dysregulated in low exposure, high exposure and control NOD mouse groups. </w:t>
      </w:r>
    </w:p>
    <w:p w:rsidR="005F26DA" w:rsidRPr="00D06A38" w:rsidRDefault="005F26DA" w:rsidP="005F26DA">
      <w:pPr>
        <w:rPr>
          <w:rFonts w:ascii="Times New Roman" w:eastAsiaTheme="majorEastAsia" w:hAnsi="Times New Roman" w:cs="Times New Roman"/>
          <w:b/>
          <w:bCs/>
          <w:i/>
          <w:iCs/>
        </w:rPr>
      </w:pPr>
      <w:r w:rsidRPr="00D06A38">
        <w:rPr>
          <w:rFonts w:ascii="Times New Roman" w:hAnsi="Times New Roman" w:cs="Times New Roman"/>
          <w:b/>
          <w:bCs/>
        </w:rPr>
        <w:br w:type="page"/>
      </w:r>
    </w:p>
    <w:p w:rsidR="005F26DA" w:rsidRPr="00D06A38" w:rsidRDefault="005F26DA" w:rsidP="005F26DA">
      <w:pPr>
        <w:rPr>
          <w:rFonts w:ascii="Times New Roman" w:hAnsi="Times New Roman" w:cs="Times New Roman"/>
        </w:rPr>
      </w:pPr>
    </w:p>
    <w:p w:rsidR="005F26DA" w:rsidRPr="00D06A38" w:rsidRDefault="005F26DA" w:rsidP="005F26DA">
      <w:pPr>
        <w:spacing w:line="360" w:lineRule="auto"/>
        <w:jc w:val="both"/>
        <w:rPr>
          <w:rFonts w:ascii="Times New Roman" w:hAnsi="Times New Roman" w:cs="Times New Roman"/>
        </w:rPr>
      </w:pPr>
      <w:r w:rsidRPr="00D06A38">
        <w:rPr>
          <w:rFonts w:ascii="Times New Roman" w:hAnsi="Times New Roman" w:cs="Times New Roman"/>
          <w:noProof/>
        </w:rPr>
        <w:drawing>
          <wp:inline distT="0" distB="0" distL="0" distR="0" wp14:anchorId="570A2A68" wp14:editId="3C09B824">
            <wp:extent cx="5760720" cy="5821045"/>
            <wp:effectExtent l="0" t="0" r="0" b="8255"/>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760720" cy="5821045"/>
                    </a:xfrm>
                    <a:prstGeom prst="rect">
                      <a:avLst/>
                    </a:prstGeom>
                  </pic:spPr>
                </pic:pic>
              </a:graphicData>
            </a:graphic>
          </wp:inline>
        </w:drawing>
      </w:r>
    </w:p>
    <w:p w:rsidR="005F26DA" w:rsidRPr="00D06A38" w:rsidRDefault="005F26DA" w:rsidP="005F26DA">
      <w:pPr>
        <w:spacing w:line="240" w:lineRule="auto"/>
        <w:jc w:val="both"/>
        <w:rPr>
          <w:rFonts w:ascii="Times New Roman" w:hAnsi="Times New Roman" w:cs="Times New Roman"/>
        </w:rPr>
      </w:pPr>
      <w:r w:rsidRPr="00D06A38">
        <w:rPr>
          <w:rFonts w:ascii="Times New Roman" w:hAnsi="Times New Roman" w:cs="Times New Roman"/>
          <w:b/>
          <w:bCs/>
        </w:rPr>
        <w:t>Supplementary Figure A2.</w:t>
      </w:r>
      <w:r w:rsidRPr="00D06A38">
        <w:rPr>
          <w:rFonts w:ascii="Times New Roman" w:hAnsi="Times New Roman" w:cs="Times New Roman"/>
        </w:rPr>
        <w:t xml:space="preserve"> Spearman’s correlation plot between polar metabolites and BAs. Significant correlations marked with * p&lt;0.05, ** p&lt;0.01 and *** p&lt;0.001. Positive correlation showed in blue and negative in red.</w:t>
      </w:r>
    </w:p>
    <w:p w:rsidR="005F26DA" w:rsidRPr="00D06A38" w:rsidRDefault="005F26DA" w:rsidP="005F26DA">
      <w:pPr>
        <w:spacing w:line="360" w:lineRule="auto"/>
        <w:jc w:val="both"/>
        <w:rPr>
          <w:rFonts w:ascii="Times New Roman" w:hAnsi="Times New Roman" w:cs="Times New Roman"/>
        </w:rPr>
      </w:pPr>
    </w:p>
    <w:p w:rsidR="005F26DA" w:rsidRPr="00D06A38" w:rsidRDefault="005F26DA" w:rsidP="005F26DA">
      <w:pPr>
        <w:spacing w:after="0" w:line="276" w:lineRule="auto"/>
        <w:jc w:val="both"/>
        <w:rPr>
          <w:rFonts w:ascii="Times New Roman" w:hAnsi="Times New Roman" w:cs="Times New Roman"/>
        </w:rPr>
      </w:pPr>
      <w:r w:rsidRPr="00D06A38">
        <w:rPr>
          <w:rFonts w:ascii="Times New Roman" w:hAnsi="Times New Roman" w:cs="Times New Roman"/>
          <w:noProof/>
        </w:rPr>
        <w:lastRenderedPageBreak/>
        <w:drawing>
          <wp:inline distT="0" distB="0" distL="0" distR="0" wp14:anchorId="5BEA072E" wp14:editId="3C226234">
            <wp:extent cx="6336818" cy="2346325"/>
            <wp:effectExtent l="0" t="0" r="6985" b="0"/>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38745" cy="2347039"/>
                    </a:xfrm>
                    <a:prstGeom prst="rect">
                      <a:avLst/>
                    </a:prstGeom>
                    <a:noFill/>
                  </pic:spPr>
                </pic:pic>
              </a:graphicData>
            </a:graphic>
          </wp:inline>
        </w:drawing>
      </w:r>
    </w:p>
    <w:p w:rsidR="005F26DA" w:rsidRPr="00D06A38" w:rsidRDefault="005F26DA" w:rsidP="005F26DA">
      <w:pPr>
        <w:spacing w:line="276" w:lineRule="auto"/>
        <w:jc w:val="both"/>
        <w:rPr>
          <w:rFonts w:ascii="Times New Roman" w:hAnsi="Times New Roman" w:cs="Times New Roman"/>
        </w:rPr>
      </w:pPr>
      <w:r w:rsidRPr="00D06A38">
        <w:rPr>
          <w:rFonts w:ascii="Times New Roman" w:hAnsi="Times New Roman" w:cs="Times New Roman"/>
          <w:b/>
          <w:bCs/>
        </w:rPr>
        <w:t>Supplementary Figure A3.</w:t>
      </w:r>
      <w:r w:rsidRPr="00D06A38">
        <w:rPr>
          <w:rFonts w:ascii="Times New Roman" w:hAnsi="Times New Roman" w:cs="Times New Roman"/>
        </w:rPr>
        <w:t xml:space="preserve"> Boxplots of A) TUDCA showing non-monotonic dysregulation in low and high exposure NOD mouse groups, B) ratio between secondary and primary conjugated BAs in control and exposed NOD mouse groups and C) ratio between secondary and primary non-conjugated BAs in control and exposed groups of NOD mice</w:t>
      </w:r>
    </w:p>
    <w:bookmarkEnd w:id="0"/>
    <w:p w:rsidR="002436D9" w:rsidRPr="00D06A38" w:rsidRDefault="002436D9">
      <w:pPr>
        <w:rPr>
          <w:rFonts w:ascii="Times New Roman" w:hAnsi="Times New Roman" w:cs="Times New Roman"/>
        </w:rPr>
      </w:pPr>
    </w:p>
    <w:sectPr w:rsidR="002436D9" w:rsidRPr="00D06A38" w:rsidSect="00A27CBD">
      <w:footerReference w:type="default" r:id="rI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2721691"/>
      <w:docPartObj>
        <w:docPartGallery w:val="Page Numbers (Bottom of Page)"/>
        <w:docPartUnique/>
      </w:docPartObj>
    </w:sdtPr>
    <w:sdtEndPr>
      <w:rPr>
        <w:noProof/>
      </w:rPr>
    </w:sdtEndPr>
    <w:sdtContent>
      <w:p w:rsidR="00080D64" w:rsidRDefault="00D06A38">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rsidR="00080D64" w:rsidRDefault="00D06A38">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F2773"/>
    <w:multiLevelType w:val="multilevel"/>
    <w:tmpl w:val="35C4325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FF74B66"/>
    <w:multiLevelType w:val="multilevel"/>
    <w:tmpl w:val="BA7A7CD2"/>
    <w:lvl w:ilvl="0">
      <w:start w:val="1"/>
      <w:numFmt w:val="decimal"/>
      <w:lvlText w:val="%1."/>
      <w:lvlJc w:val="left"/>
      <w:pPr>
        <w:ind w:left="720" w:hanging="360"/>
      </w:pPr>
      <w:rPr>
        <w:rFonts w:hint="default"/>
      </w:rPr>
    </w:lvl>
    <w:lvl w:ilvl="1">
      <w:start w:val="2"/>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ADE0200"/>
    <w:multiLevelType w:val="hybridMultilevel"/>
    <w:tmpl w:val="3C562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6DA"/>
    <w:rsid w:val="00000A6F"/>
    <w:rsid w:val="00003360"/>
    <w:rsid w:val="0000366B"/>
    <w:rsid w:val="00004C0B"/>
    <w:rsid w:val="00006C98"/>
    <w:rsid w:val="00006F20"/>
    <w:rsid w:val="00012DBE"/>
    <w:rsid w:val="00013682"/>
    <w:rsid w:val="00015885"/>
    <w:rsid w:val="000176C7"/>
    <w:rsid w:val="00022B29"/>
    <w:rsid w:val="0002688E"/>
    <w:rsid w:val="00026890"/>
    <w:rsid w:val="00026D51"/>
    <w:rsid w:val="00031680"/>
    <w:rsid w:val="0003545C"/>
    <w:rsid w:val="00035ED4"/>
    <w:rsid w:val="00043B79"/>
    <w:rsid w:val="00045B4A"/>
    <w:rsid w:val="00046C6A"/>
    <w:rsid w:val="00050CB5"/>
    <w:rsid w:val="00052911"/>
    <w:rsid w:val="00052B26"/>
    <w:rsid w:val="00052EA7"/>
    <w:rsid w:val="000548EF"/>
    <w:rsid w:val="00056ECC"/>
    <w:rsid w:val="00061016"/>
    <w:rsid w:val="00065634"/>
    <w:rsid w:val="0006622F"/>
    <w:rsid w:val="00070938"/>
    <w:rsid w:val="0007135D"/>
    <w:rsid w:val="00074CE5"/>
    <w:rsid w:val="00075CF8"/>
    <w:rsid w:val="00075DF1"/>
    <w:rsid w:val="0008012F"/>
    <w:rsid w:val="0008127D"/>
    <w:rsid w:val="00082ADD"/>
    <w:rsid w:val="00091E47"/>
    <w:rsid w:val="000931F7"/>
    <w:rsid w:val="000947E7"/>
    <w:rsid w:val="00097A12"/>
    <w:rsid w:val="000A10E1"/>
    <w:rsid w:val="000A1567"/>
    <w:rsid w:val="000A50A3"/>
    <w:rsid w:val="000A53CA"/>
    <w:rsid w:val="000A5A95"/>
    <w:rsid w:val="000A6A63"/>
    <w:rsid w:val="000B00B0"/>
    <w:rsid w:val="000B0C72"/>
    <w:rsid w:val="000B16EF"/>
    <w:rsid w:val="000B3078"/>
    <w:rsid w:val="000B6A5D"/>
    <w:rsid w:val="000C3F77"/>
    <w:rsid w:val="000C65AE"/>
    <w:rsid w:val="000D4AE0"/>
    <w:rsid w:val="000D50FB"/>
    <w:rsid w:val="000D5815"/>
    <w:rsid w:val="000E28E5"/>
    <w:rsid w:val="000E7643"/>
    <w:rsid w:val="000F203D"/>
    <w:rsid w:val="00100617"/>
    <w:rsid w:val="001100E3"/>
    <w:rsid w:val="00112841"/>
    <w:rsid w:val="00117B25"/>
    <w:rsid w:val="0012022A"/>
    <w:rsid w:val="00125626"/>
    <w:rsid w:val="00126B2D"/>
    <w:rsid w:val="001309B3"/>
    <w:rsid w:val="00130BF6"/>
    <w:rsid w:val="00133490"/>
    <w:rsid w:val="001418B2"/>
    <w:rsid w:val="00141D7F"/>
    <w:rsid w:val="00141F27"/>
    <w:rsid w:val="001452E0"/>
    <w:rsid w:val="00150ADF"/>
    <w:rsid w:val="0015210E"/>
    <w:rsid w:val="00154ABB"/>
    <w:rsid w:val="00154B50"/>
    <w:rsid w:val="00154C44"/>
    <w:rsid w:val="00154E8F"/>
    <w:rsid w:val="001568EC"/>
    <w:rsid w:val="001578B1"/>
    <w:rsid w:val="00161983"/>
    <w:rsid w:val="00162709"/>
    <w:rsid w:val="0017261D"/>
    <w:rsid w:val="0017273C"/>
    <w:rsid w:val="00174A04"/>
    <w:rsid w:val="001815BC"/>
    <w:rsid w:val="00181B6E"/>
    <w:rsid w:val="001825A6"/>
    <w:rsid w:val="001841D3"/>
    <w:rsid w:val="00184410"/>
    <w:rsid w:val="001A078C"/>
    <w:rsid w:val="001A234D"/>
    <w:rsid w:val="001A28F0"/>
    <w:rsid w:val="001A5F61"/>
    <w:rsid w:val="001B39C4"/>
    <w:rsid w:val="001B465F"/>
    <w:rsid w:val="001C0C83"/>
    <w:rsid w:val="001C1C3C"/>
    <w:rsid w:val="001C2233"/>
    <w:rsid w:val="001C7784"/>
    <w:rsid w:val="001D1687"/>
    <w:rsid w:val="001E1981"/>
    <w:rsid w:val="001E1F49"/>
    <w:rsid w:val="001E34BA"/>
    <w:rsid w:val="001E489F"/>
    <w:rsid w:val="001E7B0A"/>
    <w:rsid w:val="001E7D05"/>
    <w:rsid w:val="001F4184"/>
    <w:rsid w:val="001F521E"/>
    <w:rsid w:val="001F6E0C"/>
    <w:rsid w:val="001F6F36"/>
    <w:rsid w:val="002000FA"/>
    <w:rsid w:val="00202849"/>
    <w:rsid w:val="00202A45"/>
    <w:rsid w:val="00202E5E"/>
    <w:rsid w:val="00205551"/>
    <w:rsid w:val="0020791C"/>
    <w:rsid w:val="00222651"/>
    <w:rsid w:val="00222D45"/>
    <w:rsid w:val="0022641F"/>
    <w:rsid w:val="00231E2B"/>
    <w:rsid w:val="00233EEB"/>
    <w:rsid w:val="0023456B"/>
    <w:rsid w:val="00237EE7"/>
    <w:rsid w:val="00240B56"/>
    <w:rsid w:val="0024230C"/>
    <w:rsid w:val="002436D9"/>
    <w:rsid w:val="00246258"/>
    <w:rsid w:val="00247002"/>
    <w:rsid w:val="00247DDF"/>
    <w:rsid w:val="00247E3C"/>
    <w:rsid w:val="00251A49"/>
    <w:rsid w:val="002527D3"/>
    <w:rsid w:val="002571FF"/>
    <w:rsid w:val="00260574"/>
    <w:rsid w:val="0026348F"/>
    <w:rsid w:val="0026446E"/>
    <w:rsid w:val="00265169"/>
    <w:rsid w:val="002702BD"/>
    <w:rsid w:val="00270E3D"/>
    <w:rsid w:val="002804A0"/>
    <w:rsid w:val="00287898"/>
    <w:rsid w:val="00291930"/>
    <w:rsid w:val="00294C4C"/>
    <w:rsid w:val="00295819"/>
    <w:rsid w:val="002A05AF"/>
    <w:rsid w:val="002A07BC"/>
    <w:rsid w:val="002A3973"/>
    <w:rsid w:val="002A5285"/>
    <w:rsid w:val="002A7036"/>
    <w:rsid w:val="002B06B1"/>
    <w:rsid w:val="002B3AF7"/>
    <w:rsid w:val="002B3D3D"/>
    <w:rsid w:val="002B46F8"/>
    <w:rsid w:val="002C5C24"/>
    <w:rsid w:val="002C671A"/>
    <w:rsid w:val="002D0CAB"/>
    <w:rsid w:val="002D153F"/>
    <w:rsid w:val="002D34C1"/>
    <w:rsid w:val="002D4F8B"/>
    <w:rsid w:val="002E0743"/>
    <w:rsid w:val="002E1D59"/>
    <w:rsid w:val="002E440B"/>
    <w:rsid w:val="002F21DB"/>
    <w:rsid w:val="002F69BB"/>
    <w:rsid w:val="003019F9"/>
    <w:rsid w:val="0030794A"/>
    <w:rsid w:val="0031351E"/>
    <w:rsid w:val="00313522"/>
    <w:rsid w:val="00314EBE"/>
    <w:rsid w:val="00320122"/>
    <w:rsid w:val="00321C86"/>
    <w:rsid w:val="003240A3"/>
    <w:rsid w:val="00330021"/>
    <w:rsid w:val="00331725"/>
    <w:rsid w:val="0033288D"/>
    <w:rsid w:val="00335101"/>
    <w:rsid w:val="0034173D"/>
    <w:rsid w:val="003425AB"/>
    <w:rsid w:val="00344419"/>
    <w:rsid w:val="003471E9"/>
    <w:rsid w:val="003551FB"/>
    <w:rsid w:val="003607C0"/>
    <w:rsid w:val="003623F2"/>
    <w:rsid w:val="00362A0A"/>
    <w:rsid w:val="00362A76"/>
    <w:rsid w:val="00364165"/>
    <w:rsid w:val="00366AA4"/>
    <w:rsid w:val="00370D32"/>
    <w:rsid w:val="00371E00"/>
    <w:rsid w:val="003757F7"/>
    <w:rsid w:val="00382C4D"/>
    <w:rsid w:val="00383F7B"/>
    <w:rsid w:val="00390B23"/>
    <w:rsid w:val="003947B8"/>
    <w:rsid w:val="003956DB"/>
    <w:rsid w:val="00396DFE"/>
    <w:rsid w:val="00396EC3"/>
    <w:rsid w:val="003A00B0"/>
    <w:rsid w:val="003A0FCA"/>
    <w:rsid w:val="003A2F5B"/>
    <w:rsid w:val="003A3FC7"/>
    <w:rsid w:val="003A5A2F"/>
    <w:rsid w:val="003A697E"/>
    <w:rsid w:val="003A742D"/>
    <w:rsid w:val="003B00CB"/>
    <w:rsid w:val="003B3AC9"/>
    <w:rsid w:val="003B576F"/>
    <w:rsid w:val="003B64B9"/>
    <w:rsid w:val="003C2C06"/>
    <w:rsid w:val="003C4DA4"/>
    <w:rsid w:val="003C55C3"/>
    <w:rsid w:val="003C62D6"/>
    <w:rsid w:val="003C7573"/>
    <w:rsid w:val="003D30BF"/>
    <w:rsid w:val="003D3514"/>
    <w:rsid w:val="003E1218"/>
    <w:rsid w:val="003E27AD"/>
    <w:rsid w:val="003E50E4"/>
    <w:rsid w:val="003E65C1"/>
    <w:rsid w:val="003F04DE"/>
    <w:rsid w:val="003F1551"/>
    <w:rsid w:val="004009D0"/>
    <w:rsid w:val="00401584"/>
    <w:rsid w:val="004064F2"/>
    <w:rsid w:val="0040706B"/>
    <w:rsid w:val="00410A48"/>
    <w:rsid w:val="00410BF8"/>
    <w:rsid w:val="00411312"/>
    <w:rsid w:val="00417D68"/>
    <w:rsid w:val="00420E2D"/>
    <w:rsid w:val="00421032"/>
    <w:rsid w:val="0042236A"/>
    <w:rsid w:val="00422BAB"/>
    <w:rsid w:val="004263EB"/>
    <w:rsid w:val="004268E6"/>
    <w:rsid w:val="00435094"/>
    <w:rsid w:val="0043746F"/>
    <w:rsid w:val="00440060"/>
    <w:rsid w:val="00440291"/>
    <w:rsid w:val="00440F6E"/>
    <w:rsid w:val="00445B62"/>
    <w:rsid w:val="00447990"/>
    <w:rsid w:val="00450DFE"/>
    <w:rsid w:val="00453FA7"/>
    <w:rsid w:val="00460E8B"/>
    <w:rsid w:val="004633A6"/>
    <w:rsid w:val="00464624"/>
    <w:rsid w:val="004725CC"/>
    <w:rsid w:val="004806C0"/>
    <w:rsid w:val="00482F8D"/>
    <w:rsid w:val="00490116"/>
    <w:rsid w:val="00492F20"/>
    <w:rsid w:val="00493123"/>
    <w:rsid w:val="00494190"/>
    <w:rsid w:val="004A152E"/>
    <w:rsid w:val="004A2B4D"/>
    <w:rsid w:val="004A3CD3"/>
    <w:rsid w:val="004A4D1C"/>
    <w:rsid w:val="004B3924"/>
    <w:rsid w:val="004B56B8"/>
    <w:rsid w:val="004C020F"/>
    <w:rsid w:val="004C0A2A"/>
    <w:rsid w:val="004C223A"/>
    <w:rsid w:val="004C2D40"/>
    <w:rsid w:val="004C3591"/>
    <w:rsid w:val="004C5934"/>
    <w:rsid w:val="004C67B2"/>
    <w:rsid w:val="004D231A"/>
    <w:rsid w:val="004D43EC"/>
    <w:rsid w:val="004D508E"/>
    <w:rsid w:val="004D5FCC"/>
    <w:rsid w:val="004D6496"/>
    <w:rsid w:val="004D6958"/>
    <w:rsid w:val="004E0328"/>
    <w:rsid w:val="004E17AF"/>
    <w:rsid w:val="004E18D6"/>
    <w:rsid w:val="004F0526"/>
    <w:rsid w:val="004F070B"/>
    <w:rsid w:val="004F5738"/>
    <w:rsid w:val="00502D22"/>
    <w:rsid w:val="00510632"/>
    <w:rsid w:val="0051229F"/>
    <w:rsid w:val="00515E28"/>
    <w:rsid w:val="00516099"/>
    <w:rsid w:val="005204B1"/>
    <w:rsid w:val="00521C39"/>
    <w:rsid w:val="005230DA"/>
    <w:rsid w:val="00527AD3"/>
    <w:rsid w:val="005303DD"/>
    <w:rsid w:val="00531913"/>
    <w:rsid w:val="00532E8E"/>
    <w:rsid w:val="005479AD"/>
    <w:rsid w:val="00553441"/>
    <w:rsid w:val="00555048"/>
    <w:rsid w:val="005554CC"/>
    <w:rsid w:val="0056035D"/>
    <w:rsid w:val="00560627"/>
    <w:rsid w:val="00560B3A"/>
    <w:rsid w:val="00563C14"/>
    <w:rsid w:val="00565E00"/>
    <w:rsid w:val="00570F0A"/>
    <w:rsid w:val="005718B3"/>
    <w:rsid w:val="00571A67"/>
    <w:rsid w:val="00572653"/>
    <w:rsid w:val="005733F8"/>
    <w:rsid w:val="00577F63"/>
    <w:rsid w:val="0058089C"/>
    <w:rsid w:val="00580D56"/>
    <w:rsid w:val="0058408A"/>
    <w:rsid w:val="00585B97"/>
    <w:rsid w:val="00590E8C"/>
    <w:rsid w:val="00591C7F"/>
    <w:rsid w:val="00592F0A"/>
    <w:rsid w:val="005A0BD5"/>
    <w:rsid w:val="005A1C9F"/>
    <w:rsid w:val="005A3C9D"/>
    <w:rsid w:val="005A6368"/>
    <w:rsid w:val="005B0B54"/>
    <w:rsid w:val="005B3B23"/>
    <w:rsid w:val="005C00C8"/>
    <w:rsid w:val="005C12DB"/>
    <w:rsid w:val="005C1A9D"/>
    <w:rsid w:val="005C324E"/>
    <w:rsid w:val="005D0BC1"/>
    <w:rsid w:val="005D1C38"/>
    <w:rsid w:val="005D6B3B"/>
    <w:rsid w:val="005E08AB"/>
    <w:rsid w:val="005E18DF"/>
    <w:rsid w:val="005E47FC"/>
    <w:rsid w:val="005F1829"/>
    <w:rsid w:val="005F243C"/>
    <w:rsid w:val="005F26DA"/>
    <w:rsid w:val="00606305"/>
    <w:rsid w:val="006100CA"/>
    <w:rsid w:val="006111C6"/>
    <w:rsid w:val="00611748"/>
    <w:rsid w:val="0061270B"/>
    <w:rsid w:val="00613ABE"/>
    <w:rsid w:val="006142CB"/>
    <w:rsid w:val="006178A8"/>
    <w:rsid w:val="006201F6"/>
    <w:rsid w:val="00621113"/>
    <w:rsid w:val="00622462"/>
    <w:rsid w:val="006314AF"/>
    <w:rsid w:val="006335EC"/>
    <w:rsid w:val="0064309C"/>
    <w:rsid w:val="00643277"/>
    <w:rsid w:val="006472B0"/>
    <w:rsid w:val="00661995"/>
    <w:rsid w:val="006655F2"/>
    <w:rsid w:val="006674AC"/>
    <w:rsid w:val="00670A87"/>
    <w:rsid w:val="0068324B"/>
    <w:rsid w:val="006843CF"/>
    <w:rsid w:val="00685F39"/>
    <w:rsid w:val="00686231"/>
    <w:rsid w:val="0068679A"/>
    <w:rsid w:val="00691752"/>
    <w:rsid w:val="00692557"/>
    <w:rsid w:val="006941E2"/>
    <w:rsid w:val="006946DA"/>
    <w:rsid w:val="006A4233"/>
    <w:rsid w:val="006A458E"/>
    <w:rsid w:val="006B4867"/>
    <w:rsid w:val="006B4A61"/>
    <w:rsid w:val="006B67BF"/>
    <w:rsid w:val="006B709B"/>
    <w:rsid w:val="006C23D3"/>
    <w:rsid w:val="006C24B5"/>
    <w:rsid w:val="006D0136"/>
    <w:rsid w:val="006D256B"/>
    <w:rsid w:val="006E4D46"/>
    <w:rsid w:val="006F2D66"/>
    <w:rsid w:val="006F50D7"/>
    <w:rsid w:val="006F7916"/>
    <w:rsid w:val="0070092B"/>
    <w:rsid w:val="00701D04"/>
    <w:rsid w:val="00706604"/>
    <w:rsid w:val="00711306"/>
    <w:rsid w:val="007119F8"/>
    <w:rsid w:val="007127AB"/>
    <w:rsid w:val="0071290C"/>
    <w:rsid w:val="00713EED"/>
    <w:rsid w:val="00717CB9"/>
    <w:rsid w:val="00726790"/>
    <w:rsid w:val="00731FE0"/>
    <w:rsid w:val="007358EF"/>
    <w:rsid w:val="0073734B"/>
    <w:rsid w:val="00740B31"/>
    <w:rsid w:val="00741F15"/>
    <w:rsid w:val="007440A0"/>
    <w:rsid w:val="007469F6"/>
    <w:rsid w:val="00750199"/>
    <w:rsid w:val="00752917"/>
    <w:rsid w:val="0075462F"/>
    <w:rsid w:val="0075473B"/>
    <w:rsid w:val="00755228"/>
    <w:rsid w:val="00757951"/>
    <w:rsid w:val="00760E1B"/>
    <w:rsid w:val="0076275B"/>
    <w:rsid w:val="007645FB"/>
    <w:rsid w:val="007726A5"/>
    <w:rsid w:val="00775A19"/>
    <w:rsid w:val="00780F31"/>
    <w:rsid w:val="00781210"/>
    <w:rsid w:val="0078189A"/>
    <w:rsid w:val="00786350"/>
    <w:rsid w:val="0078787F"/>
    <w:rsid w:val="00791171"/>
    <w:rsid w:val="007A0BF9"/>
    <w:rsid w:val="007A360A"/>
    <w:rsid w:val="007A66A3"/>
    <w:rsid w:val="007A66E1"/>
    <w:rsid w:val="007A74F5"/>
    <w:rsid w:val="007B2982"/>
    <w:rsid w:val="007B2D5E"/>
    <w:rsid w:val="007C0DDA"/>
    <w:rsid w:val="007C20E4"/>
    <w:rsid w:val="007C25D4"/>
    <w:rsid w:val="007C4300"/>
    <w:rsid w:val="007D1FBA"/>
    <w:rsid w:val="007D5980"/>
    <w:rsid w:val="007E0E47"/>
    <w:rsid w:val="007E1958"/>
    <w:rsid w:val="007E3997"/>
    <w:rsid w:val="007E3C63"/>
    <w:rsid w:val="007E6759"/>
    <w:rsid w:val="007E7C03"/>
    <w:rsid w:val="007E7E75"/>
    <w:rsid w:val="007F6909"/>
    <w:rsid w:val="00804920"/>
    <w:rsid w:val="00804F9A"/>
    <w:rsid w:val="00807211"/>
    <w:rsid w:val="0081705B"/>
    <w:rsid w:val="00820132"/>
    <w:rsid w:val="008211C2"/>
    <w:rsid w:val="0082648C"/>
    <w:rsid w:val="00827DD0"/>
    <w:rsid w:val="008355B6"/>
    <w:rsid w:val="00836221"/>
    <w:rsid w:val="0084118A"/>
    <w:rsid w:val="00841721"/>
    <w:rsid w:val="0084343E"/>
    <w:rsid w:val="0084604D"/>
    <w:rsid w:val="00846688"/>
    <w:rsid w:val="00847C3E"/>
    <w:rsid w:val="00850238"/>
    <w:rsid w:val="008508DC"/>
    <w:rsid w:val="00850C05"/>
    <w:rsid w:val="00864AE7"/>
    <w:rsid w:val="00867697"/>
    <w:rsid w:val="00870188"/>
    <w:rsid w:val="008714D1"/>
    <w:rsid w:val="0087205A"/>
    <w:rsid w:val="00886966"/>
    <w:rsid w:val="00890C50"/>
    <w:rsid w:val="008911BC"/>
    <w:rsid w:val="00891C51"/>
    <w:rsid w:val="0089552C"/>
    <w:rsid w:val="00896FD1"/>
    <w:rsid w:val="0089735F"/>
    <w:rsid w:val="008A040D"/>
    <w:rsid w:val="008A05D6"/>
    <w:rsid w:val="008A604E"/>
    <w:rsid w:val="008A655D"/>
    <w:rsid w:val="008B3B4B"/>
    <w:rsid w:val="008B441A"/>
    <w:rsid w:val="008B55D7"/>
    <w:rsid w:val="008C6973"/>
    <w:rsid w:val="008C78D9"/>
    <w:rsid w:val="008D0B7E"/>
    <w:rsid w:val="008D45E2"/>
    <w:rsid w:val="008D5AA8"/>
    <w:rsid w:val="008E0C97"/>
    <w:rsid w:val="008E1CBD"/>
    <w:rsid w:val="008E5FAC"/>
    <w:rsid w:val="008E6078"/>
    <w:rsid w:val="008E63DE"/>
    <w:rsid w:val="008E7687"/>
    <w:rsid w:val="008E76BB"/>
    <w:rsid w:val="008F3A5F"/>
    <w:rsid w:val="008F6371"/>
    <w:rsid w:val="008F76AF"/>
    <w:rsid w:val="0090090C"/>
    <w:rsid w:val="009025F2"/>
    <w:rsid w:val="0090567C"/>
    <w:rsid w:val="00906EFA"/>
    <w:rsid w:val="009120CE"/>
    <w:rsid w:val="00923EE1"/>
    <w:rsid w:val="00924220"/>
    <w:rsid w:val="00924FA4"/>
    <w:rsid w:val="00925886"/>
    <w:rsid w:val="00925C1E"/>
    <w:rsid w:val="0093029B"/>
    <w:rsid w:val="00932228"/>
    <w:rsid w:val="009339D9"/>
    <w:rsid w:val="00936D55"/>
    <w:rsid w:val="0094342F"/>
    <w:rsid w:val="009452E2"/>
    <w:rsid w:val="00946C77"/>
    <w:rsid w:val="00952744"/>
    <w:rsid w:val="0095555F"/>
    <w:rsid w:val="00962037"/>
    <w:rsid w:val="00962374"/>
    <w:rsid w:val="0096421E"/>
    <w:rsid w:val="00965659"/>
    <w:rsid w:val="00972D98"/>
    <w:rsid w:val="00975AB5"/>
    <w:rsid w:val="009801F8"/>
    <w:rsid w:val="00982640"/>
    <w:rsid w:val="0098404A"/>
    <w:rsid w:val="009853ED"/>
    <w:rsid w:val="00990FEB"/>
    <w:rsid w:val="009914F3"/>
    <w:rsid w:val="00991969"/>
    <w:rsid w:val="0099608D"/>
    <w:rsid w:val="00997A42"/>
    <w:rsid w:val="009A1914"/>
    <w:rsid w:val="009A2290"/>
    <w:rsid w:val="009A52A3"/>
    <w:rsid w:val="009B3E67"/>
    <w:rsid w:val="009B5A20"/>
    <w:rsid w:val="009B6A45"/>
    <w:rsid w:val="009B6B05"/>
    <w:rsid w:val="009B6C8D"/>
    <w:rsid w:val="009B7908"/>
    <w:rsid w:val="009C08C3"/>
    <w:rsid w:val="009C30D9"/>
    <w:rsid w:val="009C5C9E"/>
    <w:rsid w:val="009C771C"/>
    <w:rsid w:val="009D3935"/>
    <w:rsid w:val="009E1BA5"/>
    <w:rsid w:val="009E71EA"/>
    <w:rsid w:val="009F0D30"/>
    <w:rsid w:val="009F0DC8"/>
    <w:rsid w:val="009F21A8"/>
    <w:rsid w:val="009F505E"/>
    <w:rsid w:val="00A06230"/>
    <w:rsid w:val="00A12EEF"/>
    <w:rsid w:val="00A1741D"/>
    <w:rsid w:val="00A20995"/>
    <w:rsid w:val="00A21D54"/>
    <w:rsid w:val="00A228AD"/>
    <w:rsid w:val="00A2507D"/>
    <w:rsid w:val="00A302BE"/>
    <w:rsid w:val="00A351DD"/>
    <w:rsid w:val="00A41CAE"/>
    <w:rsid w:val="00A45B5E"/>
    <w:rsid w:val="00A47D15"/>
    <w:rsid w:val="00A5398C"/>
    <w:rsid w:val="00A55331"/>
    <w:rsid w:val="00A572FC"/>
    <w:rsid w:val="00A60A5D"/>
    <w:rsid w:val="00A63C78"/>
    <w:rsid w:val="00A63E92"/>
    <w:rsid w:val="00A6525F"/>
    <w:rsid w:val="00A66141"/>
    <w:rsid w:val="00A71A0C"/>
    <w:rsid w:val="00A73136"/>
    <w:rsid w:val="00A74AD5"/>
    <w:rsid w:val="00A75052"/>
    <w:rsid w:val="00A75D88"/>
    <w:rsid w:val="00A76396"/>
    <w:rsid w:val="00A775AB"/>
    <w:rsid w:val="00A77DF5"/>
    <w:rsid w:val="00A81A19"/>
    <w:rsid w:val="00A8768B"/>
    <w:rsid w:val="00A9076F"/>
    <w:rsid w:val="00A90BC9"/>
    <w:rsid w:val="00A920DF"/>
    <w:rsid w:val="00A92F65"/>
    <w:rsid w:val="00A94104"/>
    <w:rsid w:val="00A97246"/>
    <w:rsid w:val="00A97AD5"/>
    <w:rsid w:val="00AA543C"/>
    <w:rsid w:val="00AA6525"/>
    <w:rsid w:val="00AB1CAA"/>
    <w:rsid w:val="00AB35B3"/>
    <w:rsid w:val="00AB6FAE"/>
    <w:rsid w:val="00AB76F6"/>
    <w:rsid w:val="00AC32E2"/>
    <w:rsid w:val="00AC53C8"/>
    <w:rsid w:val="00AD1982"/>
    <w:rsid w:val="00AD23E8"/>
    <w:rsid w:val="00AD78F6"/>
    <w:rsid w:val="00AD7A16"/>
    <w:rsid w:val="00AE0BAE"/>
    <w:rsid w:val="00AE159E"/>
    <w:rsid w:val="00AE2475"/>
    <w:rsid w:val="00AE296D"/>
    <w:rsid w:val="00AE7972"/>
    <w:rsid w:val="00AF2AC1"/>
    <w:rsid w:val="00AF3BDD"/>
    <w:rsid w:val="00AF4522"/>
    <w:rsid w:val="00AF74DF"/>
    <w:rsid w:val="00B002BE"/>
    <w:rsid w:val="00B01FA7"/>
    <w:rsid w:val="00B05F11"/>
    <w:rsid w:val="00B06938"/>
    <w:rsid w:val="00B10BB3"/>
    <w:rsid w:val="00B1671B"/>
    <w:rsid w:val="00B2034F"/>
    <w:rsid w:val="00B3170B"/>
    <w:rsid w:val="00B47461"/>
    <w:rsid w:val="00B5122F"/>
    <w:rsid w:val="00B53C0E"/>
    <w:rsid w:val="00B55A9E"/>
    <w:rsid w:val="00B568D7"/>
    <w:rsid w:val="00B6023D"/>
    <w:rsid w:val="00B6534A"/>
    <w:rsid w:val="00B664E7"/>
    <w:rsid w:val="00B704AC"/>
    <w:rsid w:val="00B70639"/>
    <w:rsid w:val="00B71E3C"/>
    <w:rsid w:val="00B7247D"/>
    <w:rsid w:val="00B748E2"/>
    <w:rsid w:val="00B7514D"/>
    <w:rsid w:val="00B759BB"/>
    <w:rsid w:val="00B76E22"/>
    <w:rsid w:val="00B77F17"/>
    <w:rsid w:val="00B801EA"/>
    <w:rsid w:val="00B849E2"/>
    <w:rsid w:val="00B92537"/>
    <w:rsid w:val="00B95E4D"/>
    <w:rsid w:val="00B97106"/>
    <w:rsid w:val="00B97793"/>
    <w:rsid w:val="00BA2B3A"/>
    <w:rsid w:val="00BA5AE0"/>
    <w:rsid w:val="00BB0FF6"/>
    <w:rsid w:val="00BB3CD6"/>
    <w:rsid w:val="00BB3CD8"/>
    <w:rsid w:val="00BC3977"/>
    <w:rsid w:val="00BC423A"/>
    <w:rsid w:val="00BC6F68"/>
    <w:rsid w:val="00BC730C"/>
    <w:rsid w:val="00BE0DCF"/>
    <w:rsid w:val="00BE22CB"/>
    <w:rsid w:val="00BE45D5"/>
    <w:rsid w:val="00BE7108"/>
    <w:rsid w:val="00BF0197"/>
    <w:rsid w:val="00BF0639"/>
    <w:rsid w:val="00BF0D84"/>
    <w:rsid w:val="00BF3082"/>
    <w:rsid w:val="00BF4C99"/>
    <w:rsid w:val="00BF4E1E"/>
    <w:rsid w:val="00C007DD"/>
    <w:rsid w:val="00C0365C"/>
    <w:rsid w:val="00C03CD6"/>
    <w:rsid w:val="00C13237"/>
    <w:rsid w:val="00C137FC"/>
    <w:rsid w:val="00C13EC8"/>
    <w:rsid w:val="00C20210"/>
    <w:rsid w:val="00C21F4E"/>
    <w:rsid w:val="00C26ACA"/>
    <w:rsid w:val="00C273BE"/>
    <w:rsid w:val="00C27CA3"/>
    <w:rsid w:val="00C354FE"/>
    <w:rsid w:val="00C3577F"/>
    <w:rsid w:val="00C36E30"/>
    <w:rsid w:val="00C42EA2"/>
    <w:rsid w:val="00C44695"/>
    <w:rsid w:val="00C466AA"/>
    <w:rsid w:val="00C47B9B"/>
    <w:rsid w:val="00C50BAC"/>
    <w:rsid w:val="00C5408B"/>
    <w:rsid w:val="00C546E7"/>
    <w:rsid w:val="00C61BC9"/>
    <w:rsid w:val="00C620D9"/>
    <w:rsid w:val="00C62C57"/>
    <w:rsid w:val="00C63297"/>
    <w:rsid w:val="00C63F3B"/>
    <w:rsid w:val="00C6442D"/>
    <w:rsid w:val="00C645E3"/>
    <w:rsid w:val="00C65015"/>
    <w:rsid w:val="00C70B73"/>
    <w:rsid w:val="00C7388C"/>
    <w:rsid w:val="00C859D0"/>
    <w:rsid w:val="00C86CC9"/>
    <w:rsid w:val="00C91A58"/>
    <w:rsid w:val="00C954C8"/>
    <w:rsid w:val="00C96BD2"/>
    <w:rsid w:val="00CA0712"/>
    <w:rsid w:val="00CA17CF"/>
    <w:rsid w:val="00CA3759"/>
    <w:rsid w:val="00CA68DF"/>
    <w:rsid w:val="00CB0C26"/>
    <w:rsid w:val="00CB2017"/>
    <w:rsid w:val="00CB470F"/>
    <w:rsid w:val="00CB7767"/>
    <w:rsid w:val="00CC23A6"/>
    <w:rsid w:val="00CC72D9"/>
    <w:rsid w:val="00CC7CCE"/>
    <w:rsid w:val="00CD2358"/>
    <w:rsid w:val="00CD32E8"/>
    <w:rsid w:val="00CD3388"/>
    <w:rsid w:val="00CE1591"/>
    <w:rsid w:val="00CF0C27"/>
    <w:rsid w:val="00CF15A4"/>
    <w:rsid w:val="00CF2941"/>
    <w:rsid w:val="00CF2B38"/>
    <w:rsid w:val="00CF43FE"/>
    <w:rsid w:val="00CF7C1B"/>
    <w:rsid w:val="00D05228"/>
    <w:rsid w:val="00D05A04"/>
    <w:rsid w:val="00D06A38"/>
    <w:rsid w:val="00D079C6"/>
    <w:rsid w:val="00D10DCF"/>
    <w:rsid w:val="00D116F5"/>
    <w:rsid w:val="00D12704"/>
    <w:rsid w:val="00D13877"/>
    <w:rsid w:val="00D1408B"/>
    <w:rsid w:val="00D14A32"/>
    <w:rsid w:val="00D168C8"/>
    <w:rsid w:val="00D178FC"/>
    <w:rsid w:val="00D2199A"/>
    <w:rsid w:val="00D21F6A"/>
    <w:rsid w:val="00D22411"/>
    <w:rsid w:val="00D22576"/>
    <w:rsid w:val="00D275BA"/>
    <w:rsid w:val="00D41B9F"/>
    <w:rsid w:val="00D45719"/>
    <w:rsid w:val="00D50C80"/>
    <w:rsid w:val="00D52BAF"/>
    <w:rsid w:val="00D53FE3"/>
    <w:rsid w:val="00D64165"/>
    <w:rsid w:val="00D6457C"/>
    <w:rsid w:val="00D67D1F"/>
    <w:rsid w:val="00D717C6"/>
    <w:rsid w:val="00D71AE0"/>
    <w:rsid w:val="00D7239D"/>
    <w:rsid w:val="00D75540"/>
    <w:rsid w:val="00D772A3"/>
    <w:rsid w:val="00D804DA"/>
    <w:rsid w:val="00D805FA"/>
    <w:rsid w:val="00D80AB8"/>
    <w:rsid w:val="00D83A56"/>
    <w:rsid w:val="00D91B01"/>
    <w:rsid w:val="00D924ED"/>
    <w:rsid w:val="00DA1BCB"/>
    <w:rsid w:val="00DA5184"/>
    <w:rsid w:val="00DA6DBE"/>
    <w:rsid w:val="00DB2656"/>
    <w:rsid w:val="00DD097B"/>
    <w:rsid w:val="00DD17DA"/>
    <w:rsid w:val="00DD29C1"/>
    <w:rsid w:val="00DD6055"/>
    <w:rsid w:val="00DD696D"/>
    <w:rsid w:val="00DE59B5"/>
    <w:rsid w:val="00DE6664"/>
    <w:rsid w:val="00DF0A7F"/>
    <w:rsid w:val="00DF2385"/>
    <w:rsid w:val="00E005D2"/>
    <w:rsid w:val="00E02866"/>
    <w:rsid w:val="00E03225"/>
    <w:rsid w:val="00E05ED1"/>
    <w:rsid w:val="00E07385"/>
    <w:rsid w:val="00E14432"/>
    <w:rsid w:val="00E1460D"/>
    <w:rsid w:val="00E1479C"/>
    <w:rsid w:val="00E14A16"/>
    <w:rsid w:val="00E20352"/>
    <w:rsid w:val="00E204F2"/>
    <w:rsid w:val="00E2061D"/>
    <w:rsid w:val="00E2547F"/>
    <w:rsid w:val="00E25802"/>
    <w:rsid w:val="00E2748C"/>
    <w:rsid w:val="00E30811"/>
    <w:rsid w:val="00E37230"/>
    <w:rsid w:val="00E4091A"/>
    <w:rsid w:val="00E465F0"/>
    <w:rsid w:val="00E46AB0"/>
    <w:rsid w:val="00E46FCF"/>
    <w:rsid w:val="00E47D92"/>
    <w:rsid w:val="00E501FA"/>
    <w:rsid w:val="00E51F0D"/>
    <w:rsid w:val="00E526BB"/>
    <w:rsid w:val="00E56DD2"/>
    <w:rsid w:val="00E67700"/>
    <w:rsid w:val="00E7137B"/>
    <w:rsid w:val="00E718E3"/>
    <w:rsid w:val="00E75FD4"/>
    <w:rsid w:val="00E80265"/>
    <w:rsid w:val="00E80DC9"/>
    <w:rsid w:val="00E82A61"/>
    <w:rsid w:val="00E85434"/>
    <w:rsid w:val="00E87B90"/>
    <w:rsid w:val="00E87EED"/>
    <w:rsid w:val="00E959B3"/>
    <w:rsid w:val="00E95EA6"/>
    <w:rsid w:val="00EA1CE2"/>
    <w:rsid w:val="00EA210A"/>
    <w:rsid w:val="00EA2830"/>
    <w:rsid w:val="00EA2A75"/>
    <w:rsid w:val="00EA5464"/>
    <w:rsid w:val="00EA7582"/>
    <w:rsid w:val="00EB0EEA"/>
    <w:rsid w:val="00EB1215"/>
    <w:rsid w:val="00EB2F8C"/>
    <w:rsid w:val="00EB52E9"/>
    <w:rsid w:val="00EB687F"/>
    <w:rsid w:val="00EC0364"/>
    <w:rsid w:val="00EC281F"/>
    <w:rsid w:val="00EC4F4A"/>
    <w:rsid w:val="00EC59CB"/>
    <w:rsid w:val="00EC5B5B"/>
    <w:rsid w:val="00ED78B8"/>
    <w:rsid w:val="00EE07F1"/>
    <w:rsid w:val="00EE15BF"/>
    <w:rsid w:val="00EE209A"/>
    <w:rsid w:val="00EE2FF3"/>
    <w:rsid w:val="00EE4518"/>
    <w:rsid w:val="00EE4C97"/>
    <w:rsid w:val="00EF0B47"/>
    <w:rsid w:val="00EF105F"/>
    <w:rsid w:val="00EF6401"/>
    <w:rsid w:val="00F008F2"/>
    <w:rsid w:val="00F05B8A"/>
    <w:rsid w:val="00F06551"/>
    <w:rsid w:val="00F06938"/>
    <w:rsid w:val="00F14EE1"/>
    <w:rsid w:val="00F201B3"/>
    <w:rsid w:val="00F32539"/>
    <w:rsid w:val="00F37258"/>
    <w:rsid w:val="00F40E50"/>
    <w:rsid w:val="00F424D4"/>
    <w:rsid w:val="00F42D1F"/>
    <w:rsid w:val="00F42EAC"/>
    <w:rsid w:val="00F433A5"/>
    <w:rsid w:val="00F47925"/>
    <w:rsid w:val="00F55499"/>
    <w:rsid w:val="00F61729"/>
    <w:rsid w:val="00F648A6"/>
    <w:rsid w:val="00F67A21"/>
    <w:rsid w:val="00F67CF3"/>
    <w:rsid w:val="00F739B1"/>
    <w:rsid w:val="00F75B61"/>
    <w:rsid w:val="00F82405"/>
    <w:rsid w:val="00F835BC"/>
    <w:rsid w:val="00F83DEC"/>
    <w:rsid w:val="00F83F58"/>
    <w:rsid w:val="00F9309B"/>
    <w:rsid w:val="00F9461D"/>
    <w:rsid w:val="00F97441"/>
    <w:rsid w:val="00FA0C4D"/>
    <w:rsid w:val="00FB312B"/>
    <w:rsid w:val="00FB6DE4"/>
    <w:rsid w:val="00FC0C75"/>
    <w:rsid w:val="00FC1166"/>
    <w:rsid w:val="00FC49BD"/>
    <w:rsid w:val="00FC4F1A"/>
    <w:rsid w:val="00FC51D0"/>
    <w:rsid w:val="00FC520B"/>
    <w:rsid w:val="00FC5FB7"/>
    <w:rsid w:val="00FC6F3A"/>
    <w:rsid w:val="00FC7637"/>
    <w:rsid w:val="00FD01B5"/>
    <w:rsid w:val="00FD1346"/>
    <w:rsid w:val="00FD1F58"/>
    <w:rsid w:val="00FD2169"/>
    <w:rsid w:val="00FD2250"/>
    <w:rsid w:val="00FD6BC7"/>
    <w:rsid w:val="00FE00FC"/>
    <w:rsid w:val="00FE06D2"/>
    <w:rsid w:val="00FE312B"/>
    <w:rsid w:val="00FE5B8F"/>
    <w:rsid w:val="00FE6781"/>
    <w:rsid w:val="00FE790C"/>
    <w:rsid w:val="00FF29D3"/>
    <w:rsid w:val="00FF41BD"/>
    <w:rsid w:val="00FF5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C0B99-9058-494D-86AC-ACD5E6319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F26DA"/>
    <w:pPr>
      <w:keepNext/>
      <w:keepLines/>
      <w:spacing w:before="240" w:after="0"/>
      <w:outlineLvl w:val="0"/>
    </w:pPr>
    <w:rPr>
      <w:rFonts w:asciiTheme="majorHAnsi" w:eastAsiaTheme="majorEastAsia" w:hAnsiTheme="majorHAnsi" w:cstheme="majorBidi"/>
      <w:color w:val="2E74B5" w:themeColor="accent1" w:themeShade="BF"/>
      <w:sz w:val="32"/>
      <w:szCs w:val="32"/>
      <w:lang w:val="sv-SE"/>
    </w:rPr>
  </w:style>
  <w:style w:type="paragraph" w:styleId="Heading2">
    <w:name w:val="heading 2"/>
    <w:basedOn w:val="Normal"/>
    <w:next w:val="Normal"/>
    <w:link w:val="Heading2Char"/>
    <w:uiPriority w:val="9"/>
    <w:semiHidden/>
    <w:unhideWhenUsed/>
    <w:qFormat/>
    <w:rsid w:val="005F26DA"/>
    <w:pPr>
      <w:keepNext/>
      <w:keepLines/>
      <w:spacing w:before="40" w:after="0"/>
      <w:outlineLvl w:val="1"/>
    </w:pPr>
    <w:rPr>
      <w:rFonts w:asciiTheme="majorHAnsi" w:eastAsiaTheme="majorEastAsia" w:hAnsiTheme="majorHAnsi" w:cstheme="majorBidi"/>
      <w:color w:val="2E74B5" w:themeColor="accent1" w:themeShade="BF"/>
      <w:sz w:val="26"/>
      <w:szCs w:val="26"/>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6DA"/>
    <w:rPr>
      <w:rFonts w:asciiTheme="majorHAnsi" w:eastAsiaTheme="majorEastAsia" w:hAnsiTheme="majorHAnsi" w:cstheme="majorBidi"/>
      <w:color w:val="2E74B5" w:themeColor="accent1" w:themeShade="BF"/>
      <w:sz w:val="32"/>
      <w:szCs w:val="32"/>
      <w:lang w:val="sv-SE"/>
    </w:rPr>
  </w:style>
  <w:style w:type="character" w:customStyle="1" w:styleId="Heading2Char">
    <w:name w:val="Heading 2 Char"/>
    <w:basedOn w:val="DefaultParagraphFont"/>
    <w:link w:val="Heading2"/>
    <w:uiPriority w:val="9"/>
    <w:semiHidden/>
    <w:rsid w:val="005F26DA"/>
    <w:rPr>
      <w:rFonts w:asciiTheme="majorHAnsi" w:eastAsiaTheme="majorEastAsia" w:hAnsiTheme="majorHAnsi" w:cstheme="majorBidi"/>
      <w:color w:val="2E74B5" w:themeColor="accent1" w:themeShade="BF"/>
      <w:sz w:val="26"/>
      <w:szCs w:val="26"/>
      <w:lang w:val="sv-SE"/>
    </w:rPr>
  </w:style>
  <w:style w:type="character" w:styleId="CommentReference">
    <w:name w:val="annotation reference"/>
    <w:basedOn w:val="DefaultParagraphFont"/>
    <w:uiPriority w:val="99"/>
    <w:semiHidden/>
    <w:unhideWhenUsed/>
    <w:rsid w:val="005F26DA"/>
    <w:rPr>
      <w:sz w:val="16"/>
      <w:szCs w:val="16"/>
    </w:rPr>
  </w:style>
  <w:style w:type="paragraph" w:styleId="CommentText">
    <w:name w:val="annotation text"/>
    <w:basedOn w:val="Normal"/>
    <w:link w:val="CommentTextChar"/>
    <w:uiPriority w:val="99"/>
    <w:semiHidden/>
    <w:unhideWhenUsed/>
    <w:rsid w:val="005F26DA"/>
    <w:pPr>
      <w:spacing w:line="240" w:lineRule="auto"/>
    </w:pPr>
    <w:rPr>
      <w:sz w:val="20"/>
      <w:szCs w:val="20"/>
      <w:lang w:val="sv-SE"/>
    </w:rPr>
  </w:style>
  <w:style w:type="character" w:customStyle="1" w:styleId="CommentTextChar">
    <w:name w:val="Comment Text Char"/>
    <w:basedOn w:val="DefaultParagraphFont"/>
    <w:link w:val="CommentText"/>
    <w:uiPriority w:val="99"/>
    <w:semiHidden/>
    <w:rsid w:val="005F26DA"/>
    <w:rPr>
      <w:sz w:val="20"/>
      <w:szCs w:val="20"/>
      <w:lang w:val="sv-SE"/>
    </w:rPr>
  </w:style>
  <w:style w:type="paragraph" w:styleId="CommentSubject">
    <w:name w:val="annotation subject"/>
    <w:basedOn w:val="CommentText"/>
    <w:next w:val="CommentText"/>
    <w:link w:val="CommentSubjectChar"/>
    <w:uiPriority w:val="99"/>
    <w:semiHidden/>
    <w:unhideWhenUsed/>
    <w:rsid w:val="005F26DA"/>
    <w:rPr>
      <w:b/>
      <w:bCs/>
    </w:rPr>
  </w:style>
  <w:style w:type="character" w:customStyle="1" w:styleId="CommentSubjectChar">
    <w:name w:val="Comment Subject Char"/>
    <w:basedOn w:val="CommentTextChar"/>
    <w:link w:val="CommentSubject"/>
    <w:uiPriority w:val="99"/>
    <w:semiHidden/>
    <w:rsid w:val="005F26DA"/>
    <w:rPr>
      <w:b/>
      <w:bCs/>
      <w:sz w:val="20"/>
      <w:szCs w:val="20"/>
      <w:lang w:val="sv-SE"/>
    </w:rPr>
  </w:style>
  <w:style w:type="paragraph" w:styleId="BalloonText">
    <w:name w:val="Balloon Text"/>
    <w:basedOn w:val="Normal"/>
    <w:link w:val="BalloonTextChar"/>
    <w:uiPriority w:val="99"/>
    <w:semiHidden/>
    <w:unhideWhenUsed/>
    <w:rsid w:val="005F26DA"/>
    <w:pPr>
      <w:spacing w:after="0" w:line="240" w:lineRule="auto"/>
    </w:pPr>
    <w:rPr>
      <w:rFonts w:ascii="Segoe UI" w:hAnsi="Segoe UI" w:cs="Segoe UI"/>
      <w:sz w:val="18"/>
      <w:szCs w:val="18"/>
      <w:lang w:val="sv-SE"/>
    </w:rPr>
  </w:style>
  <w:style w:type="character" w:customStyle="1" w:styleId="BalloonTextChar">
    <w:name w:val="Balloon Text Char"/>
    <w:basedOn w:val="DefaultParagraphFont"/>
    <w:link w:val="BalloonText"/>
    <w:uiPriority w:val="99"/>
    <w:semiHidden/>
    <w:rsid w:val="005F26DA"/>
    <w:rPr>
      <w:rFonts w:ascii="Segoe UI" w:hAnsi="Segoe UI" w:cs="Segoe UI"/>
      <w:sz w:val="18"/>
      <w:szCs w:val="18"/>
      <w:lang w:val="sv-SE"/>
    </w:rPr>
  </w:style>
  <w:style w:type="character" w:styleId="LineNumber">
    <w:name w:val="line number"/>
    <w:basedOn w:val="DefaultParagraphFont"/>
    <w:uiPriority w:val="99"/>
    <w:semiHidden/>
    <w:unhideWhenUsed/>
    <w:rsid w:val="005F26DA"/>
  </w:style>
  <w:style w:type="character" w:styleId="Hyperlink">
    <w:name w:val="Hyperlink"/>
    <w:basedOn w:val="DefaultParagraphFont"/>
    <w:uiPriority w:val="99"/>
    <w:unhideWhenUsed/>
    <w:rsid w:val="005F26DA"/>
    <w:rPr>
      <w:color w:val="0563C1" w:themeColor="hyperlink"/>
      <w:u w:val="single"/>
    </w:rPr>
  </w:style>
  <w:style w:type="character" w:customStyle="1" w:styleId="UnresolvedMention">
    <w:name w:val="Unresolved Mention"/>
    <w:basedOn w:val="DefaultParagraphFont"/>
    <w:uiPriority w:val="99"/>
    <w:semiHidden/>
    <w:unhideWhenUsed/>
    <w:rsid w:val="005F26DA"/>
    <w:rPr>
      <w:color w:val="605E5C"/>
      <w:shd w:val="clear" w:color="auto" w:fill="E1DFDD"/>
    </w:rPr>
  </w:style>
  <w:style w:type="character" w:customStyle="1" w:styleId="title-text">
    <w:name w:val="title-text"/>
    <w:basedOn w:val="DefaultParagraphFont"/>
    <w:rsid w:val="005F26DA"/>
  </w:style>
  <w:style w:type="paragraph" w:customStyle="1" w:styleId="Head">
    <w:name w:val="Head"/>
    <w:basedOn w:val="Heading1"/>
    <w:link w:val="HeadChar"/>
    <w:autoRedefine/>
    <w:qFormat/>
    <w:rsid w:val="005F26DA"/>
    <w:pPr>
      <w:spacing w:line="480" w:lineRule="auto"/>
      <w:jc w:val="both"/>
    </w:pPr>
    <w:rPr>
      <w:rFonts w:ascii="Arial" w:hAnsi="Arial" w:cs="Arial"/>
      <w:b/>
      <w:bCs/>
      <w:i/>
      <w:iCs/>
      <w:sz w:val="24"/>
      <w:szCs w:val="24"/>
    </w:rPr>
  </w:style>
  <w:style w:type="paragraph" w:customStyle="1" w:styleId="Style1">
    <w:name w:val="Style1"/>
    <w:basedOn w:val="Heading2"/>
    <w:link w:val="Style1Char"/>
    <w:qFormat/>
    <w:rsid w:val="005F26DA"/>
    <w:pPr>
      <w:spacing w:line="480" w:lineRule="auto"/>
      <w:jc w:val="both"/>
    </w:pPr>
    <w:rPr>
      <w:rFonts w:ascii="Times New Roman" w:hAnsi="Times New Roman" w:cs="Times New Roman"/>
      <w:i/>
      <w:iCs/>
      <w:sz w:val="28"/>
      <w:szCs w:val="28"/>
    </w:rPr>
  </w:style>
  <w:style w:type="character" w:customStyle="1" w:styleId="HeadChar">
    <w:name w:val="Head Char"/>
    <w:basedOn w:val="Heading1Char"/>
    <w:link w:val="Head"/>
    <w:rsid w:val="005F26DA"/>
    <w:rPr>
      <w:rFonts w:ascii="Arial" w:eastAsiaTheme="majorEastAsia" w:hAnsi="Arial" w:cs="Arial"/>
      <w:b/>
      <w:bCs/>
      <w:i/>
      <w:iCs/>
      <w:color w:val="2E74B5" w:themeColor="accent1" w:themeShade="BF"/>
      <w:sz w:val="24"/>
      <w:szCs w:val="24"/>
      <w:lang w:val="sv-SE"/>
    </w:rPr>
  </w:style>
  <w:style w:type="paragraph" w:customStyle="1" w:styleId="Sub-head">
    <w:name w:val="Sub-head"/>
    <w:basedOn w:val="Normal"/>
    <w:next w:val="Heading2"/>
    <w:link w:val="Sub-headChar"/>
    <w:autoRedefine/>
    <w:qFormat/>
    <w:rsid w:val="005F26DA"/>
    <w:pPr>
      <w:spacing w:line="480" w:lineRule="auto"/>
      <w:jc w:val="both"/>
    </w:pPr>
    <w:rPr>
      <w:rFonts w:ascii="Times New Roman" w:hAnsi="Times New Roman" w:cs="Times New Roman"/>
      <w:i/>
      <w:iCs/>
      <w:sz w:val="28"/>
      <w:szCs w:val="28"/>
    </w:rPr>
  </w:style>
  <w:style w:type="character" w:customStyle="1" w:styleId="Style1Char">
    <w:name w:val="Style1 Char"/>
    <w:basedOn w:val="Heading2Char"/>
    <w:link w:val="Style1"/>
    <w:rsid w:val="005F26DA"/>
    <w:rPr>
      <w:rFonts w:ascii="Times New Roman" w:eastAsiaTheme="majorEastAsia" w:hAnsi="Times New Roman" w:cs="Times New Roman"/>
      <w:i/>
      <w:iCs/>
      <w:color w:val="2E74B5" w:themeColor="accent1" w:themeShade="BF"/>
      <w:sz w:val="28"/>
      <w:szCs w:val="28"/>
      <w:lang w:val="sv-SE"/>
    </w:rPr>
  </w:style>
  <w:style w:type="character" w:customStyle="1" w:styleId="Sub-headChar">
    <w:name w:val="Sub-head Char"/>
    <w:basedOn w:val="DefaultParagraphFont"/>
    <w:link w:val="Sub-head"/>
    <w:rsid w:val="005F26DA"/>
    <w:rPr>
      <w:rFonts w:ascii="Times New Roman" w:hAnsi="Times New Roman" w:cs="Times New Roman"/>
      <w:i/>
      <w:iCs/>
      <w:sz w:val="28"/>
      <w:szCs w:val="28"/>
    </w:rPr>
  </w:style>
  <w:style w:type="character" w:styleId="Strong">
    <w:name w:val="Strong"/>
    <w:uiPriority w:val="22"/>
    <w:qFormat/>
    <w:rsid w:val="005F26DA"/>
    <w:rPr>
      <w:b/>
      <w:bCs/>
    </w:rPr>
  </w:style>
  <w:style w:type="paragraph" w:customStyle="1" w:styleId="svarticle">
    <w:name w:val="svarticle"/>
    <w:basedOn w:val="Normal"/>
    <w:rsid w:val="005F26D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26DA"/>
    <w:pPr>
      <w:tabs>
        <w:tab w:val="center" w:pos="4703"/>
        <w:tab w:val="right" w:pos="9406"/>
      </w:tabs>
      <w:spacing w:after="0" w:line="240" w:lineRule="auto"/>
    </w:pPr>
    <w:rPr>
      <w:lang w:val="sv-SE"/>
    </w:rPr>
  </w:style>
  <w:style w:type="character" w:customStyle="1" w:styleId="HeaderChar">
    <w:name w:val="Header Char"/>
    <w:basedOn w:val="DefaultParagraphFont"/>
    <w:link w:val="Header"/>
    <w:uiPriority w:val="99"/>
    <w:rsid w:val="005F26DA"/>
    <w:rPr>
      <w:lang w:val="sv-SE"/>
    </w:rPr>
  </w:style>
  <w:style w:type="paragraph" w:styleId="Footer">
    <w:name w:val="footer"/>
    <w:basedOn w:val="Normal"/>
    <w:link w:val="FooterChar"/>
    <w:uiPriority w:val="99"/>
    <w:unhideWhenUsed/>
    <w:rsid w:val="005F26DA"/>
    <w:pPr>
      <w:tabs>
        <w:tab w:val="center" w:pos="4703"/>
        <w:tab w:val="right" w:pos="9406"/>
      </w:tabs>
      <w:spacing w:after="0" w:line="240" w:lineRule="auto"/>
    </w:pPr>
    <w:rPr>
      <w:lang w:val="sv-SE"/>
    </w:rPr>
  </w:style>
  <w:style w:type="character" w:customStyle="1" w:styleId="FooterChar">
    <w:name w:val="Footer Char"/>
    <w:basedOn w:val="DefaultParagraphFont"/>
    <w:link w:val="Footer"/>
    <w:uiPriority w:val="99"/>
    <w:rsid w:val="005F26DA"/>
    <w:rPr>
      <w:lang w:val="sv-SE"/>
    </w:rPr>
  </w:style>
  <w:style w:type="paragraph" w:styleId="ListParagraph">
    <w:name w:val="List Paragraph"/>
    <w:basedOn w:val="Normal"/>
    <w:uiPriority w:val="34"/>
    <w:qFormat/>
    <w:rsid w:val="005F26DA"/>
    <w:pPr>
      <w:ind w:left="720"/>
      <w:contextualSpacing/>
    </w:pPr>
    <w:rPr>
      <w:lang w:val="sv-SE"/>
    </w:rPr>
  </w:style>
  <w:style w:type="paragraph" w:customStyle="1" w:styleId="EndNoteBibliographyTitle">
    <w:name w:val="EndNote Bibliography Title"/>
    <w:basedOn w:val="Normal"/>
    <w:link w:val="EndNoteBibliographyTitleChar"/>
    <w:rsid w:val="005F26DA"/>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5F26DA"/>
    <w:rPr>
      <w:rFonts w:ascii="Arial" w:hAnsi="Arial" w:cs="Arial"/>
      <w:noProof/>
    </w:rPr>
  </w:style>
  <w:style w:type="paragraph" w:customStyle="1" w:styleId="EndNoteBibliography">
    <w:name w:val="EndNote Bibliography"/>
    <w:basedOn w:val="Normal"/>
    <w:link w:val="EndNoteBibliographyChar"/>
    <w:rsid w:val="005F26DA"/>
    <w:pPr>
      <w:spacing w:line="240" w:lineRule="auto"/>
      <w:jc w:val="both"/>
    </w:pPr>
    <w:rPr>
      <w:rFonts w:ascii="Arial" w:hAnsi="Arial" w:cs="Arial"/>
      <w:noProof/>
    </w:rPr>
  </w:style>
  <w:style w:type="character" w:customStyle="1" w:styleId="EndNoteBibliographyChar">
    <w:name w:val="EndNote Bibliography Char"/>
    <w:basedOn w:val="DefaultParagraphFont"/>
    <w:link w:val="EndNoteBibliography"/>
    <w:rsid w:val="005F26DA"/>
    <w:rPr>
      <w:rFonts w:ascii="Arial" w:hAnsi="Arial" w:cs="Arial"/>
      <w:noProof/>
    </w:rPr>
  </w:style>
  <w:style w:type="table" w:styleId="TableGrid">
    <w:name w:val="Table Grid"/>
    <w:basedOn w:val="TableNormal"/>
    <w:uiPriority w:val="39"/>
    <w:rsid w:val="005F26DA"/>
    <w:pPr>
      <w:spacing w:after="0" w:line="240" w:lineRule="auto"/>
    </w:pPr>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26DA"/>
    <w:pPr>
      <w:spacing w:after="0" w:line="240" w:lineRule="auto"/>
    </w:pPr>
    <w:rPr>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3032</Words>
  <Characters>17288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Chithra M.</dc:creator>
  <cp:keywords/>
  <dc:description/>
  <cp:lastModifiedBy>Chithra M.</cp:lastModifiedBy>
  <cp:revision>2</cp:revision>
  <dcterms:created xsi:type="dcterms:W3CDTF">2022-10-19T12:49:00Z</dcterms:created>
  <dcterms:modified xsi:type="dcterms:W3CDTF">2022-10-19T12:50:00Z</dcterms:modified>
</cp:coreProperties>
</file>