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CCD10B" w14:textId="367C954C" w:rsidR="00454513" w:rsidRDefault="00454513" w:rsidP="00914AD4">
      <w:pPr>
        <w:spacing w:after="0"/>
        <w:rPr>
          <w:rFonts w:ascii="Arial" w:hAnsi="Arial" w:cs="Arial"/>
          <w:b/>
          <w:bCs/>
        </w:rPr>
      </w:pPr>
      <w:bookmarkStart w:id="0" w:name="_Hlk40269163"/>
      <w:bookmarkEnd w:id="0"/>
      <w:r w:rsidRPr="00B52BC7">
        <w:rPr>
          <w:rFonts w:ascii="Arial" w:hAnsi="Arial" w:cs="Arial"/>
          <w:b/>
          <w:bCs/>
        </w:rPr>
        <w:t>Online Resource 1. Supplemental Results describing the exclusion of 21 DBS samples due to storage-related batch effects.</w:t>
      </w:r>
      <w:bookmarkStart w:id="1" w:name="_GoBack"/>
      <w:bookmarkEnd w:id="1"/>
    </w:p>
    <w:p w14:paraId="6FE9545F" w14:textId="01DC619C" w:rsidR="00F92FFE" w:rsidRDefault="00914AD4" w:rsidP="00914AD4">
      <w:pPr>
        <w:spacing w:after="0"/>
        <w:rPr>
          <w:rFonts w:ascii="Arial" w:hAnsi="Arial" w:cs="Arial"/>
          <w:b/>
          <w:bCs/>
        </w:rPr>
      </w:pPr>
      <w:r w:rsidRPr="00914AD4">
        <w:rPr>
          <w:rFonts w:ascii="Arial" w:hAnsi="Arial" w:cs="Arial"/>
          <w:b/>
          <w:bCs/>
        </w:rPr>
        <w:t>Supplemental Results</w:t>
      </w:r>
    </w:p>
    <w:p w14:paraId="7E994ED2" w14:textId="580B06DA" w:rsidR="00914AD4" w:rsidRDefault="00914AD4" w:rsidP="00914AD4">
      <w:pPr>
        <w:spacing w:after="0"/>
        <w:rPr>
          <w:rFonts w:ascii="Arial" w:hAnsi="Arial" w:cs="Arial"/>
          <w:b/>
          <w:bCs/>
        </w:rPr>
      </w:pPr>
    </w:p>
    <w:p w14:paraId="3A12B309" w14:textId="60311B7F" w:rsidR="00914AD4" w:rsidRPr="00914AD4" w:rsidRDefault="00914AD4" w:rsidP="00914AD4">
      <w:pPr>
        <w:spacing w:after="0"/>
        <w:rPr>
          <w:rFonts w:ascii="Arial" w:hAnsi="Arial" w:cs="Arial"/>
          <w:i/>
          <w:iCs/>
        </w:rPr>
      </w:pPr>
      <w:r w:rsidRPr="00914AD4">
        <w:rPr>
          <w:rFonts w:ascii="Arial" w:hAnsi="Arial" w:cs="Arial"/>
          <w:i/>
          <w:iCs/>
        </w:rPr>
        <w:t>Batch effect in maternal dried blood spot (DBS) samples from a single study site</w:t>
      </w:r>
    </w:p>
    <w:p w14:paraId="16D09355" w14:textId="75D4C032" w:rsidR="00206C3B" w:rsidRDefault="00C828BC" w:rsidP="00914AD4">
      <w:pPr>
        <w:spacing w:after="0"/>
        <w:rPr>
          <w:rFonts w:ascii="Arial" w:hAnsi="Arial" w:cs="Arial"/>
        </w:rPr>
      </w:pPr>
      <w:r w:rsidRPr="00C919E3">
        <w:rPr>
          <w:rFonts w:ascii="Arial" w:hAnsi="Arial" w:cs="Arial"/>
        </w:rPr>
        <w:t>Untargeted metabolomics was performed on maternal plasma, maternal dried blood spots (DBS), and infant DBS from 100 mother-infant dyads</w:t>
      </w:r>
      <w:r w:rsidR="003F5E5E">
        <w:rPr>
          <w:rFonts w:ascii="Arial" w:hAnsi="Arial" w:cs="Arial"/>
        </w:rPr>
        <w:t xml:space="preserve">. Standard dimensionality reduction and visualization techniques (e.g. principal components analysis, t-SNE) were used </w:t>
      </w:r>
      <w:r w:rsidR="002A6812">
        <w:rPr>
          <w:rFonts w:ascii="Arial" w:hAnsi="Arial" w:cs="Arial"/>
        </w:rPr>
        <w:t xml:space="preserve">for initial sample QC and outlier detection. </w:t>
      </w:r>
      <w:r w:rsidR="00AB0852">
        <w:rPr>
          <w:rFonts w:ascii="Arial" w:hAnsi="Arial" w:cs="Arial"/>
        </w:rPr>
        <w:t>A subset of DBS samples from Malawi were observed to segregate from all others with sufficient signal to drive the second principal component</w:t>
      </w:r>
      <w:r w:rsidR="000637B0">
        <w:rPr>
          <w:rFonts w:ascii="Arial" w:hAnsi="Arial" w:cs="Arial"/>
        </w:rPr>
        <w:t xml:space="preserve"> (Figure SR1)</w:t>
      </w:r>
      <w:r w:rsidR="00AB0852">
        <w:rPr>
          <w:rFonts w:ascii="Arial" w:hAnsi="Arial" w:cs="Arial"/>
        </w:rPr>
        <w:t xml:space="preserve"> </w:t>
      </w:r>
      <w:r w:rsidR="0029157A">
        <w:rPr>
          <w:rFonts w:ascii="Arial" w:hAnsi="Arial" w:cs="Arial"/>
        </w:rPr>
        <w:t xml:space="preserve">and an even stronger effect was observed on t-SNE </w:t>
      </w:r>
      <w:r w:rsidR="00AB0852">
        <w:rPr>
          <w:rFonts w:ascii="Arial" w:hAnsi="Arial" w:cs="Arial"/>
        </w:rPr>
        <w:t>(Figure SR</w:t>
      </w:r>
      <w:r w:rsidR="000637B0">
        <w:rPr>
          <w:rFonts w:ascii="Arial" w:hAnsi="Arial" w:cs="Arial"/>
        </w:rPr>
        <w:t>2</w:t>
      </w:r>
      <w:r w:rsidR="00AB0852">
        <w:rPr>
          <w:rFonts w:ascii="Arial" w:hAnsi="Arial" w:cs="Arial"/>
        </w:rPr>
        <w:t xml:space="preserve">). </w:t>
      </w:r>
      <w:r w:rsidR="00330313">
        <w:rPr>
          <w:rFonts w:ascii="Arial" w:hAnsi="Arial" w:cs="Arial"/>
        </w:rPr>
        <w:t>Notably, this effect was not observed in maternal plasma profiles (Figure</w:t>
      </w:r>
      <w:r w:rsidR="00AE62F7">
        <w:rPr>
          <w:rFonts w:ascii="Arial" w:hAnsi="Arial" w:cs="Arial"/>
        </w:rPr>
        <w:t>s</w:t>
      </w:r>
      <w:r w:rsidR="00330313">
        <w:rPr>
          <w:rFonts w:ascii="Arial" w:hAnsi="Arial" w:cs="Arial"/>
        </w:rPr>
        <w:t xml:space="preserve"> SR</w:t>
      </w:r>
      <w:r w:rsidR="00AE62F7">
        <w:rPr>
          <w:rFonts w:ascii="Arial" w:hAnsi="Arial" w:cs="Arial"/>
        </w:rPr>
        <w:t>3 and SR4</w:t>
      </w:r>
      <w:r w:rsidR="00330313">
        <w:rPr>
          <w:rFonts w:ascii="Arial" w:hAnsi="Arial" w:cs="Arial"/>
        </w:rPr>
        <w:t>) and all of the affected samples had accessions numbering 6******</w:t>
      </w:r>
      <w:r w:rsidR="0043357B">
        <w:rPr>
          <w:rFonts w:ascii="Arial" w:hAnsi="Arial" w:cs="Arial"/>
        </w:rPr>
        <w:t xml:space="preserve"> (6-series)</w:t>
      </w:r>
      <w:r w:rsidR="00330313">
        <w:rPr>
          <w:rFonts w:ascii="Arial" w:hAnsi="Arial" w:cs="Arial"/>
        </w:rPr>
        <w:t xml:space="preserve"> as opposed to 3******</w:t>
      </w:r>
      <w:r w:rsidR="0043357B">
        <w:rPr>
          <w:rFonts w:ascii="Arial" w:hAnsi="Arial" w:cs="Arial"/>
        </w:rPr>
        <w:t xml:space="preserve"> (3-series)</w:t>
      </w:r>
      <w:r w:rsidR="00330313">
        <w:rPr>
          <w:rFonts w:ascii="Arial" w:hAnsi="Arial" w:cs="Arial"/>
        </w:rPr>
        <w:t xml:space="preserve">. This prompted us to inquire with the study </w:t>
      </w:r>
      <w:r w:rsidR="0043357B">
        <w:rPr>
          <w:rFonts w:ascii="Arial" w:hAnsi="Arial" w:cs="Arial"/>
        </w:rPr>
        <w:t>c</w:t>
      </w:r>
      <w:r w:rsidR="00330313">
        <w:rPr>
          <w:rFonts w:ascii="Arial" w:hAnsi="Arial" w:cs="Arial"/>
        </w:rPr>
        <w:t xml:space="preserve">oordinators, who identified that all of the samples numbered from the 6-series in Malawi were indeed collected and stored at a single site. </w:t>
      </w:r>
      <w:r w:rsidR="00CD2380">
        <w:rPr>
          <w:rFonts w:ascii="Arial" w:hAnsi="Arial" w:cs="Arial"/>
        </w:rPr>
        <w:t xml:space="preserve">Further investigation </w:t>
      </w:r>
      <w:r w:rsidR="007D4EB1">
        <w:rPr>
          <w:rFonts w:ascii="Arial" w:hAnsi="Arial" w:cs="Arial"/>
        </w:rPr>
        <w:t>suggested that these DBS samples may have been exposed to higher levels of humidity, and levels of compounds identified by Metabolon as particularly susceptible to stability effects were indeed altered in these samples</w:t>
      </w:r>
      <w:r w:rsidR="00A2731E">
        <w:rPr>
          <w:rFonts w:ascii="Arial" w:hAnsi="Arial" w:cs="Arial"/>
        </w:rPr>
        <w:t xml:space="preserve"> (Figure SR5)</w:t>
      </w:r>
      <w:r w:rsidR="007D4EB1">
        <w:rPr>
          <w:rFonts w:ascii="Arial" w:hAnsi="Arial" w:cs="Arial"/>
        </w:rPr>
        <w:t xml:space="preserve">. Altogether, we felt that this provided compelling and sufficient evidence to justify exclusion of </w:t>
      </w:r>
      <w:r w:rsidR="00012966">
        <w:rPr>
          <w:rFonts w:ascii="Arial" w:hAnsi="Arial" w:cs="Arial"/>
        </w:rPr>
        <w:t>the DBS samples of these</w:t>
      </w:r>
      <w:r w:rsidR="007D4EB1">
        <w:rPr>
          <w:rFonts w:ascii="Arial" w:hAnsi="Arial" w:cs="Arial"/>
        </w:rPr>
        <w:t xml:space="preserve"> 21 mother-infant dyads from all further analysis.</w:t>
      </w:r>
    </w:p>
    <w:p w14:paraId="762A58A6" w14:textId="5197C4A6" w:rsidR="00B01AEC" w:rsidRDefault="00B01AEC" w:rsidP="00914AD4">
      <w:pPr>
        <w:spacing w:after="0"/>
        <w:rPr>
          <w:rFonts w:ascii="Arial" w:hAnsi="Arial" w:cs="Arial"/>
        </w:rPr>
      </w:pPr>
    </w:p>
    <w:p w14:paraId="6D05A7A8" w14:textId="7EB2DD00" w:rsidR="00B01AEC" w:rsidRDefault="004D61AB" w:rsidP="00B01AEC">
      <w:pPr>
        <w:spacing w:after="0"/>
        <w:rPr>
          <w:rFonts w:ascii="Arial" w:hAnsi="Arial" w:cs="Arial"/>
        </w:rPr>
      </w:pPr>
      <w:r w:rsidRPr="004D61AB">
        <w:rPr>
          <w:rFonts w:ascii="Arial" w:hAnsi="Arial" w:cs="Arial"/>
          <w:noProof/>
        </w:rPr>
        <w:drawing>
          <wp:anchor distT="0" distB="0" distL="114300" distR="114300" simplePos="0" relativeHeight="251658240" behindDoc="0" locked="0" layoutInCell="1" allowOverlap="1" wp14:anchorId="1A57C4C9" wp14:editId="410549EE">
            <wp:simplePos x="0" y="0"/>
            <wp:positionH relativeFrom="column">
              <wp:posOffset>-152400</wp:posOffset>
            </wp:positionH>
            <wp:positionV relativeFrom="paragraph">
              <wp:posOffset>503555</wp:posOffset>
            </wp:positionV>
            <wp:extent cx="6472555" cy="3797300"/>
            <wp:effectExtent l="0" t="0" r="4445" b="0"/>
            <wp:wrapThrough wrapText="bothSides">
              <wp:wrapPolygon edited="0">
                <wp:start x="0" y="0"/>
                <wp:lineTo x="0" y="21456"/>
                <wp:lineTo x="21551" y="21456"/>
                <wp:lineTo x="21551"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6472555" cy="3797300"/>
                    </a:xfrm>
                    <a:prstGeom prst="rect">
                      <a:avLst/>
                    </a:prstGeom>
                  </pic:spPr>
                </pic:pic>
              </a:graphicData>
            </a:graphic>
            <wp14:sizeRelH relativeFrom="page">
              <wp14:pctWidth>0</wp14:pctWidth>
            </wp14:sizeRelH>
            <wp14:sizeRelV relativeFrom="page">
              <wp14:pctHeight>0</wp14:pctHeight>
            </wp14:sizeRelV>
          </wp:anchor>
        </w:drawing>
      </w:r>
      <w:r w:rsidR="00B01AEC">
        <w:rPr>
          <w:rFonts w:ascii="Arial" w:hAnsi="Arial" w:cs="Arial"/>
        </w:rPr>
        <w:t>Figure SR1. Principal components analysis (PCA) plot of maternal DBS samples colored by country. Numbers in brackets along axes indicate percentage of overall variation explained.</w:t>
      </w:r>
      <w:r w:rsidRPr="004D61AB">
        <w:rPr>
          <w:rFonts w:ascii="Arial" w:hAnsi="Arial" w:cs="Arial"/>
          <w:noProof/>
        </w:rPr>
        <w:t xml:space="preserve"> </w:t>
      </w:r>
    </w:p>
    <w:p w14:paraId="0CFDD431" w14:textId="02F21704" w:rsidR="00B01AEC" w:rsidRDefault="00B01AEC" w:rsidP="00B01AEC">
      <w:pPr>
        <w:spacing w:after="0"/>
        <w:rPr>
          <w:rFonts w:ascii="Arial" w:hAnsi="Arial" w:cs="Arial"/>
        </w:rPr>
      </w:pPr>
    </w:p>
    <w:p w14:paraId="00C20E88" w14:textId="77777777" w:rsidR="00B01AEC" w:rsidRDefault="00B01AEC" w:rsidP="00B01AEC">
      <w:pPr>
        <w:spacing w:after="0"/>
        <w:rPr>
          <w:rFonts w:ascii="Arial" w:hAnsi="Arial" w:cs="Arial"/>
        </w:rPr>
      </w:pPr>
    </w:p>
    <w:p w14:paraId="0419096B" w14:textId="77777777" w:rsidR="004D61AB" w:rsidRDefault="004D61AB" w:rsidP="00B01AEC">
      <w:pPr>
        <w:spacing w:after="0"/>
        <w:rPr>
          <w:rFonts w:ascii="Arial" w:hAnsi="Arial" w:cs="Arial"/>
        </w:rPr>
      </w:pPr>
    </w:p>
    <w:p w14:paraId="2FB429C2" w14:textId="2B44A920" w:rsidR="00B01AEC" w:rsidRDefault="00B01AEC" w:rsidP="00B01AEC">
      <w:pPr>
        <w:spacing w:after="0"/>
        <w:rPr>
          <w:rFonts w:ascii="Arial" w:hAnsi="Arial" w:cs="Arial"/>
        </w:rPr>
      </w:pPr>
      <w:r>
        <w:rPr>
          <w:rFonts w:ascii="Arial" w:hAnsi="Arial" w:cs="Arial"/>
        </w:rPr>
        <w:t>Figure SR2. t-SNE projection of maternal DBS samples colored by country</w:t>
      </w:r>
    </w:p>
    <w:p w14:paraId="2DB2D3B7" w14:textId="03E80B4C" w:rsidR="00B01AEC" w:rsidRDefault="004D61AB" w:rsidP="00B01AEC">
      <w:pPr>
        <w:spacing w:after="0"/>
        <w:rPr>
          <w:rFonts w:ascii="Arial" w:hAnsi="Arial" w:cs="Arial"/>
        </w:rPr>
      </w:pPr>
      <w:r w:rsidRPr="004D61AB">
        <w:rPr>
          <w:rFonts w:ascii="Arial" w:hAnsi="Arial" w:cs="Arial"/>
          <w:noProof/>
        </w:rPr>
        <w:drawing>
          <wp:inline distT="0" distB="0" distL="0" distR="0" wp14:anchorId="78060A05" wp14:editId="1A14CE8D">
            <wp:extent cx="5943600" cy="34829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482975"/>
                    </a:xfrm>
                    <a:prstGeom prst="rect">
                      <a:avLst/>
                    </a:prstGeom>
                  </pic:spPr>
                </pic:pic>
              </a:graphicData>
            </a:graphic>
          </wp:inline>
        </w:drawing>
      </w:r>
    </w:p>
    <w:p w14:paraId="03A95A7D" w14:textId="77777777" w:rsidR="00B01AEC" w:rsidRDefault="00B01AEC" w:rsidP="00B01AEC">
      <w:pPr>
        <w:spacing w:after="0"/>
        <w:rPr>
          <w:rFonts w:ascii="Arial" w:hAnsi="Arial" w:cs="Arial"/>
        </w:rPr>
      </w:pPr>
    </w:p>
    <w:p w14:paraId="533F8174" w14:textId="77777777" w:rsidR="007C5896" w:rsidRDefault="007C5896" w:rsidP="007C5896">
      <w:pPr>
        <w:spacing w:after="0"/>
        <w:rPr>
          <w:rFonts w:ascii="Arial" w:hAnsi="Arial" w:cs="Arial"/>
        </w:rPr>
      </w:pPr>
      <w:r>
        <w:rPr>
          <w:rFonts w:ascii="Arial" w:hAnsi="Arial" w:cs="Arial"/>
        </w:rPr>
        <w:t>Figure SR3. Principal components analysis (PCA) plot of maternal plasma samples colored by country. Numbers in brackets along axes indicate percentage of overall variation explained.</w:t>
      </w:r>
    </w:p>
    <w:p w14:paraId="46562D83" w14:textId="1C846554" w:rsidR="007C5896" w:rsidRDefault="007C5896" w:rsidP="007C5896">
      <w:pPr>
        <w:spacing w:after="0"/>
        <w:rPr>
          <w:rFonts w:ascii="Arial" w:hAnsi="Arial" w:cs="Arial"/>
        </w:rPr>
      </w:pPr>
    </w:p>
    <w:p w14:paraId="731CC36B" w14:textId="41FE7971" w:rsidR="007C5896" w:rsidRDefault="004D61AB" w:rsidP="007C5896">
      <w:pPr>
        <w:spacing w:after="0"/>
        <w:rPr>
          <w:rFonts w:ascii="Arial" w:hAnsi="Arial" w:cs="Arial"/>
        </w:rPr>
      </w:pPr>
      <w:r w:rsidRPr="004D61AB">
        <w:rPr>
          <w:rFonts w:ascii="Arial" w:hAnsi="Arial" w:cs="Arial"/>
          <w:noProof/>
        </w:rPr>
        <w:drawing>
          <wp:inline distT="0" distB="0" distL="0" distR="0" wp14:anchorId="5A85B905" wp14:editId="369462DB">
            <wp:extent cx="5943600" cy="34696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469640"/>
                    </a:xfrm>
                    <a:prstGeom prst="rect">
                      <a:avLst/>
                    </a:prstGeom>
                  </pic:spPr>
                </pic:pic>
              </a:graphicData>
            </a:graphic>
          </wp:inline>
        </w:drawing>
      </w:r>
    </w:p>
    <w:p w14:paraId="3181CEFE" w14:textId="77777777" w:rsidR="007C5896" w:rsidRDefault="007C5896" w:rsidP="007C5896">
      <w:pPr>
        <w:spacing w:after="0"/>
        <w:rPr>
          <w:rFonts w:ascii="Arial" w:hAnsi="Arial" w:cs="Arial"/>
        </w:rPr>
      </w:pPr>
    </w:p>
    <w:p w14:paraId="5BEEA822" w14:textId="77777777" w:rsidR="007C5896" w:rsidRDefault="007C5896" w:rsidP="007C5896">
      <w:pPr>
        <w:spacing w:after="0"/>
        <w:rPr>
          <w:rFonts w:ascii="Arial" w:hAnsi="Arial" w:cs="Arial"/>
        </w:rPr>
      </w:pPr>
    </w:p>
    <w:p w14:paraId="6DB51397" w14:textId="77777777" w:rsidR="007C5896" w:rsidRDefault="007C5896" w:rsidP="007C5896">
      <w:pPr>
        <w:spacing w:after="0"/>
        <w:rPr>
          <w:rFonts w:ascii="Arial" w:hAnsi="Arial" w:cs="Arial"/>
        </w:rPr>
      </w:pPr>
      <w:r>
        <w:rPr>
          <w:rFonts w:ascii="Arial" w:hAnsi="Arial" w:cs="Arial"/>
        </w:rPr>
        <w:t>Figure SR4. t-SNE projection of maternal plasma samples colored by country.</w:t>
      </w:r>
    </w:p>
    <w:p w14:paraId="56BD6FA1" w14:textId="1D8C1DE0" w:rsidR="007C5896" w:rsidRDefault="007C5896" w:rsidP="007C5896">
      <w:pPr>
        <w:spacing w:after="0"/>
        <w:rPr>
          <w:rFonts w:ascii="Arial" w:hAnsi="Arial" w:cs="Arial"/>
        </w:rPr>
      </w:pPr>
    </w:p>
    <w:p w14:paraId="3C70635B" w14:textId="38E8146B" w:rsidR="007C5896" w:rsidRDefault="004D61AB" w:rsidP="007C5896">
      <w:pPr>
        <w:spacing w:after="0"/>
        <w:rPr>
          <w:rFonts w:ascii="Arial" w:hAnsi="Arial" w:cs="Arial"/>
        </w:rPr>
      </w:pPr>
      <w:r w:rsidRPr="004D61AB">
        <w:rPr>
          <w:rFonts w:ascii="Arial" w:hAnsi="Arial" w:cs="Arial"/>
          <w:noProof/>
        </w:rPr>
        <w:drawing>
          <wp:inline distT="0" distB="0" distL="0" distR="0" wp14:anchorId="4356C4AD" wp14:editId="684EBD8D">
            <wp:extent cx="5943600" cy="346456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464560"/>
                    </a:xfrm>
                    <a:prstGeom prst="rect">
                      <a:avLst/>
                    </a:prstGeom>
                  </pic:spPr>
                </pic:pic>
              </a:graphicData>
            </a:graphic>
          </wp:inline>
        </w:drawing>
      </w:r>
    </w:p>
    <w:p w14:paraId="3EA07B2B" w14:textId="77777777" w:rsidR="007C5896" w:rsidRDefault="007C5896" w:rsidP="007C5896">
      <w:pPr>
        <w:spacing w:after="0"/>
        <w:rPr>
          <w:rFonts w:ascii="Arial" w:hAnsi="Arial" w:cs="Arial"/>
        </w:rPr>
      </w:pPr>
    </w:p>
    <w:p w14:paraId="130119B2" w14:textId="77777777" w:rsidR="00B01AEC" w:rsidRDefault="00B01AEC" w:rsidP="00B01AEC">
      <w:pPr>
        <w:spacing w:after="0"/>
        <w:rPr>
          <w:rFonts w:ascii="Arial" w:hAnsi="Arial" w:cs="Arial"/>
        </w:rPr>
      </w:pPr>
    </w:p>
    <w:p w14:paraId="46600752" w14:textId="490408B0" w:rsidR="00B01AEC" w:rsidRDefault="00DC5F3B" w:rsidP="00914AD4">
      <w:pPr>
        <w:spacing w:after="0"/>
        <w:rPr>
          <w:rFonts w:ascii="Arial" w:hAnsi="Arial" w:cs="Arial"/>
        </w:rPr>
      </w:pPr>
      <w:r>
        <w:rPr>
          <w:rFonts w:ascii="Arial" w:hAnsi="Arial" w:cs="Arial"/>
        </w:rPr>
        <w:t>Figure SR</w:t>
      </w:r>
      <w:r w:rsidR="007C5896">
        <w:rPr>
          <w:rFonts w:ascii="Arial" w:hAnsi="Arial" w:cs="Arial"/>
        </w:rPr>
        <w:t>5</w:t>
      </w:r>
      <w:r w:rsidR="0018380F">
        <w:rPr>
          <w:rFonts w:ascii="Arial" w:hAnsi="Arial" w:cs="Arial"/>
        </w:rPr>
        <w:t>.</w:t>
      </w:r>
      <w:r>
        <w:rPr>
          <w:rFonts w:ascii="Arial" w:hAnsi="Arial" w:cs="Arial"/>
        </w:rPr>
        <w:t xml:space="preserve"> Distribution of DBS normalized abundance values for metabolites selected in random forests model classifying between study sites in Malawi, with available stability data. Note that </w:t>
      </w:r>
      <w:proofErr w:type="spellStart"/>
      <w:r>
        <w:rPr>
          <w:rFonts w:ascii="Arial" w:hAnsi="Arial" w:cs="Arial"/>
        </w:rPr>
        <w:t>thioproline</w:t>
      </w:r>
      <w:proofErr w:type="spellEnd"/>
      <w:r>
        <w:rPr>
          <w:rFonts w:ascii="Arial" w:hAnsi="Arial" w:cs="Arial"/>
        </w:rPr>
        <w:t xml:space="preserve"> was observed to be degraded at room temperature whereas all others were concentrated.</w:t>
      </w:r>
    </w:p>
    <w:p w14:paraId="50A752C4" w14:textId="198FB38E" w:rsidR="00A024EE" w:rsidRDefault="00A024EE" w:rsidP="00914AD4">
      <w:pPr>
        <w:spacing w:after="0"/>
        <w:rPr>
          <w:rFonts w:ascii="Arial" w:hAnsi="Arial" w:cs="Arial"/>
        </w:rPr>
      </w:pPr>
      <w:r w:rsidRPr="00A024EE">
        <w:rPr>
          <w:rFonts w:ascii="Arial" w:hAnsi="Arial" w:cs="Arial"/>
          <w:noProof/>
        </w:rPr>
        <w:lastRenderedPageBreak/>
        <w:drawing>
          <wp:anchor distT="0" distB="0" distL="114300" distR="114300" simplePos="0" relativeHeight="251659264" behindDoc="0" locked="0" layoutInCell="1" allowOverlap="1" wp14:anchorId="75DF37DE" wp14:editId="30D752A6">
            <wp:simplePos x="0" y="0"/>
            <wp:positionH relativeFrom="column">
              <wp:posOffset>0</wp:posOffset>
            </wp:positionH>
            <wp:positionV relativeFrom="paragraph">
              <wp:posOffset>0</wp:posOffset>
            </wp:positionV>
            <wp:extent cx="5943600" cy="3522345"/>
            <wp:effectExtent l="0" t="0" r="0" b="1905"/>
            <wp:wrapThrough wrapText="bothSides">
              <wp:wrapPolygon edited="0">
                <wp:start x="0" y="0"/>
                <wp:lineTo x="0" y="21495"/>
                <wp:lineTo x="21531" y="21495"/>
                <wp:lineTo x="21531"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3522345"/>
                    </a:xfrm>
                    <a:prstGeom prst="rect">
                      <a:avLst/>
                    </a:prstGeom>
                  </pic:spPr>
                </pic:pic>
              </a:graphicData>
            </a:graphic>
            <wp14:sizeRelH relativeFrom="page">
              <wp14:pctWidth>0</wp14:pctWidth>
            </wp14:sizeRelH>
            <wp14:sizeRelV relativeFrom="page">
              <wp14:pctHeight>0</wp14:pctHeight>
            </wp14:sizeRelV>
          </wp:anchor>
        </w:drawing>
      </w:r>
    </w:p>
    <w:p w14:paraId="06F4B7A8" w14:textId="7536683E" w:rsidR="00DC5F3B" w:rsidRDefault="00DC5F3B" w:rsidP="00914AD4">
      <w:pPr>
        <w:spacing w:after="0"/>
        <w:rPr>
          <w:rFonts w:ascii="Arial" w:hAnsi="Arial" w:cs="Arial"/>
        </w:rPr>
      </w:pPr>
    </w:p>
    <w:p w14:paraId="434A05EA" w14:textId="77777777" w:rsidR="00DC5F3B" w:rsidRDefault="00DC5F3B" w:rsidP="00914AD4">
      <w:pPr>
        <w:spacing w:after="0"/>
        <w:rPr>
          <w:rFonts w:ascii="Arial" w:hAnsi="Arial" w:cs="Arial"/>
        </w:rPr>
      </w:pPr>
    </w:p>
    <w:p w14:paraId="324BF8D1" w14:textId="0EE75209" w:rsidR="00206C3B" w:rsidRPr="00914AD4" w:rsidRDefault="00206C3B" w:rsidP="00914AD4">
      <w:pPr>
        <w:spacing w:after="0"/>
        <w:rPr>
          <w:rFonts w:ascii="Arial" w:hAnsi="Arial" w:cs="Arial"/>
        </w:rPr>
      </w:pPr>
    </w:p>
    <w:sectPr w:rsidR="00206C3B" w:rsidRPr="00914A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r9ztrdvyfzw5beszd752pfeeetzr22zzzra&quot;&gt;PTB&lt;record-ids&gt;&lt;item&gt;38&lt;/item&gt;&lt;item&gt;39&lt;/item&gt;&lt;item&gt;40&lt;/item&gt;&lt;item&gt;41&lt;/item&gt;&lt;/record-ids&gt;&lt;/item&gt;&lt;/Libraries&gt;"/>
  </w:docVars>
  <w:rsids>
    <w:rsidRoot w:val="00914AD4"/>
    <w:rsid w:val="00005FCE"/>
    <w:rsid w:val="00012966"/>
    <w:rsid w:val="000403B5"/>
    <w:rsid w:val="00043BE0"/>
    <w:rsid w:val="00046D10"/>
    <w:rsid w:val="000637B0"/>
    <w:rsid w:val="000C7F36"/>
    <w:rsid w:val="000E2EBE"/>
    <w:rsid w:val="001025A1"/>
    <w:rsid w:val="00106284"/>
    <w:rsid w:val="001158D5"/>
    <w:rsid w:val="00161E4B"/>
    <w:rsid w:val="001709F9"/>
    <w:rsid w:val="0018380F"/>
    <w:rsid w:val="001D2FF1"/>
    <w:rsid w:val="001E3E92"/>
    <w:rsid w:val="001F4A79"/>
    <w:rsid w:val="00206C3B"/>
    <w:rsid w:val="00226523"/>
    <w:rsid w:val="002522AA"/>
    <w:rsid w:val="0029157A"/>
    <w:rsid w:val="002A5F8E"/>
    <w:rsid w:val="002A6812"/>
    <w:rsid w:val="002F5618"/>
    <w:rsid w:val="00330313"/>
    <w:rsid w:val="003F5E5E"/>
    <w:rsid w:val="00420810"/>
    <w:rsid w:val="0043357B"/>
    <w:rsid w:val="00454513"/>
    <w:rsid w:val="004670BB"/>
    <w:rsid w:val="004933AC"/>
    <w:rsid w:val="004A628A"/>
    <w:rsid w:val="004B4B79"/>
    <w:rsid w:val="004D61AB"/>
    <w:rsid w:val="004E6C93"/>
    <w:rsid w:val="00576954"/>
    <w:rsid w:val="0058263A"/>
    <w:rsid w:val="005B4A4E"/>
    <w:rsid w:val="005C732F"/>
    <w:rsid w:val="005E71A3"/>
    <w:rsid w:val="0060463C"/>
    <w:rsid w:val="00616257"/>
    <w:rsid w:val="00685607"/>
    <w:rsid w:val="0069202E"/>
    <w:rsid w:val="006E32AE"/>
    <w:rsid w:val="006F6426"/>
    <w:rsid w:val="007C5896"/>
    <w:rsid w:val="007D4EB1"/>
    <w:rsid w:val="00824C1E"/>
    <w:rsid w:val="008C22D3"/>
    <w:rsid w:val="00914AD4"/>
    <w:rsid w:val="00927DDD"/>
    <w:rsid w:val="009564AF"/>
    <w:rsid w:val="009A0778"/>
    <w:rsid w:val="009C6BA8"/>
    <w:rsid w:val="009F1246"/>
    <w:rsid w:val="00A024EE"/>
    <w:rsid w:val="00A2731E"/>
    <w:rsid w:val="00AB0852"/>
    <w:rsid w:val="00AC2075"/>
    <w:rsid w:val="00AE138E"/>
    <w:rsid w:val="00AE62F7"/>
    <w:rsid w:val="00B01AEC"/>
    <w:rsid w:val="00B03032"/>
    <w:rsid w:val="00B327A6"/>
    <w:rsid w:val="00BD3B7F"/>
    <w:rsid w:val="00C22DA5"/>
    <w:rsid w:val="00C54677"/>
    <w:rsid w:val="00C72FE7"/>
    <w:rsid w:val="00C828BC"/>
    <w:rsid w:val="00C86874"/>
    <w:rsid w:val="00C94F9D"/>
    <w:rsid w:val="00CD2380"/>
    <w:rsid w:val="00CF785E"/>
    <w:rsid w:val="00D55FB1"/>
    <w:rsid w:val="00D6269A"/>
    <w:rsid w:val="00D85F2E"/>
    <w:rsid w:val="00DC07CC"/>
    <w:rsid w:val="00DC5F3B"/>
    <w:rsid w:val="00E37030"/>
    <w:rsid w:val="00E66DD1"/>
    <w:rsid w:val="00E97473"/>
    <w:rsid w:val="00ED45CC"/>
    <w:rsid w:val="00ED7F3D"/>
    <w:rsid w:val="00EF0030"/>
    <w:rsid w:val="00EF481C"/>
    <w:rsid w:val="00F92FFE"/>
    <w:rsid w:val="00FA122F"/>
    <w:rsid w:val="00FD1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530EC"/>
  <w15:chartTrackingRefBased/>
  <w15:docId w15:val="{16FB0166-8A3D-43AD-894B-711DCAA6E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4A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4AD4"/>
    <w:rPr>
      <w:rFonts w:ascii="Segoe UI" w:hAnsi="Segoe UI" w:cs="Segoe UI"/>
      <w:sz w:val="18"/>
      <w:szCs w:val="18"/>
    </w:rPr>
  </w:style>
  <w:style w:type="character" w:styleId="CommentReference">
    <w:name w:val="annotation reference"/>
    <w:basedOn w:val="DefaultParagraphFont"/>
    <w:uiPriority w:val="99"/>
    <w:semiHidden/>
    <w:unhideWhenUsed/>
    <w:rsid w:val="001D2FF1"/>
    <w:rPr>
      <w:sz w:val="16"/>
      <w:szCs w:val="16"/>
    </w:rPr>
  </w:style>
  <w:style w:type="paragraph" w:styleId="CommentText">
    <w:name w:val="annotation text"/>
    <w:basedOn w:val="Normal"/>
    <w:link w:val="CommentTextChar"/>
    <w:uiPriority w:val="99"/>
    <w:semiHidden/>
    <w:unhideWhenUsed/>
    <w:rsid w:val="001D2FF1"/>
    <w:pPr>
      <w:spacing w:line="240" w:lineRule="auto"/>
    </w:pPr>
    <w:rPr>
      <w:sz w:val="20"/>
      <w:szCs w:val="20"/>
    </w:rPr>
  </w:style>
  <w:style w:type="character" w:customStyle="1" w:styleId="CommentTextChar">
    <w:name w:val="Comment Text Char"/>
    <w:basedOn w:val="DefaultParagraphFont"/>
    <w:link w:val="CommentText"/>
    <w:uiPriority w:val="99"/>
    <w:semiHidden/>
    <w:rsid w:val="001D2FF1"/>
    <w:rPr>
      <w:sz w:val="20"/>
      <w:szCs w:val="20"/>
    </w:rPr>
  </w:style>
  <w:style w:type="paragraph" w:styleId="CommentSubject">
    <w:name w:val="annotation subject"/>
    <w:basedOn w:val="CommentText"/>
    <w:next w:val="CommentText"/>
    <w:link w:val="CommentSubjectChar"/>
    <w:uiPriority w:val="99"/>
    <w:semiHidden/>
    <w:unhideWhenUsed/>
    <w:rsid w:val="001D2FF1"/>
    <w:rPr>
      <w:b/>
      <w:bCs/>
    </w:rPr>
  </w:style>
  <w:style w:type="character" w:customStyle="1" w:styleId="CommentSubjectChar">
    <w:name w:val="Comment Subject Char"/>
    <w:basedOn w:val="CommentTextChar"/>
    <w:link w:val="CommentSubject"/>
    <w:uiPriority w:val="99"/>
    <w:semiHidden/>
    <w:rsid w:val="001D2FF1"/>
    <w:rPr>
      <w:b/>
      <w:bCs/>
      <w:sz w:val="20"/>
      <w:szCs w:val="20"/>
    </w:rPr>
  </w:style>
  <w:style w:type="paragraph" w:customStyle="1" w:styleId="EndNoteBibliographyTitle">
    <w:name w:val="EndNote Bibliography Title"/>
    <w:basedOn w:val="Normal"/>
    <w:link w:val="EndNoteBibliographyTitleChar"/>
    <w:rsid w:val="006F642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F6426"/>
    <w:rPr>
      <w:rFonts w:ascii="Calibri" w:hAnsi="Calibri" w:cs="Calibri"/>
      <w:noProof/>
    </w:rPr>
  </w:style>
  <w:style w:type="paragraph" w:customStyle="1" w:styleId="EndNoteBibliography">
    <w:name w:val="EndNote Bibliography"/>
    <w:basedOn w:val="Normal"/>
    <w:link w:val="EndNoteBibliographyChar"/>
    <w:rsid w:val="006F642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F6426"/>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 Li</dc:creator>
  <cp:keywords/>
  <dc:description/>
  <cp:lastModifiedBy>Vanitha A.</cp:lastModifiedBy>
  <cp:revision>10</cp:revision>
  <dcterms:created xsi:type="dcterms:W3CDTF">2022-12-11T23:48:00Z</dcterms:created>
  <dcterms:modified xsi:type="dcterms:W3CDTF">2023-10-12T06:55:00Z</dcterms:modified>
</cp:coreProperties>
</file>