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02"/>
        </w:tabs>
        <w:ind w:left="602" w:hanging="482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Supplementary Information</w:t>
      </w:r>
    </w:p>
    <w:p w:rsidR="00000000" w:rsidDel="00000000" w:rsidP="00000000" w:rsidRDefault="00000000" w:rsidRPr="00000000" w14:paraId="00000002">
      <w:pPr>
        <w:tabs>
          <w:tab w:val="left" w:leader="none" w:pos="602"/>
        </w:tabs>
        <w:ind w:left="602" w:hanging="482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03">
      <w:pPr>
        <w:tabs>
          <w:tab w:val="left" w:leader="none" w:pos="602"/>
        </w:tabs>
        <w:jc w:val="center"/>
        <w:rPr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EMBL-MCF 2.0: LC-MS/MS library for high-confidence targeted and untargeted metabolomics using low-adsorption HILIC </w:t>
        <w:br w:type="textWrapping"/>
        <w:t xml:space="preserve">chromatography</w:t>
      </w:r>
    </w:p>
    <w:p w:rsidR="00000000" w:rsidDel="00000000" w:rsidP="00000000" w:rsidRDefault="00000000" w:rsidRPr="00000000" w14:paraId="00000004">
      <w:pPr>
        <w:tabs>
          <w:tab w:val="left" w:leader="none" w:pos="602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0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91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602"/>
        </w:tabs>
        <w:spacing w:line="368" w:lineRule="auto"/>
        <w:ind w:left="602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Svitlana Dekina, Theodore Alexandrov, Bernhard Drotleff</w:t>
      </w:r>
    </w:p>
    <w:p w:rsidR="00000000" w:rsidDel="00000000" w:rsidP="00000000" w:rsidRDefault="00000000" w:rsidRPr="00000000" w14:paraId="0000000A">
      <w:pPr>
        <w:spacing w:lin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8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602"/>
        </w:tabs>
        <w:ind w:left="602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Metabolomics Core Facility, European Molecular Biological Laboratory, Heidelberg 69117, Germany</w:t>
      </w:r>
    </w:p>
    <w:p w:rsidR="00000000" w:rsidDel="00000000" w:rsidP="00000000" w:rsidRDefault="00000000" w:rsidRPr="00000000" w14:paraId="0000000D">
      <w:pPr>
        <w:tabs>
          <w:tab w:val="left" w:leader="none" w:pos="602"/>
        </w:tabs>
        <w:ind w:left="602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Structural and Computational Biology Unit, European Molecular Biology Laboratory (EMBL), Heidelberg, Germany</w:t>
      </w:r>
    </w:p>
    <w:p w:rsidR="00000000" w:rsidDel="00000000" w:rsidP="00000000" w:rsidRDefault="00000000" w:rsidRPr="00000000" w14:paraId="0000000E">
      <w:pPr>
        <w:tabs>
          <w:tab w:val="left" w:leader="none" w:pos="602"/>
        </w:tabs>
        <w:ind w:left="602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Molecular Medicine Partnership Unit, EMBL and Heidelberg University, Heidelberg, Germany</w:t>
      </w:r>
    </w:p>
    <w:p w:rsidR="00000000" w:rsidDel="00000000" w:rsidP="00000000" w:rsidRDefault="00000000" w:rsidRPr="00000000" w14:paraId="0000000F">
      <w:pPr>
        <w:tabs>
          <w:tab w:val="left" w:leader="none" w:pos="602"/>
        </w:tabs>
        <w:ind w:left="602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Bio Studio, BioInnovation Institute, Copenhagen, Denmark</w:t>
      </w:r>
    </w:p>
    <w:p w:rsidR="00000000" w:rsidDel="00000000" w:rsidP="00000000" w:rsidRDefault="00000000" w:rsidRPr="00000000" w14:paraId="00000010">
      <w:pPr>
        <w:spacing w:lin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602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</w:t>
      </w:r>
    </w:p>
    <w:p w:rsidR="00000000" w:rsidDel="00000000" w:rsidP="00000000" w:rsidRDefault="00000000" w:rsidRPr="00000000" w14:paraId="00000014">
      <w:pPr>
        <w:tabs>
          <w:tab w:val="left" w:leader="none" w:pos="602"/>
        </w:tabs>
        <w:ind w:left="602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602"/>
        </w:tabs>
        <w:ind w:left="602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Contents</w:t>
      </w:r>
    </w:p>
    <w:p w:rsidR="00000000" w:rsidDel="00000000" w:rsidP="00000000" w:rsidRDefault="00000000" w:rsidRPr="00000000" w14:paraId="00000017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inline distB="0" distT="0" distL="0" distR="0">
            <wp:extent cx="3688935" cy="5629038"/>
            <wp:effectExtent b="0" l="0" r="0" t="0"/>
            <wp:docPr id="1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88935" cy="5629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rtl w:val="0"/>
        </w:rPr>
        <w:t xml:space="preserve">Figure S1.</w:t>
      </w:r>
      <w:r w:rsidDel="00000000" w:rsidR="00000000" w:rsidRPr="00000000">
        <w:rPr>
          <w:rtl w:val="0"/>
        </w:rPr>
        <w:t xml:space="preserve"> BEH Z-HILIC chromatograms of 25 amino acids. 1-MH: 1-Methylhistidine, 3-MH: 3-Methylhistidine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rtl w:val="0"/>
        </w:rPr>
        <w:t xml:space="preserve">Table S5. </w:t>
      </w:r>
      <w:r w:rsidDel="00000000" w:rsidR="00000000" w:rsidRPr="00000000">
        <w:rPr>
          <w:rtl w:val="0"/>
        </w:rPr>
        <w:t xml:space="preserve">Repeatability of retention times for an Amino Acid Standard mix (Sigma) used as system suitability check (n = 7), max RT variation of  4 s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61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1350"/>
        <w:tblGridChange w:id="0">
          <w:tblGrid>
            <w:gridCol w:w="2268"/>
            <w:gridCol w:w="1350"/>
          </w:tblGrid>
        </w:tblGridChange>
      </w:tblGrid>
      <w:tr>
        <w:trPr>
          <w:cantSplit w:val="0"/>
          <w:trHeight w:val="109" w:hRule="atLeast"/>
          <w:tblHeader w:val="0"/>
        </w:trPr>
        <w:tc>
          <w:tcPr>
            <w:tcBorders>
              <w:bottom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F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Analyte</w:t>
            </w:r>
          </w:p>
        </w:tc>
        <w:tc>
          <w:tcPr>
            <w:tcBorders>
              <w:bottom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CV [%]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Cystine</w:t>
            </w:r>
          </w:p>
        </w:tc>
        <w:tc>
          <w:tcPr>
            <w:tcBorders>
              <w:top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0.23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3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Lys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0.24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Arg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0.27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His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0.34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Asp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0.28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B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Glu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C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0.21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Ser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E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0.27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F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Asn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0.30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Gln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0.24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3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Gly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0.22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Thr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6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0.32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Ala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0.28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Tyr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0.34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B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C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0.37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Val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E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0.46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F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0.42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Trp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0.46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3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Leu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0.61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Ile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6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0.75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7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Phe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0.71</w:t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The CV values are based on results acquired for seven individual preparations of mobile phase. Inter-batch variation between columns was not investigated.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lineRule="auto"/>
        <w:rPr>
          <w:sz w:val="28"/>
          <w:szCs w:val="28"/>
        </w:rPr>
      </w:pPr>
      <w:r w:rsidDel="00000000" w:rsidR="00000000" w:rsidRPr="00000000">
        <w:rPr>
          <w:b w:val="1"/>
          <w:rtl w:val="0"/>
        </w:rPr>
        <w:t xml:space="preserve">Table S6.</w:t>
      </w:r>
      <w:r w:rsidDel="00000000" w:rsidR="00000000" w:rsidRPr="00000000">
        <w:rPr>
          <w:rtl w:val="0"/>
        </w:rPr>
        <w:t xml:space="preserve"> Isomeric compounds covered in the library</w:t>
      </w:r>
      <w:r w:rsidDel="00000000" w:rsidR="00000000" w:rsidRPr="00000000">
        <w:rPr>
          <w:rtl w:val="0"/>
        </w:rPr>
      </w:r>
    </w:p>
    <w:tbl>
      <w:tblPr>
        <w:tblStyle w:val="Table2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30"/>
        <w:gridCol w:w="2295"/>
        <w:gridCol w:w="1380"/>
        <w:gridCol w:w="1275"/>
        <w:tblGridChange w:id="0">
          <w:tblGrid>
            <w:gridCol w:w="3930"/>
            <w:gridCol w:w="2295"/>
            <w:gridCol w:w="1380"/>
            <w:gridCol w:w="127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befor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Compound Name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befor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Chemical Formula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befor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Polarity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befor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RT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2-Deoxyguanosine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C10H13N5O4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4.67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Adenosine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2.35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Adenosine monophosphate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C10H14N5O7P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11.20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Deoxyguanosine monophosphate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12.42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Adenosine triphosphate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C10H16N5O13P3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14.23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Deoxyguanosine triphosphate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15.73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Dihydroxyacetone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C3H6O3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2.49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Glyceraldehyde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6.31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Hydroxypropionic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7.51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Lactic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5.86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Alanine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C3H7NO2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8.82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Beta-Alanine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9.66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Sarcosine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8.22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Dihydroxyacetone_phosphate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C3H7O6P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12.07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Glyceraldehyde 3-phosphate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12.68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Fumaric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C4H4O4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12.95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Maleic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2.62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2-Ketobutyric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C4H6O3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2.83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Acetoacetic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5.01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Methylmalonic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C4H6O4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7.88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Succinic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11.80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Butyric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C4H8O2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2.80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Isobutyric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2.48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Homoserine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C4H9NO3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9.33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Threonine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8.95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5-Aminovaleric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C5H11NO2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10.28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Valine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6.71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Citraconic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C5H6O4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2.69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Itaconic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10.76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Aminolevulinic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C5H9NO3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10.37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Hydroxyproline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8.70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N-Acetylalanine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6.05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Isoleucine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C6H13NO2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D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5.49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Leucine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5.04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Fructose-1,6-diphosphate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C6H14O12P2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16.53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Glucose 1,6-diphosphate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16.21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cis-Aconitic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C6H6O6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12.89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trans-Aconitic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14.95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N-Acetylgalactosamine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C8H15NO6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5.28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N-acetylmannosamine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5.70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p-Coumaric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C9H8O3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4.42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Phenylpyruvic acid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1.70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Cotinine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C10H12N2O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1.05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Serotonin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5.29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Adenosine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C10H13N5O4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2.44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Deoxyguanosine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4.70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Adenosine monophosphate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C10H14N5O7P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10.60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Deoxyguanosine monophosphate dGMP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12.51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2-Aminobutanoic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C4H9NO2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7.74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N,N-Dimethylglycine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6.60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Homoserine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C4H9NO3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9.39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Threonine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9.01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5-Aminovaleric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C5H11NO2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6.14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Betaine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5.78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Valine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6.62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Aminolevulinic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C5H9NO3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7.66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Hydroxyproline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8.72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N-Acetylalanine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2.34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Glutamic acid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C5H9NO4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10.50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O-Acetylserine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6.79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Isoleucine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C6H13NO2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5.37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Leucine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4.91</w:t>
            </w:r>
          </w:p>
        </w:tc>
      </w:tr>
    </w:tbl>
    <w:p w:rsidR="00000000" w:rsidDel="00000000" w:rsidP="00000000" w:rsidRDefault="00000000" w:rsidRPr="00000000" w14:paraId="0000014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jc w:val="center"/>
        <w:rPr>
          <w:b w:val="1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2630696" cy="4457601"/>
            <wp:effectExtent b="0" l="0" r="0" t="0"/>
            <wp:docPr id="1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30696" cy="44576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360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Figure S2.</w:t>
      </w:r>
      <w:r w:rsidDel="00000000" w:rsidR="00000000" w:rsidRPr="00000000">
        <w:rPr>
          <w:rtl w:val="0"/>
        </w:rPr>
        <w:t xml:space="preserve"> BEH Z-HILIC chromatograms of NAD, NADH, NADP and NADPH in ESI-.</w:t>
      </w:r>
    </w:p>
    <w:p w:rsidR="00000000" w:rsidDel="00000000" w:rsidP="00000000" w:rsidRDefault="00000000" w:rsidRPr="00000000" w14:paraId="0000015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b w:val="1"/>
          <w:rtl w:val="0"/>
        </w:rPr>
        <w:t xml:space="preserve">Table S7.</w:t>
      </w:r>
      <w:r w:rsidDel="00000000" w:rsidR="00000000" w:rsidRPr="00000000">
        <w:rPr>
          <w:rtl w:val="0"/>
        </w:rPr>
        <w:t xml:space="preserve"> Favorable mode for plasma metabolites detected in both modes for high resolution data (based on precursor ions)</w:t>
      </w:r>
    </w:p>
    <w:tbl>
      <w:tblPr>
        <w:tblStyle w:val="Table3"/>
        <w:tblW w:w="892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2"/>
        <w:gridCol w:w="1276"/>
        <w:gridCol w:w="1559"/>
        <w:gridCol w:w="1134"/>
        <w:gridCol w:w="1134"/>
        <w:gridCol w:w="1276"/>
        <w:tblGridChange w:id="0">
          <w:tblGrid>
            <w:gridCol w:w="2542"/>
            <w:gridCol w:w="1276"/>
            <w:gridCol w:w="1559"/>
            <w:gridCol w:w="1134"/>
            <w:gridCol w:w="1134"/>
            <w:gridCol w:w="1276"/>
          </w:tblGrid>
        </w:tblGridChange>
      </w:tblGrid>
      <w:tr>
        <w:trPr>
          <w:cantSplit w:val="0"/>
          <w:trHeight w:val="370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53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Metabolite name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Ratio Pos/Neg Area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Ratio Pos/Neg Height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6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Precision CV [%]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Favorable mode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pos</w:t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neg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2-Deoxycytidine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0.79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4.57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4.55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Adenosine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10.33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9.28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1.82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9.92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Adenosine monophosphate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0.89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9.72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Alanine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3.76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2.61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5.50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5.07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Anserine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3.97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4.53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5.06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Arginine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5.61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12.55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3.71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Asparagine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0.87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1.49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4.64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Aspartic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0.71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2.67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Bilirubin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10.57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15.10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Carnitine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497.21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511.79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12.18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2.85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Citrulline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1.49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1.95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2.75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6.24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Cytidine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0.45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3.51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Deoxyinosine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4.66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6.00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2.68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1.46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Glutamic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6.61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7.47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Glutamine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1.30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2.53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1.23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Glutathione (GSH)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0.58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0.70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1.24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2.57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Glutathione (GSSG)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1.59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1.59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17.01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14.59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Glycerol 3-Phosphate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11.13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10.55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Glycine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10.22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4.44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Guanosine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4.63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Histidine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0.14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7.73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Hydroxyproline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312.72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349.07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4.65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12.75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Hypoxanthine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1.35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9.06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18.50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Inosine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4.30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Inosinic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0.71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0.56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4.81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2.73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Isoleucine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3.55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11.52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12.41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Kynurenic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0.55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0.49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3.92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Leucine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3.36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3.28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5.79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4.18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Lysine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4.61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7.78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2.71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2.33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Methionine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2.49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4.99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N-Acetylglutamine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0.33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3.29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3.34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N-Acetylphenylalanine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7.19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Ornithine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250.35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235.15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6.63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1.23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Pantothenic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0.91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2.38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1.79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21.52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Phenylalanine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2.84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3.85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Phosphocreatine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2.95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6.29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Phosphoethanolamine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0.82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0.48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14.25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Pipecolic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12.87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12.16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12.21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7.05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Proline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22.19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29.38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4.52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4.16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Pyroglutamic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2.81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4.62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S-Sulfocysteine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0.41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0.60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4.84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5.70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Serine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0.25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2.96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Taurine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0.97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0.94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3.55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4.59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Taurocholic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1.83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2.69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Threonine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0.83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1.49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4.79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Thymidine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4.40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Tryptophan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1.63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10.38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3.07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Uric Acid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1.26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2.58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Valine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2.25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6.09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2.92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Xanthine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0.01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2.63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neg</w:t>
            </w:r>
          </w:p>
        </w:tc>
      </w:tr>
    </w:tbl>
    <w:p w:rsidR="00000000" w:rsidDel="00000000" w:rsidP="00000000" w:rsidRDefault="00000000" w:rsidRPr="00000000" w14:paraId="0000028B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Parameters for MS-DIAL ver. 4.9.221218</w:t>
      </w:r>
    </w:p>
    <w:p w:rsidR="00000000" w:rsidDel="00000000" w:rsidP="00000000" w:rsidRDefault="00000000" w:rsidRPr="00000000" w14:paraId="00000291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#Project</w:t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  <w:t xml:space="preserve">MS1 Data type</w:t>
        <w:tab/>
        <w:tab/>
        <w:tab/>
        <w:t xml:space="preserve">Profile</w:t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  <w:t xml:space="preserve">MS2 Data type</w:t>
        <w:tab/>
        <w:tab/>
        <w:tab/>
        <w:t xml:space="preserve">Profile</w:t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  <w:t xml:space="preserve">Ion mode</w:t>
        <w:tab/>
        <w:tab/>
        <w:tab/>
        <w:tab/>
        <w:t xml:space="preserve">Negative</w:t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  <w:t xml:space="preserve">Target</w:t>
        <w:tab/>
        <w:tab/>
        <w:tab/>
        <w:tab/>
        <w:tab/>
        <w:t xml:space="preserve">Metabolomics</w:t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  <w:t xml:space="preserve">Mode</w:t>
        <w:tab/>
        <w:tab/>
        <w:tab/>
        <w:tab/>
        <w:tab/>
        <w:t xml:space="preserve">ddMSMS</w:t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#Data collection parameters  </w:t>
        <w:tab/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  <w:t xml:space="preserve">Retention time begin</w:t>
        <w:tab/>
        <w:tab/>
        <w:tab/>
        <w:t xml:space="preserve">0.5 min</w:t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Retention time end    </w:t>
        <w:tab/>
        <w:tab/>
        <w:tab/>
        <w:t xml:space="preserve">18 min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  <w:t xml:space="preserve">Mass range begin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        </w:t>
        <w:tab/>
        <w:tab/>
        <w:t xml:space="preserve">60</w:t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Mass range end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 </w:t>
        <w:tab/>
        <w:tab/>
        <w:tab/>
        <w:t xml:space="preserve">900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  <w:t xml:space="preserve">MS2 mass range begin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</w:t>
        <w:tab/>
        <w:tab/>
        <w:t xml:space="preserve">40</w:t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  <w:t xml:space="preserve">MS2 mass range end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</w:t>
        <w:tab/>
        <w:tab/>
        <w:t xml:space="preserve">950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  <w:t xml:space="preserve">   </w:t>
        <w:tab/>
      </w:r>
    </w:p>
    <w:p w:rsidR="00000000" w:rsidDel="00000000" w:rsidP="00000000" w:rsidRDefault="00000000" w:rsidRPr="00000000" w14:paraId="000002A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#Centroid parameters  </w:t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  <w:t xml:space="preserve">MS1 tolerance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 </w:t>
        <w:tab/>
        <w:tab/>
        <w:tab/>
        <w:t xml:space="preserve">0.01</w:t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  <w:t xml:space="preserve">MS2 tolerance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 </w:t>
        <w:tab/>
        <w:tab/>
        <w:tab/>
        <w:t xml:space="preserve">0.02  </w:t>
        <w:tab/>
      </w:r>
    </w:p>
    <w:p w:rsidR="00000000" w:rsidDel="00000000" w:rsidP="00000000" w:rsidRDefault="00000000" w:rsidRPr="00000000" w14:paraId="000002A4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#Isotope recognition  </w:t>
        <w:tab/>
      </w:r>
    </w:p>
    <w:p w:rsidR="00000000" w:rsidDel="00000000" w:rsidP="00000000" w:rsidRDefault="00000000" w:rsidRPr="00000000" w14:paraId="000002A6">
      <w:pPr>
        <w:rPr/>
      </w:pPr>
      <w:r w:rsidDel="00000000" w:rsidR="00000000" w:rsidRPr="00000000">
        <w:rPr>
          <w:rtl w:val="0"/>
        </w:rPr>
        <w:t xml:space="preserve">Maximum charged number    </w:t>
        <w:tab/>
        <w:tab/>
        <w:t xml:space="preserve">±2          </w:t>
        <w:tab/>
      </w:r>
    </w:p>
    <w:p w:rsidR="00000000" w:rsidDel="00000000" w:rsidP="00000000" w:rsidRDefault="00000000" w:rsidRPr="00000000" w14:paraId="000002A7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#Peak detection parameters  </w:t>
        <w:tab/>
      </w:r>
    </w:p>
    <w:p w:rsidR="00000000" w:rsidDel="00000000" w:rsidP="00000000" w:rsidRDefault="00000000" w:rsidRPr="00000000" w14:paraId="000002A9">
      <w:pPr>
        <w:rPr/>
      </w:pPr>
      <w:r w:rsidDel="00000000" w:rsidR="00000000" w:rsidRPr="00000000">
        <w:rPr>
          <w:rtl w:val="0"/>
        </w:rPr>
        <w:t xml:space="preserve">Smoothing method    </w:t>
        <w:tab/>
        <w:tab/>
        <w:tab/>
        <w:t xml:space="preserve">LinearWeightedMovingAverage</w:t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  <w:t xml:space="preserve">Smoothing level          </w:t>
        <w:tab/>
        <w:tab/>
        <w:t xml:space="preserve">3</w:t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rPr>
          <w:rtl w:val="0"/>
        </w:rPr>
        <w:t xml:space="preserve">Minimum peak width </w:t>
        <w:tab/>
        <w:tab/>
        <w:tab/>
        <w:t xml:space="preserve">10</w:t>
      </w:r>
    </w:p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  <w:t xml:space="preserve">Minimum peak height</w:t>
        <w:tab/>
        <w:tab/>
        <w:tab/>
        <w:t xml:space="preserve">30000</w:t>
      </w:r>
    </w:p>
    <w:p w:rsidR="00000000" w:rsidDel="00000000" w:rsidP="00000000" w:rsidRDefault="00000000" w:rsidRPr="00000000" w14:paraId="000002AD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#Peak spotting parameters     </w:t>
        <w:tab/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  <w:t xml:space="preserve">Mass slice width          </w:t>
        <w:tab/>
        <w:tab/>
        <w:t xml:space="preserve">0.05</w:t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  <w:t xml:space="preserve">          </w:t>
        <w:tab/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  <w:t xml:space="preserve">#Deconvolution parameters   </w:t>
        <w:tab/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  <w:t xml:space="preserve">Sigma window value</w:t>
        <w:tab/>
        <w:tab/>
        <w:tab/>
        <w:t xml:space="preserve">0.5</w:t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  <w:t xml:space="preserve">MS2Dec amplitude cut off </w:t>
        <w:tab/>
        <w:tab/>
        <w:t xml:space="preserve">0</w:t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  <w:t xml:space="preserve">Exclude after precursor</w:t>
        <w:tab/>
        <w:tab/>
        <w:t xml:space="preserve">TRUE</w:t>
      </w:r>
    </w:p>
    <w:p w:rsidR="00000000" w:rsidDel="00000000" w:rsidP="00000000" w:rsidRDefault="00000000" w:rsidRPr="00000000" w14:paraId="000002B5">
      <w:pPr>
        <w:rPr/>
      </w:pPr>
      <w:r w:rsidDel="00000000" w:rsidR="00000000" w:rsidRPr="00000000">
        <w:rPr>
          <w:rtl w:val="0"/>
        </w:rPr>
        <w:t xml:space="preserve">Keep isotope until       </w:t>
        <w:tab/>
        <w:tab/>
        <w:t xml:space="preserve">0.5</w:t>
      </w:r>
    </w:p>
    <w:p w:rsidR="00000000" w:rsidDel="00000000" w:rsidP="00000000" w:rsidRDefault="00000000" w:rsidRPr="00000000" w14:paraId="000002B6">
      <w:pPr>
        <w:rPr/>
      </w:pPr>
      <w:r w:rsidDel="00000000" w:rsidR="00000000" w:rsidRPr="00000000">
        <w:rPr>
          <w:rtl w:val="0"/>
        </w:rPr>
        <w:t xml:space="preserve">Keep original precursor isotopes</w:t>
        <w:tab/>
        <w:t xml:space="preserve">FALSE</w:t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rtl w:val="0"/>
        </w:rPr>
        <w:t xml:space="preserve">          </w:t>
        <w:tab/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rPr>
          <w:i w:val="1"/>
          <w:rtl w:val="0"/>
        </w:rPr>
        <w:t xml:space="preserve">#MSP file and MS/MS identification setting    </w:t>
      </w:r>
      <w:r w:rsidDel="00000000" w:rsidR="00000000" w:rsidRPr="00000000">
        <w:rPr>
          <w:rtl w:val="0"/>
        </w:rPr>
        <w:t xml:space="preserve">  </w:t>
        <w:tab/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rtl w:val="0"/>
        </w:rPr>
        <w:t xml:space="preserve">Retention time tolerance       </w:t>
        <w:tab/>
        <w:tab/>
        <w:t xml:space="preserve">1 min</w:t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rPr>
          <w:rtl w:val="0"/>
        </w:rPr>
        <w:t xml:space="preserve">Mass tolerance (MS1)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</w:t>
        <w:tab/>
        <w:tab/>
        <w:t xml:space="preserve">0.005</w:t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rPr>
          <w:rtl w:val="0"/>
        </w:rPr>
        <w:t xml:space="preserve">Mass tolerance (MS2) 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 </w:t>
        <w:tab/>
        <w:tab/>
        <w:t xml:space="preserve">0.02</w:t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rPr>
          <w:rtl w:val="0"/>
        </w:rPr>
        <w:t xml:space="preserve">Identification score cut off      </w:t>
        <w:tab/>
        <w:t xml:space="preserve">80</w:t>
      </w:r>
    </w:p>
    <w:p w:rsidR="00000000" w:rsidDel="00000000" w:rsidP="00000000" w:rsidRDefault="00000000" w:rsidRPr="00000000" w14:paraId="000002BD">
      <w:pPr>
        <w:rPr/>
      </w:pPr>
      <w:r w:rsidDel="00000000" w:rsidR="00000000" w:rsidRPr="00000000">
        <w:rPr>
          <w:rtl w:val="0"/>
        </w:rPr>
        <w:t xml:space="preserve">Using retention time for scoring </w:t>
        <w:tab/>
        <w:t xml:space="preserve">TRUE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rPr>
          <w:rtl w:val="0"/>
        </w:rPr>
        <w:t xml:space="preserve">Using retention time for filtering     </w:t>
        <w:tab/>
        <w:t xml:space="preserve">TRUE          </w:t>
        <w:tab/>
      </w:r>
    </w:p>
    <w:p w:rsidR="00000000" w:rsidDel="00000000" w:rsidP="00000000" w:rsidRDefault="00000000" w:rsidRPr="00000000" w14:paraId="000002BF">
      <w:pPr>
        <w:rPr/>
      </w:pPr>
      <w:r w:rsidDel="00000000" w:rsidR="00000000" w:rsidRPr="00000000">
        <w:rPr>
          <w:rtl w:val="0"/>
        </w:rPr>
        <w:t xml:space="preserve">          </w:t>
        <w:tab/>
      </w:r>
    </w:p>
    <w:p w:rsidR="00000000" w:rsidDel="00000000" w:rsidP="00000000" w:rsidRDefault="00000000" w:rsidRPr="00000000" w14:paraId="000002C0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#Alignment parameters setting </w:t>
      </w:r>
    </w:p>
    <w:p w:rsidR="00000000" w:rsidDel="00000000" w:rsidP="00000000" w:rsidRDefault="00000000" w:rsidRPr="00000000" w14:paraId="000002C1">
      <w:pPr>
        <w:rPr/>
      </w:pPr>
      <w:r w:rsidDel="00000000" w:rsidR="00000000" w:rsidRPr="00000000">
        <w:rPr>
          <w:rtl w:val="0"/>
        </w:rPr>
        <w:t xml:space="preserve">Retention time tolerance        </w:t>
        <w:tab/>
        <w:tab/>
        <w:t xml:space="preserve">0.1 min</w:t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  <w:t xml:space="preserve">MS1 tolerance [</w:t>
      </w:r>
      <w:r w:rsidDel="00000000" w:rsidR="00000000" w:rsidRPr="00000000">
        <w:rPr>
          <w:i w:val="1"/>
          <w:rtl w:val="0"/>
        </w:rPr>
        <w:t xml:space="preserve">m/z</w:t>
      </w:r>
      <w:r w:rsidDel="00000000" w:rsidR="00000000" w:rsidRPr="00000000">
        <w:rPr>
          <w:rtl w:val="0"/>
        </w:rPr>
        <w:t xml:space="preserve">]</w:t>
        <w:tab/>
        <w:tab/>
        <w:tab/>
        <w:t xml:space="preserve">0.005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rPr>
          <w:rtl w:val="0"/>
        </w:rPr>
        <w:t xml:space="preserve">Retention time factor</w:t>
        <w:tab/>
        <w:tab/>
        <w:tab/>
        <w:t xml:space="preserve">0.5</w:t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rPr>
          <w:rtl w:val="0"/>
        </w:rPr>
        <w:t xml:space="preserve">MS1 factor</w:t>
        <w:tab/>
        <w:tab/>
        <w:tab/>
        <w:tab/>
        <w:t xml:space="preserve">0.5</w:t>
      </w:r>
    </w:p>
    <w:p w:rsidR="00000000" w:rsidDel="00000000" w:rsidP="00000000" w:rsidRDefault="00000000" w:rsidRPr="00000000" w14:paraId="000002C5">
      <w:pPr>
        <w:rPr/>
      </w:pPr>
      <w:r w:rsidDel="00000000" w:rsidR="00000000" w:rsidRPr="00000000">
        <w:rPr>
          <w:rtl w:val="0"/>
        </w:rPr>
        <w:t xml:space="preserve">Peak count filter</w:t>
        <w:tab/>
        <w:tab/>
        <w:tab/>
        <w:t xml:space="preserve">0</w:t>
      </w:r>
    </w:p>
    <w:p w:rsidR="00000000" w:rsidDel="00000000" w:rsidP="00000000" w:rsidRDefault="00000000" w:rsidRPr="00000000" w14:paraId="000002C6">
      <w:pPr>
        <w:rPr/>
      </w:pPr>
      <w:r w:rsidDel="00000000" w:rsidR="00000000" w:rsidRPr="00000000">
        <w:rPr>
          <w:rtl w:val="0"/>
        </w:rPr>
        <w:t xml:space="preserve">N% detected in at least one group</w:t>
        <w:tab/>
        <w:t xml:space="preserve">50</w:t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rPr>
          <w:rtl w:val="0"/>
        </w:rPr>
        <w:t xml:space="preserve">Remove feature based on peak height fold-change</w:t>
      </w:r>
    </w:p>
    <w:p w:rsidR="00000000" w:rsidDel="00000000" w:rsidP="00000000" w:rsidRDefault="00000000" w:rsidRPr="00000000" w14:paraId="000002C8">
      <w:pPr>
        <w:ind w:left="2160" w:firstLine="720"/>
        <w:rPr/>
      </w:pPr>
      <w:r w:rsidDel="00000000" w:rsidR="00000000" w:rsidRPr="00000000">
        <w:rPr>
          <w:rtl w:val="0"/>
        </w:rPr>
        <w:t xml:space="preserve">      </w:t>
        <w:tab/>
        <w:t xml:space="preserve">TRUE</w:t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rPr>
          <w:rtl w:val="0"/>
        </w:rPr>
        <w:t xml:space="preserve">Sample max / blank average   </w:t>
        <w:tab/>
        <w:t xml:space="preserve">5</w:t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rPr>
          <w:rtl w:val="0"/>
        </w:rPr>
        <w:t xml:space="preserve">Sample average / blank average </w:t>
        <w:tab/>
        <w:t xml:space="preserve">5</w:t>
      </w:r>
    </w:p>
    <w:p w:rsidR="00000000" w:rsidDel="00000000" w:rsidP="00000000" w:rsidRDefault="00000000" w:rsidRPr="00000000" w14:paraId="000002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rPr/>
      </w:pPr>
      <w:r w:rsidDel="00000000" w:rsidR="00000000" w:rsidRPr="00000000">
        <w:rPr>
          <w:rtl w:val="0"/>
        </w:rPr>
        <w:t xml:space="preserve">Ratio experimental samples : QCs</w:t>
        <w:tab/>
        <w:t xml:space="preserve">5:1</w:t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Dwell volume and extracolumn volume of the Thermo Vanquish Horizon UHPLC system connected to an Orbitrap Exploris 240</w:t>
      </w:r>
    </w:p>
    <w:p w:rsidR="00000000" w:rsidDel="00000000" w:rsidP="00000000" w:rsidRDefault="00000000" w:rsidRPr="00000000" w14:paraId="000002D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Gradient delay volume:</w:t>
      </w:r>
    </w:p>
    <w:p w:rsidR="00000000" w:rsidDel="00000000" w:rsidP="00000000" w:rsidRDefault="00000000" w:rsidRPr="00000000" w14:paraId="000002D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Binary Pump H - Dwell volume: 35 μL</w:t>
      </w:r>
    </w:p>
    <w:p w:rsidR="00000000" w:rsidDel="00000000" w:rsidP="00000000" w:rsidRDefault="00000000" w:rsidRPr="00000000" w14:paraId="000002D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Split Sampler HT - Dwell volume: 110 μL (including 25 μL loop)</w:t>
      </w:r>
    </w:p>
    <w:p w:rsidR="00000000" w:rsidDel="00000000" w:rsidP="00000000" w:rsidRDefault="00000000" w:rsidRPr="00000000" w14:paraId="000002D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Fluidic connections: Viper MP35N, 0.100 m x 150 mm - Dwell volume: 4.71 μL</w:t>
      </w:r>
    </w:p>
    <w:p w:rsidR="00000000" w:rsidDel="00000000" w:rsidP="00000000" w:rsidRDefault="00000000" w:rsidRPr="00000000" w14:paraId="000002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rPr/>
      </w:pPr>
      <w:r w:rsidDel="00000000" w:rsidR="00000000" w:rsidRPr="00000000">
        <w:rPr>
          <w:u w:val="single"/>
          <w:rtl w:val="0"/>
        </w:rPr>
        <w:t xml:space="preserve">Extracolumn volume: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Fluidic connections: Viper MP35N, 0.100 m x 250 mm - Dwell volume: 7.85 μL</w:t>
      </w:r>
    </w:p>
    <w:p w:rsidR="00000000" w:rsidDel="00000000" w:rsidP="00000000" w:rsidRDefault="00000000" w:rsidRPr="00000000" w14:paraId="000002D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HESI needle: 3.14 μL</w:t>
      </w:r>
    </w:p>
    <w:p w:rsidR="00000000" w:rsidDel="00000000" w:rsidP="00000000" w:rsidRDefault="00000000" w:rsidRPr="00000000" w14:paraId="000002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440" w:top="1440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80FD6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5677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67739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B15A08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</w:rPr>
  </w:style>
  <w:style w:type="character" w:styleId="LineNumber">
    <w:name w:val="line number"/>
    <w:basedOn w:val="DefaultParagraphFont"/>
    <w:uiPriority w:val="99"/>
    <w:semiHidden w:val="1"/>
    <w:unhideWhenUsed w:val="1"/>
    <w:rsid w:val="00AC2A5C"/>
  </w:style>
  <w:style w:type="table" w:styleId="TableGrid">
    <w:name w:val="Table Grid"/>
    <w:basedOn w:val="TableNormal"/>
    <w:uiPriority w:val="39"/>
    <w:rsid w:val="008A17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BC185A"/>
    <w:rPr>
      <w:color w:val="954f72"/>
      <w:u w:val="single"/>
    </w:rPr>
  </w:style>
  <w:style w:type="paragraph" w:styleId="msonormal0" w:customStyle="1">
    <w:name w:val="msonormal"/>
    <w:basedOn w:val="Normal"/>
    <w:rsid w:val="00BC185A"/>
    <w:pPr>
      <w:spacing w:after="100" w:afterAutospacing="1" w:before="100" w:beforeAutospacing="1"/>
    </w:pPr>
  </w:style>
  <w:style w:type="paragraph" w:styleId="xl65" w:customStyle="1">
    <w:name w:val="xl65"/>
    <w:basedOn w:val="Normal"/>
    <w:rsid w:val="00BC185A"/>
    <w:pPr>
      <w:spacing w:after="100" w:afterAutospacing="1" w:before="100" w:beforeAutospacing="1"/>
      <w:jc w:val="center"/>
    </w:pPr>
    <w:rPr>
      <w:b w:val="1"/>
      <w:bCs w:val="1"/>
    </w:rPr>
  </w:style>
  <w:style w:type="paragraph" w:styleId="xl67" w:customStyle="1">
    <w:name w:val="xl67"/>
    <w:basedOn w:val="Normal"/>
    <w:rsid w:val="00BC185A"/>
    <w:pPr>
      <w:spacing w:after="100" w:afterAutospacing="1" w:before="100" w:beforeAutospacing="1"/>
      <w:jc w:val="center"/>
    </w:pPr>
  </w:style>
  <w:style w:type="paragraph" w:styleId="xl68" w:customStyle="1">
    <w:name w:val="xl68"/>
    <w:basedOn w:val="Normal"/>
    <w:rsid w:val="00BC185A"/>
    <w:pPr>
      <w:spacing w:after="100" w:afterAutospacing="1" w:before="100" w:beforeAutospacing="1"/>
      <w:jc w:val="center"/>
      <w:textAlignment w:val="center"/>
    </w:pPr>
  </w:style>
  <w:style w:type="paragraph" w:styleId="xl69" w:customStyle="1">
    <w:name w:val="xl69"/>
    <w:basedOn w:val="Normal"/>
    <w:rsid w:val="00BC185A"/>
    <w:pPr>
      <w:spacing w:after="100" w:afterAutospacing="1" w:before="100" w:beforeAutospacing="1"/>
      <w:jc w:val="center"/>
      <w:textAlignment w:val="center"/>
    </w:pPr>
  </w:style>
  <w:style w:type="paragraph" w:styleId="xl70" w:customStyle="1">
    <w:name w:val="xl70"/>
    <w:basedOn w:val="Normal"/>
    <w:rsid w:val="00BC185A"/>
    <w:pPr>
      <w:spacing w:after="100" w:afterAutospacing="1" w:before="100" w:beforeAutospacing="1"/>
      <w:jc w:val="right"/>
    </w:pPr>
  </w:style>
  <w:style w:type="paragraph" w:styleId="xl71" w:customStyle="1">
    <w:name w:val="xl71"/>
    <w:basedOn w:val="Normal"/>
    <w:rsid w:val="00BC185A"/>
    <w:pPr>
      <w:spacing w:after="100" w:afterAutospacing="1" w:before="100" w:beforeAutospacing="1"/>
      <w:jc w:val="center"/>
    </w:pPr>
    <w:rPr>
      <w:rFonts w:ascii="Arial" w:cs="Arial" w:hAnsi="Arial"/>
      <w:color w:val="222222"/>
    </w:rPr>
  </w:style>
  <w:style w:type="paragraph" w:styleId="xl72" w:customStyle="1">
    <w:name w:val="xl72"/>
    <w:basedOn w:val="Normal"/>
    <w:rsid w:val="00BC185A"/>
    <w:pPr>
      <w:spacing w:after="100" w:afterAutospacing="1" w:before="100" w:beforeAutospacing="1"/>
      <w:textAlignment w:val="center"/>
    </w:pPr>
  </w:style>
  <w:style w:type="paragraph" w:styleId="xl73" w:customStyle="1">
    <w:name w:val="xl73"/>
    <w:basedOn w:val="Normal"/>
    <w:rsid w:val="00BC185A"/>
    <w:pPr>
      <w:spacing w:after="100" w:afterAutospacing="1" w:before="100" w:beforeAutospacing="1"/>
      <w:jc w:val="center"/>
    </w:pPr>
    <w:rPr>
      <w:rFonts w:ascii="Calibri" w:cs="Calibri" w:hAnsi="Calibri"/>
      <w:color w:val="000000"/>
    </w:rPr>
  </w:style>
  <w:style w:type="paragraph" w:styleId="xl74" w:customStyle="1">
    <w:name w:val="xl74"/>
    <w:basedOn w:val="Normal"/>
    <w:rsid w:val="00BC185A"/>
    <w:pPr>
      <w:spacing w:after="100" w:afterAutospacing="1" w:before="100" w:beforeAutospacing="1"/>
    </w:pPr>
  </w:style>
  <w:style w:type="paragraph" w:styleId="xl66" w:customStyle="1">
    <w:name w:val="xl66"/>
    <w:basedOn w:val="Normal"/>
    <w:rsid w:val="00BC185A"/>
    <w:pPr>
      <w:spacing w:after="100" w:afterAutospacing="1" w:before="100" w:beforeAutospacing="1"/>
      <w:jc w:val="center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141E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41E18"/>
    <w:pPr>
      <w:spacing w:after="160"/>
    </w:pPr>
    <w:rPr>
      <w:rFonts w:asciiTheme="minorHAnsi" w:cstheme="minorBidi" w:eastAsiaTheme="minorHAnsi" w:hAnsiTheme="minorHAns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41E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41E1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41E18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41E18"/>
    <w:rPr>
      <w:rFonts w:ascii="Segoe UI" w:cs="Segoe UI" w:hAnsi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41E18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141E18"/>
    <w:pPr>
      <w:tabs>
        <w:tab w:val="center" w:pos="4513"/>
        <w:tab w:val="right" w:pos="9026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141E18"/>
  </w:style>
  <w:style w:type="paragraph" w:styleId="Footer">
    <w:name w:val="footer"/>
    <w:basedOn w:val="Normal"/>
    <w:link w:val="FooterChar"/>
    <w:uiPriority w:val="99"/>
    <w:unhideWhenUsed w:val="1"/>
    <w:rsid w:val="00141E18"/>
    <w:pPr>
      <w:tabs>
        <w:tab w:val="center" w:pos="4513"/>
        <w:tab w:val="right" w:pos="9026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141E18"/>
  </w:style>
  <w:style w:type="paragraph" w:styleId="ListBullet">
    <w:name w:val="List Bullet"/>
    <w:basedOn w:val="Normal"/>
    <w:uiPriority w:val="99"/>
    <w:unhideWhenUsed w:val="1"/>
    <w:rsid w:val="00141E18"/>
    <w:pPr>
      <w:numPr>
        <w:numId w:val="1"/>
      </w:numPr>
      <w:spacing w:after="160" w:line="259" w:lineRule="auto"/>
      <w:contextualSpacing w:val="1"/>
    </w:pPr>
    <w:rPr>
      <w:rFonts w:asciiTheme="minorHAnsi" w:cstheme="minorBidi" w:eastAsiaTheme="minorHAnsi" w:hAnsiTheme="minorHAnsi"/>
      <w:sz w:val="22"/>
      <w:szCs w:val="22"/>
    </w:rPr>
  </w:style>
  <w:style w:type="paragraph" w:styleId="NormalWeb">
    <w:name w:val="Normal (Web)"/>
    <w:basedOn w:val="Normal"/>
    <w:uiPriority w:val="99"/>
    <w:semiHidden w:val="1"/>
    <w:unhideWhenUsed w:val="1"/>
    <w:rsid w:val="00D747DA"/>
    <w:pPr>
      <w:spacing w:after="100" w:afterAutospacing="1" w:before="100" w:beforeAutospacing="1"/>
    </w:pPr>
  </w:style>
  <w:style w:type="paragraph" w:styleId="font5" w:customStyle="1">
    <w:name w:val="font5"/>
    <w:basedOn w:val="Normal"/>
    <w:rsid w:val="004E1A00"/>
    <w:pPr>
      <w:spacing w:after="100" w:afterAutospacing="1" w:before="100" w:beforeAutospacing="1"/>
    </w:pPr>
    <w:rPr>
      <w:rFonts w:ascii="Calibri" w:cs="Calibri" w:hAnsi="Calibri"/>
      <w:color w:val="333333"/>
      <w:sz w:val="22"/>
      <w:szCs w:val="22"/>
    </w:rPr>
  </w:style>
  <w:style w:type="paragraph" w:styleId="xl63" w:customStyle="1">
    <w:name w:val="xl63"/>
    <w:basedOn w:val="Normal"/>
    <w:rsid w:val="004E1A0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4" w:customStyle="1">
    <w:name w:val="xl64"/>
    <w:basedOn w:val="Normal"/>
    <w:rsid w:val="004E1A00"/>
    <w:pPr>
      <w:pBdr>
        <w:top w:color="auto" w:space="0" w:sz="8" w:val="single"/>
        <w:left w:color="auto" w:space="0" w:sz="8" w:val="single"/>
        <w:right w:color="auto" w:space="0" w:sz="8" w:val="single"/>
      </w:pBdr>
      <w:shd w:color="000000" w:fill="bdd7ee" w:val="clear"/>
      <w:spacing w:after="100" w:afterAutospacing="1" w:before="100" w:beforeAutospacing="1"/>
      <w:textAlignment w:val="center"/>
    </w:pPr>
    <w:rPr>
      <w:b w:val="1"/>
      <w:bCs w:val="1"/>
    </w:rPr>
  </w:style>
  <w:style w:type="paragraph" w:styleId="xl75" w:customStyle="1">
    <w:name w:val="xl75"/>
    <w:basedOn w:val="Normal"/>
    <w:rsid w:val="004E1A0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</w:style>
  <w:style w:type="paragraph" w:styleId="xl76" w:customStyle="1">
    <w:name w:val="xl76"/>
    <w:basedOn w:val="Normal"/>
    <w:rsid w:val="004E1A0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77" w:customStyle="1">
    <w:name w:val="xl77"/>
    <w:basedOn w:val="Normal"/>
    <w:rsid w:val="004E1A0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78" w:customStyle="1">
    <w:name w:val="xl78"/>
    <w:basedOn w:val="Normal"/>
    <w:rsid w:val="004E1A0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Default" w:customStyle="1">
    <w:name w:val="Default"/>
    <w:rsid w:val="00B81E51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table" w:styleId="af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c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d" w:customStyle="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e" w:customStyle="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" w:customStyle="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FV0VnW2gG3ern1LQjamP5iqacw==">CgMxLjAyCGguZ2pkZ3hzOAByITE3NFl6M0JsajlUeTFfWDItT3A4QlBQN2w5UndnRW9lZg==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2024-08-12T14:26:00Z</dcterms:created>
  <dc:creator>Kristian</dc:creator>
</cp:coreProperties>
</file>