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E58A68" w14:textId="6AA91CE1" w:rsidR="00CE7D0E" w:rsidRPr="00A51DE8" w:rsidRDefault="00CE7D0E" w:rsidP="00576540">
      <w:pPr>
        <w:pStyle w:val="Heading1"/>
        <w:spacing w:before="120" w:line="240" w:lineRule="auto"/>
        <w:rPr>
          <w:rFonts w:ascii="Times New Roman" w:hAnsi="Times New Roman" w:cs="Times New Roman"/>
          <w:sz w:val="20"/>
          <w:szCs w:val="20"/>
        </w:rPr>
      </w:pPr>
      <w:r w:rsidRPr="00A51DE8">
        <w:rPr>
          <w:rFonts w:ascii="Times New Roman" w:hAnsi="Times New Roman" w:cs="Times New Roman"/>
          <w:sz w:val="20"/>
          <w:szCs w:val="20"/>
        </w:rPr>
        <w:t>Supplementa</w:t>
      </w:r>
      <w:r w:rsidR="008D180E" w:rsidRPr="00A51DE8">
        <w:rPr>
          <w:rFonts w:ascii="Times New Roman" w:hAnsi="Times New Roman" w:cs="Times New Roman"/>
          <w:sz w:val="20"/>
          <w:szCs w:val="20"/>
        </w:rPr>
        <w:t xml:space="preserve">l </w:t>
      </w:r>
      <w:r w:rsidR="00863159" w:rsidRPr="00A51DE8">
        <w:rPr>
          <w:rFonts w:ascii="Times New Roman" w:hAnsi="Times New Roman" w:cs="Times New Roman"/>
          <w:sz w:val="20"/>
          <w:szCs w:val="20"/>
        </w:rPr>
        <w:t>Information</w:t>
      </w:r>
    </w:p>
    <w:p w14:paraId="5F19338B" w14:textId="77777777" w:rsidR="00576540" w:rsidRPr="00A51DE8" w:rsidRDefault="00576540" w:rsidP="00576540">
      <w:pPr>
        <w:rPr>
          <w:rFonts w:ascii="Times New Roman" w:hAnsi="Times New Roman" w:cs="Times New Roman"/>
          <w:sz w:val="20"/>
          <w:szCs w:val="20"/>
        </w:rPr>
      </w:pPr>
    </w:p>
    <w:p w14:paraId="71BD3E71" w14:textId="77777777" w:rsidR="00576540" w:rsidRPr="00A51DE8" w:rsidRDefault="00576540" w:rsidP="00576540">
      <w:pPr>
        <w:pStyle w:val="Title"/>
        <w:rPr>
          <w:rFonts w:ascii="Times New Roman" w:hAnsi="Times New Roman" w:cs="Times New Roman"/>
          <w:color w:val="000000"/>
          <w:sz w:val="20"/>
          <w:szCs w:val="20"/>
        </w:rPr>
      </w:pPr>
      <w:r w:rsidRPr="00A51DE8">
        <w:rPr>
          <w:rFonts w:ascii="Times New Roman" w:hAnsi="Times New Roman" w:cs="Times New Roman"/>
          <w:sz w:val="20"/>
          <w:szCs w:val="20"/>
        </w:rPr>
        <w:t>Differential Metabolic Profiles by Hispanic Ethnicity Among Male Tucson Firefighters</w:t>
      </w:r>
    </w:p>
    <w:p w14:paraId="290EDB81" w14:textId="77777777" w:rsidR="00576540" w:rsidRPr="00A51DE8" w:rsidRDefault="00576540" w:rsidP="00576540">
      <w:pPr>
        <w:rPr>
          <w:rFonts w:ascii="Times New Roman" w:hAnsi="Times New Roman" w:cs="Times New Roman"/>
          <w:sz w:val="20"/>
          <w:szCs w:val="20"/>
        </w:rPr>
      </w:pPr>
    </w:p>
    <w:p w14:paraId="3A079C0F" w14:textId="77777777" w:rsidR="00576540" w:rsidRPr="00A51DE8" w:rsidRDefault="00576540" w:rsidP="00576540">
      <w:pPr>
        <w:pStyle w:val="Default"/>
        <w:spacing w:before="0" w:after="0" w:line="480" w:lineRule="auto"/>
        <w:rPr>
          <w:rFonts w:ascii="Times New Roman" w:hAnsi="Times New Roman" w:cs="Times New Roman"/>
          <w:sz w:val="20"/>
          <w:szCs w:val="20"/>
        </w:rPr>
      </w:pPr>
      <w:r w:rsidRPr="00A51DE8">
        <w:rPr>
          <w:rFonts w:ascii="Times New Roman" w:hAnsi="Times New Roman" w:cs="Times New Roman"/>
          <w:sz w:val="20"/>
          <w:szCs w:val="20"/>
        </w:rPr>
        <w:t>Tuo Liu</w:t>
      </w:r>
      <w:r w:rsidRPr="00A51DE8">
        <w:rPr>
          <w:rFonts w:ascii="Times New Roman" w:hAnsi="Times New Roman" w:cs="Times New Roman"/>
          <w:sz w:val="20"/>
          <w:szCs w:val="20"/>
          <w:vertAlign w:val="superscript"/>
        </w:rPr>
        <w:t>1</w:t>
      </w:r>
      <w:r w:rsidRPr="00A51DE8">
        <w:rPr>
          <w:rFonts w:ascii="Times New Roman" w:hAnsi="Times New Roman" w:cs="Times New Roman"/>
          <w:sz w:val="20"/>
          <w:szCs w:val="20"/>
        </w:rPr>
        <w:t>, Melissa A. Furlong</w:t>
      </w:r>
      <w:r w:rsidRPr="00A51DE8">
        <w:rPr>
          <w:rFonts w:ascii="Times New Roman" w:hAnsi="Times New Roman" w:cs="Times New Roman"/>
          <w:sz w:val="20"/>
          <w:szCs w:val="20"/>
          <w:vertAlign w:val="superscript"/>
        </w:rPr>
        <w:t>1</w:t>
      </w:r>
      <w:r w:rsidRPr="00A51DE8">
        <w:rPr>
          <w:rFonts w:ascii="Times New Roman" w:hAnsi="Times New Roman" w:cs="Times New Roman"/>
          <w:sz w:val="20"/>
          <w:szCs w:val="20"/>
        </w:rPr>
        <w:t>, Justin M. Snider</w:t>
      </w:r>
      <w:r w:rsidRPr="00A51DE8">
        <w:rPr>
          <w:rFonts w:ascii="Times New Roman" w:hAnsi="Times New Roman" w:cs="Times New Roman"/>
          <w:sz w:val="20"/>
          <w:szCs w:val="20"/>
          <w:vertAlign w:val="superscript"/>
        </w:rPr>
        <w:t>2</w:t>
      </w:r>
      <w:r w:rsidRPr="00A51DE8">
        <w:rPr>
          <w:rFonts w:ascii="Times New Roman" w:hAnsi="Times New Roman" w:cs="Times New Roman"/>
          <w:sz w:val="20"/>
          <w:szCs w:val="20"/>
        </w:rPr>
        <w:t>, Malak M. Tfaily</w:t>
      </w:r>
      <w:r w:rsidRPr="00A51DE8">
        <w:rPr>
          <w:rFonts w:ascii="Times New Roman" w:hAnsi="Times New Roman" w:cs="Times New Roman"/>
          <w:sz w:val="20"/>
          <w:szCs w:val="20"/>
          <w:vertAlign w:val="superscript"/>
        </w:rPr>
        <w:t>3</w:t>
      </w:r>
      <w:r w:rsidRPr="00A51DE8">
        <w:rPr>
          <w:rFonts w:ascii="Times New Roman" w:hAnsi="Times New Roman" w:cs="Times New Roman"/>
          <w:sz w:val="20"/>
          <w:szCs w:val="20"/>
        </w:rPr>
        <w:t>, Christian Itson</w:t>
      </w:r>
      <w:r w:rsidRPr="00A51DE8">
        <w:rPr>
          <w:rFonts w:ascii="Times New Roman" w:hAnsi="Times New Roman" w:cs="Times New Roman"/>
          <w:sz w:val="20"/>
          <w:szCs w:val="20"/>
          <w:vertAlign w:val="superscript"/>
        </w:rPr>
        <w:t>3</w:t>
      </w:r>
      <w:r w:rsidRPr="00A51DE8">
        <w:rPr>
          <w:rFonts w:ascii="Times New Roman" w:hAnsi="Times New Roman" w:cs="Times New Roman"/>
          <w:sz w:val="20"/>
          <w:szCs w:val="20"/>
        </w:rPr>
        <w:t>, Shawn Beitel</w:t>
      </w:r>
      <w:r w:rsidRPr="00A51DE8">
        <w:rPr>
          <w:rFonts w:ascii="Times New Roman" w:hAnsi="Times New Roman" w:cs="Times New Roman"/>
          <w:sz w:val="20"/>
          <w:szCs w:val="20"/>
          <w:vertAlign w:val="superscript"/>
        </w:rPr>
        <w:t>1</w:t>
      </w:r>
      <w:r w:rsidRPr="00A51DE8">
        <w:rPr>
          <w:rFonts w:ascii="Times New Roman" w:hAnsi="Times New Roman" w:cs="Times New Roman"/>
          <w:sz w:val="20"/>
          <w:szCs w:val="20"/>
        </w:rPr>
        <w:t>, John J. Gulotta</w:t>
      </w:r>
      <w:r w:rsidRPr="00A51DE8">
        <w:rPr>
          <w:rFonts w:ascii="Times New Roman" w:hAnsi="Times New Roman" w:cs="Times New Roman"/>
          <w:sz w:val="20"/>
          <w:szCs w:val="20"/>
          <w:vertAlign w:val="superscript"/>
        </w:rPr>
        <w:t>4</w:t>
      </w:r>
      <w:r w:rsidRPr="00A51DE8">
        <w:rPr>
          <w:rFonts w:ascii="Times New Roman" w:hAnsi="Times New Roman" w:cs="Times New Roman"/>
          <w:sz w:val="20"/>
          <w:szCs w:val="20"/>
        </w:rPr>
        <w:t>, Krishna Parsawar</w:t>
      </w:r>
      <w:r w:rsidRPr="00A51DE8">
        <w:rPr>
          <w:rFonts w:ascii="Times New Roman" w:hAnsi="Times New Roman" w:cs="Times New Roman"/>
          <w:sz w:val="20"/>
          <w:szCs w:val="20"/>
          <w:vertAlign w:val="superscript"/>
        </w:rPr>
        <w:t>5, 6</w:t>
      </w:r>
      <w:r w:rsidRPr="00A51DE8">
        <w:rPr>
          <w:rFonts w:ascii="Times New Roman" w:hAnsi="Times New Roman" w:cs="Times New Roman"/>
          <w:sz w:val="20"/>
          <w:szCs w:val="20"/>
        </w:rPr>
        <w:t>, Kristen Keck</w:t>
      </w:r>
      <w:r w:rsidRPr="00A51DE8">
        <w:rPr>
          <w:rFonts w:ascii="Times New Roman" w:hAnsi="Times New Roman" w:cs="Times New Roman"/>
          <w:sz w:val="20"/>
          <w:szCs w:val="20"/>
          <w:vertAlign w:val="superscript"/>
        </w:rPr>
        <w:t>5, 6</w:t>
      </w:r>
      <w:r w:rsidRPr="00A51DE8">
        <w:rPr>
          <w:rFonts w:ascii="Times New Roman" w:hAnsi="Times New Roman" w:cs="Times New Roman"/>
          <w:sz w:val="20"/>
          <w:szCs w:val="20"/>
        </w:rPr>
        <w:t>, James Galligan</w:t>
      </w:r>
      <w:r w:rsidRPr="00A51DE8">
        <w:rPr>
          <w:rFonts w:ascii="Times New Roman" w:hAnsi="Times New Roman" w:cs="Times New Roman"/>
          <w:sz w:val="20"/>
          <w:szCs w:val="20"/>
          <w:vertAlign w:val="superscript"/>
        </w:rPr>
        <w:t>7</w:t>
      </w:r>
      <w:r w:rsidRPr="00A51DE8">
        <w:rPr>
          <w:rFonts w:ascii="Times New Roman" w:hAnsi="Times New Roman" w:cs="Times New Roman"/>
          <w:sz w:val="20"/>
          <w:szCs w:val="20"/>
        </w:rPr>
        <w:t>, Douglas I. Walker</w:t>
      </w:r>
      <w:r w:rsidRPr="00A51DE8">
        <w:rPr>
          <w:rFonts w:ascii="Times New Roman" w:hAnsi="Times New Roman" w:cs="Times New Roman"/>
          <w:sz w:val="20"/>
          <w:szCs w:val="20"/>
          <w:vertAlign w:val="superscript"/>
        </w:rPr>
        <w:t>8</w:t>
      </w:r>
      <w:r w:rsidRPr="00A51DE8">
        <w:rPr>
          <w:rFonts w:ascii="Times New Roman" w:hAnsi="Times New Roman" w:cs="Times New Roman"/>
          <w:sz w:val="20"/>
          <w:szCs w:val="20"/>
        </w:rPr>
        <w:t>, Jefferey L. Burgess</w:t>
      </w:r>
      <w:r w:rsidRPr="00A51DE8">
        <w:rPr>
          <w:rFonts w:ascii="Times New Roman" w:hAnsi="Times New Roman" w:cs="Times New Roman"/>
          <w:sz w:val="20"/>
          <w:szCs w:val="20"/>
          <w:vertAlign w:val="superscript"/>
        </w:rPr>
        <w:t>1</w:t>
      </w:r>
      <w:r w:rsidRPr="00A51DE8">
        <w:rPr>
          <w:rFonts w:ascii="Times New Roman" w:hAnsi="Times New Roman" w:cs="Times New Roman"/>
          <w:sz w:val="20"/>
          <w:szCs w:val="20"/>
        </w:rPr>
        <w:t xml:space="preserve"> </w:t>
      </w:r>
    </w:p>
    <w:p w14:paraId="50FACE21" w14:textId="77777777" w:rsidR="00576540" w:rsidRPr="00A51DE8" w:rsidRDefault="00576540" w:rsidP="00576540">
      <w:pPr>
        <w:pStyle w:val="Default"/>
        <w:spacing w:before="0" w:after="0" w:line="480" w:lineRule="auto"/>
        <w:rPr>
          <w:rFonts w:ascii="Times New Roman" w:hAnsi="Times New Roman" w:cs="Times New Roman"/>
          <w:sz w:val="20"/>
          <w:szCs w:val="20"/>
        </w:rPr>
      </w:pPr>
    </w:p>
    <w:p w14:paraId="40C2AA4B" w14:textId="77777777" w:rsidR="00576540" w:rsidRPr="00A51DE8" w:rsidRDefault="00576540" w:rsidP="00576540">
      <w:pPr>
        <w:pStyle w:val="Default"/>
        <w:spacing w:before="0" w:after="0" w:line="480" w:lineRule="auto"/>
        <w:rPr>
          <w:rFonts w:ascii="Times New Roman" w:hAnsi="Times New Roman" w:cs="Times New Roman"/>
          <w:sz w:val="20"/>
          <w:szCs w:val="20"/>
        </w:rPr>
      </w:pPr>
      <w:r w:rsidRPr="00A51DE8">
        <w:rPr>
          <w:rFonts w:ascii="Times New Roman" w:hAnsi="Times New Roman" w:cs="Times New Roman"/>
          <w:sz w:val="20"/>
          <w:szCs w:val="20"/>
          <w:vertAlign w:val="superscript"/>
        </w:rPr>
        <w:t>1</w:t>
      </w:r>
      <w:r w:rsidRPr="00A51DE8">
        <w:rPr>
          <w:rFonts w:ascii="Times New Roman" w:hAnsi="Times New Roman" w:cs="Times New Roman"/>
          <w:sz w:val="20"/>
          <w:szCs w:val="20"/>
        </w:rPr>
        <w:t>University of Arizona Mel and Enid Zuckerman College of Public Health, Environmental Health Sciences</w:t>
      </w:r>
    </w:p>
    <w:p w14:paraId="070BE514" w14:textId="77777777" w:rsidR="00576540" w:rsidRPr="00A51DE8" w:rsidRDefault="00576540" w:rsidP="00576540">
      <w:pPr>
        <w:pStyle w:val="Default"/>
        <w:spacing w:before="0" w:after="0" w:line="480" w:lineRule="auto"/>
        <w:rPr>
          <w:rFonts w:ascii="Times New Roman" w:hAnsi="Times New Roman" w:cs="Times New Roman"/>
          <w:sz w:val="20"/>
          <w:szCs w:val="20"/>
        </w:rPr>
      </w:pPr>
      <w:r w:rsidRPr="00A51DE8">
        <w:rPr>
          <w:rFonts w:ascii="Times New Roman" w:hAnsi="Times New Roman" w:cs="Times New Roman"/>
          <w:sz w:val="20"/>
          <w:szCs w:val="20"/>
          <w:vertAlign w:val="superscript"/>
        </w:rPr>
        <w:t>2</w:t>
      </w:r>
      <w:r w:rsidRPr="00A51DE8">
        <w:rPr>
          <w:rFonts w:ascii="Times New Roman" w:hAnsi="Times New Roman" w:cs="Times New Roman"/>
          <w:sz w:val="20"/>
          <w:szCs w:val="20"/>
        </w:rPr>
        <w:t>University of Arizona School of Nutritional Sciences and Wellness</w:t>
      </w:r>
    </w:p>
    <w:p w14:paraId="6E5FDDF8" w14:textId="77777777" w:rsidR="00576540" w:rsidRPr="00A51DE8" w:rsidRDefault="00576540" w:rsidP="00576540">
      <w:pPr>
        <w:pStyle w:val="Default"/>
        <w:spacing w:before="0" w:after="0" w:line="480" w:lineRule="auto"/>
        <w:rPr>
          <w:rFonts w:ascii="Times New Roman" w:hAnsi="Times New Roman" w:cs="Times New Roman"/>
          <w:sz w:val="20"/>
          <w:szCs w:val="20"/>
        </w:rPr>
      </w:pPr>
      <w:r w:rsidRPr="00A51DE8">
        <w:rPr>
          <w:rFonts w:ascii="Times New Roman" w:hAnsi="Times New Roman" w:cs="Times New Roman"/>
          <w:sz w:val="20"/>
          <w:szCs w:val="20"/>
          <w:vertAlign w:val="superscript"/>
        </w:rPr>
        <w:t>3</w:t>
      </w:r>
      <w:r w:rsidRPr="00A51DE8">
        <w:rPr>
          <w:rFonts w:ascii="Times New Roman" w:hAnsi="Times New Roman" w:cs="Times New Roman"/>
          <w:sz w:val="20"/>
          <w:szCs w:val="20"/>
        </w:rPr>
        <w:t xml:space="preserve">University of Arizona Department of Environmental Science </w:t>
      </w:r>
    </w:p>
    <w:p w14:paraId="6ED36BA7" w14:textId="77777777" w:rsidR="00576540" w:rsidRPr="00A51DE8" w:rsidRDefault="00576540" w:rsidP="00576540">
      <w:pPr>
        <w:pStyle w:val="Default"/>
        <w:spacing w:before="0" w:after="0" w:line="480" w:lineRule="auto"/>
        <w:rPr>
          <w:rFonts w:ascii="Times New Roman" w:hAnsi="Times New Roman" w:cs="Times New Roman"/>
          <w:sz w:val="20"/>
          <w:szCs w:val="20"/>
        </w:rPr>
      </w:pPr>
      <w:r w:rsidRPr="00A51DE8">
        <w:rPr>
          <w:rFonts w:ascii="Times New Roman" w:hAnsi="Times New Roman" w:cs="Times New Roman"/>
          <w:sz w:val="20"/>
          <w:szCs w:val="20"/>
          <w:vertAlign w:val="superscript"/>
        </w:rPr>
        <w:t>4</w:t>
      </w:r>
      <w:r w:rsidRPr="00A51DE8">
        <w:rPr>
          <w:rFonts w:ascii="Times New Roman" w:hAnsi="Times New Roman" w:cs="Times New Roman"/>
          <w:sz w:val="20"/>
          <w:szCs w:val="20"/>
        </w:rPr>
        <w:t>Tucson Fire Department</w:t>
      </w:r>
    </w:p>
    <w:p w14:paraId="3FD5C98C" w14:textId="77777777" w:rsidR="00576540" w:rsidRPr="00A51DE8" w:rsidRDefault="00576540" w:rsidP="00576540">
      <w:pPr>
        <w:pStyle w:val="Default"/>
        <w:spacing w:before="0" w:after="0" w:line="480" w:lineRule="auto"/>
        <w:rPr>
          <w:rFonts w:ascii="Times New Roman" w:hAnsi="Times New Roman" w:cs="Times New Roman"/>
          <w:sz w:val="20"/>
          <w:szCs w:val="20"/>
        </w:rPr>
      </w:pPr>
      <w:r w:rsidRPr="00A51DE8">
        <w:rPr>
          <w:rFonts w:ascii="Times New Roman" w:hAnsi="Times New Roman" w:cs="Times New Roman"/>
          <w:sz w:val="20"/>
          <w:szCs w:val="20"/>
          <w:vertAlign w:val="superscript"/>
        </w:rPr>
        <w:t>5</w:t>
      </w:r>
      <w:r w:rsidRPr="00A51DE8">
        <w:rPr>
          <w:rFonts w:ascii="Times New Roman" w:hAnsi="Times New Roman" w:cs="Times New Roman"/>
          <w:sz w:val="20"/>
          <w:szCs w:val="20"/>
        </w:rPr>
        <w:t>University of Arizona Cancer Center</w:t>
      </w:r>
    </w:p>
    <w:p w14:paraId="07A1DEA6" w14:textId="77777777" w:rsidR="00576540" w:rsidRPr="00A51DE8" w:rsidRDefault="00576540" w:rsidP="00576540">
      <w:pPr>
        <w:pStyle w:val="Default"/>
        <w:spacing w:before="0" w:after="0" w:line="480" w:lineRule="auto"/>
        <w:rPr>
          <w:rFonts w:ascii="Times New Roman" w:hAnsi="Times New Roman" w:cs="Times New Roman"/>
          <w:sz w:val="20"/>
          <w:szCs w:val="20"/>
        </w:rPr>
      </w:pPr>
      <w:r w:rsidRPr="00A51DE8">
        <w:rPr>
          <w:rFonts w:ascii="Times New Roman" w:hAnsi="Times New Roman" w:cs="Times New Roman"/>
          <w:sz w:val="20"/>
          <w:szCs w:val="20"/>
          <w:vertAlign w:val="superscript"/>
        </w:rPr>
        <w:t>6</w:t>
      </w:r>
      <w:r w:rsidRPr="00A51DE8">
        <w:rPr>
          <w:rFonts w:ascii="Times New Roman" w:hAnsi="Times New Roman" w:cs="Times New Roman"/>
          <w:sz w:val="20"/>
          <w:szCs w:val="20"/>
        </w:rPr>
        <w:t>University of Arizona Analytical and Biological Mass Spectrometry Core</w:t>
      </w:r>
    </w:p>
    <w:p w14:paraId="67E73129" w14:textId="77777777" w:rsidR="00576540" w:rsidRPr="00A51DE8" w:rsidRDefault="00576540" w:rsidP="00576540">
      <w:pPr>
        <w:pStyle w:val="Default"/>
        <w:spacing w:before="0" w:after="0" w:line="480" w:lineRule="auto"/>
        <w:rPr>
          <w:rFonts w:ascii="Times New Roman" w:hAnsi="Times New Roman" w:cs="Times New Roman"/>
          <w:sz w:val="20"/>
          <w:szCs w:val="20"/>
        </w:rPr>
      </w:pPr>
      <w:r w:rsidRPr="00A51DE8">
        <w:rPr>
          <w:rFonts w:ascii="Times New Roman" w:hAnsi="Times New Roman" w:cs="Times New Roman"/>
          <w:sz w:val="20"/>
          <w:szCs w:val="20"/>
          <w:vertAlign w:val="superscript"/>
        </w:rPr>
        <w:t>7</w:t>
      </w:r>
      <w:r w:rsidRPr="00A51DE8">
        <w:rPr>
          <w:rFonts w:ascii="Times New Roman" w:hAnsi="Times New Roman" w:cs="Times New Roman"/>
          <w:sz w:val="20"/>
          <w:szCs w:val="20"/>
        </w:rPr>
        <w:t>University of Arizona College of Pharmacy</w:t>
      </w:r>
    </w:p>
    <w:p w14:paraId="2B55EE34" w14:textId="77777777" w:rsidR="00576540" w:rsidRPr="00A51DE8" w:rsidRDefault="00576540" w:rsidP="00576540">
      <w:pPr>
        <w:pStyle w:val="Default"/>
        <w:spacing w:before="0" w:after="0" w:line="480" w:lineRule="auto"/>
        <w:rPr>
          <w:rFonts w:ascii="Times New Roman" w:hAnsi="Times New Roman" w:cs="Times New Roman"/>
          <w:sz w:val="20"/>
          <w:szCs w:val="20"/>
        </w:rPr>
      </w:pPr>
      <w:r w:rsidRPr="00A51DE8">
        <w:rPr>
          <w:rFonts w:ascii="Times New Roman" w:hAnsi="Times New Roman" w:cs="Times New Roman"/>
          <w:sz w:val="20"/>
          <w:szCs w:val="20"/>
          <w:vertAlign w:val="superscript"/>
        </w:rPr>
        <w:t>8</w:t>
      </w:r>
      <w:r w:rsidRPr="00A51DE8">
        <w:rPr>
          <w:rFonts w:ascii="Times New Roman" w:hAnsi="Times New Roman" w:cs="Times New Roman"/>
          <w:sz w:val="20"/>
          <w:szCs w:val="20"/>
        </w:rPr>
        <w:t>Gangarosa Department of Environmental Medicine, Rollins School of Public Health, Atlanta, GA</w:t>
      </w:r>
    </w:p>
    <w:p w14:paraId="1AA0017B" w14:textId="77777777" w:rsidR="00576540" w:rsidRPr="00A51DE8" w:rsidRDefault="00576540" w:rsidP="00576540">
      <w:pPr>
        <w:rPr>
          <w:rFonts w:ascii="Times New Roman" w:hAnsi="Times New Roman" w:cs="Times New Roman"/>
          <w:sz w:val="20"/>
          <w:szCs w:val="20"/>
        </w:rPr>
      </w:pPr>
      <w:r w:rsidRPr="00A51DE8">
        <w:rPr>
          <w:rFonts w:ascii="Times New Roman" w:hAnsi="Times New Roman" w:cs="Times New Roman"/>
          <w:sz w:val="20"/>
          <w:szCs w:val="20"/>
        </w:rPr>
        <w:t xml:space="preserve">Corresponding author </w:t>
      </w:r>
      <w:hyperlink r:id="rId4" w:history="1">
        <w:r w:rsidRPr="00A51DE8">
          <w:rPr>
            <w:rStyle w:val="Hyperlink"/>
            <w:rFonts w:ascii="Times New Roman" w:hAnsi="Times New Roman" w:cs="Times New Roman"/>
            <w:sz w:val="20"/>
            <w:szCs w:val="20"/>
          </w:rPr>
          <w:t>tuoooliu@arizona.edu</w:t>
        </w:r>
      </w:hyperlink>
      <w:r w:rsidRPr="00A51DE8">
        <w:rPr>
          <w:rFonts w:ascii="Times New Roman" w:hAnsi="Times New Roman" w:cs="Times New Roman"/>
          <w:sz w:val="20"/>
          <w:szCs w:val="20"/>
        </w:rPr>
        <w:t>, 1295 N Martin Ave, Tucson AZ 85724</w:t>
      </w:r>
    </w:p>
    <w:p w14:paraId="2A7272F1" w14:textId="77777777" w:rsidR="00576540" w:rsidRPr="00A51DE8" w:rsidRDefault="00576540" w:rsidP="00CE7D0E">
      <w:pPr>
        <w:rPr>
          <w:rFonts w:ascii="Times New Roman" w:hAnsi="Times New Roman" w:cs="Times New Roman"/>
          <w:sz w:val="20"/>
          <w:szCs w:val="20"/>
        </w:rPr>
      </w:pPr>
    </w:p>
    <w:p w14:paraId="65F94146" w14:textId="77777777" w:rsidR="00CE7D0E" w:rsidRPr="00A51DE8" w:rsidRDefault="00CE7D0E" w:rsidP="00CE7D0E">
      <w:pPr>
        <w:keepNext/>
        <w:jc w:val="center"/>
        <w:rPr>
          <w:rFonts w:ascii="Times New Roman" w:hAnsi="Times New Roman" w:cs="Times New Roman"/>
          <w:sz w:val="20"/>
          <w:szCs w:val="20"/>
        </w:rPr>
      </w:pPr>
      <w:r w:rsidRPr="00A51DE8">
        <w:rPr>
          <w:rFonts w:ascii="Times New Roman" w:hAnsi="Times New Roman" w:cs="Times New Roman"/>
          <w:noProof/>
          <w:sz w:val="20"/>
          <w:szCs w:val="20"/>
        </w:rPr>
        <w:lastRenderedPageBreak/>
        <w:drawing>
          <wp:inline distT="0" distB="0" distL="0" distR="0" wp14:anchorId="2332D41B" wp14:editId="6FFFE334">
            <wp:extent cx="5122926" cy="3866197"/>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5" cstate="print"/>
                    <a:stretch>
                      <a:fillRect/>
                    </a:stretch>
                  </pic:blipFill>
                  <pic:spPr>
                    <a:xfrm>
                      <a:off x="0" y="0"/>
                      <a:ext cx="5122926" cy="3866197"/>
                    </a:xfrm>
                    <a:prstGeom prst="rect">
                      <a:avLst/>
                    </a:prstGeom>
                  </pic:spPr>
                </pic:pic>
              </a:graphicData>
            </a:graphic>
          </wp:inline>
        </w:drawing>
      </w:r>
    </w:p>
    <w:p w14:paraId="50751F9A" w14:textId="715D61E9" w:rsidR="00CE7D0E" w:rsidRPr="00A51DE8" w:rsidRDefault="00736ABB" w:rsidP="00CE7D0E">
      <w:pPr>
        <w:pStyle w:val="Caption"/>
        <w:jc w:val="center"/>
        <w:rPr>
          <w:rFonts w:ascii="Times New Roman" w:hAnsi="Times New Roman" w:cs="Times New Roman"/>
          <w:sz w:val="20"/>
          <w:szCs w:val="20"/>
        </w:rPr>
      </w:pPr>
      <w:r w:rsidRPr="00A51DE8">
        <w:rPr>
          <w:rFonts w:ascii="Times New Roman" w:hAnsi="Times New Roman" w:cs="Times New Roman"/>
          <w:b/>
          <w:bCs/>
          <w:sz w:val="20"/>
          <w:szCs w:val="20"/>
        </w:rPr>
        <w:t xml:space="preserve">Supplemental </w:t>
      </w:r>
      <w:r w:rsidR="00CE7D0E" w:rsidRPr="00A51DE8">
        <w:rPr>
          <w:rFonts w:ascii="Times New Roman" w:hAnsi="Times New Roman" w:cs="Times New Roman"/>
          <w:b/>
          <w:bCs/>
          <w:sz w:val="20"/>
          <w:szCs w:val="20"/>
        </w:rPr>
        <w:t>Fig.</w:t>
      </w:r>
      <w:r w:rsidR="00E53458" w:rsidRPr="00A51DE8">
        <w:rPr>
          <w:rFonts w:ascii="Times New Roman" w:hAnsi="Times New Roman" w:cs="Times New Roman"/>
          <w:b/>
          <w:bCs/>
          <w:sz w:val="20"/>
          <w:szCs w:val="20"/>
        </w:rPr>
        <w:t>5</w:t>
      </w:r>
      <w:r w:rsidR="00CE7D0E" w:rsidRPr="00A51DE8">
        <w:rPr>
          <w:rFonts w:ascii="Times New Roman" w:hAnsi="Times New Roman" w:cs="Times New Roman"/>
          <w:sz w:val="20"/>
          <w:szCs w:val="20"/>
        </w:rPr>
        <w:t>: Analytical diagram for urinary metabolomics analysis among firefighters.</w:t>
      </w:r>
    </w:p>
    <w:p w14:paraId="673FB1DE" w14:textId="77777777" w:rsidR="00CE7D0E" w:rsidRPr="00A51DE8" w:rsidRDefault="00CE7D0E" w:rsidP="00CE7D0E">
      <w:pPr>
        <w:rPr>
          <w:rFonts w:ascii="Times New Roman" w:hAnsi="Times New Roman" w:cs="Times New Roman"/>
          <w:i/>
          <w:iCs/>
          <w:color w:val="0E2841" w:themeColor="text2"/>
          <w:sz w:val="20"/>
          <w:szCs w:val="20"/>
        </w:rPr>
      </w:pPr>
    </w:p>
    <w:p w14:paraId="7ED49332" w14:textId="610BEA34" w:rsidR="00CE7D0E" w:rsidRPr="00A51DE8" w:rsidRDefault="00967286" w:rsidP="006006CA">
      <w:pPr>
        <w:jc w:val="both"/>
        <w:rPr>
          <w:rFonts w:ascii="Times New Roman" w:hAnsi="Times New Roman" w:cs="Times New Roman"/>
          <w:color w:val="0E2841" w:themeColor="text2"/>
          <w:sz w:val="20"/>
          <w:szCs w:val="20"/>
        </w:rPr>
      </w:pPr>
      <w:r w:rsidRPr="00A51DE8">
        <w:rPr>
          <w:rFonts w:ascii="Times New Roman" w:hAnsi="Times New Roman" w:cs="Times New Roman"/>
          <w:color w:val="0E2841" w:themeColor="text2"/>
          <w:sz w:val="20"/>
          <w:szCs w:val="20"/>
        </w:rPr>
        <w:t xml:space="preserve">The analytical pipeline followed in this study was sketched in the Supplemental Fig. 5 where five components were involved: HPLC-MS, annotation, quality control (QC), statistical analyses, and pathway analysis. At the Analytical and Biological Mass Spectrometry Core, University of Arizona, HPLC-MS was input with pretreated urine sample from the FFCCS cohort and analyzed the samples in two separation-ESI modes: HILIC (-) and RP (+). The output MS files were then manually inspected against lab standards to ensure data quality and sent to Compound Discoverer for annotation against both in-house and online libraries afterwards. The pipeline incorporates a filtering process that </w:t>
      </w:r>
      <w:r w:rsidR="006006CA" w:rsidRPr="00A51DE8">
        <w:rPr>
          <w:rFonts w:ascii="Times New Roman" w:hAnsi="Times New Roman" w:cs="Times New Roman"/>
          <w:color w:val="0E2841" w:themeColor="text2"/>
          <w:sz w:val="20"/>
          <w:szCs w:val="20"/>
        </w:rPr>
        <w:t>incorporates</w:t>
      </w:r>
      <w:r w:rsidRPr="00A51DE8">
        <w:rPr>
          <w:rFonts w:ascii="Times New Roman" w:hAnsi="Times New Roman" w:cs="Times New Roman"/>
          <w:color w:val="0E2841" w:themeColor="text2"/>
          <w:sz w:val="20"/>
          <w:szCs w:val="20"/>
        </w:rPr>
        <w:t xml:space="preserve"> </w:t>
      </w:r>
      <w:r w:rsidR="006006CA" w:rsidRPr="00A51DE8">
        <w:rPr>
          <w:rFonts w:ascii="Times New Roman" w:hAnsi="Times New Roman" w:cs="Times New Roman"/>
          <w:color w:val="0E2841" w:themeColor="text2"/>
          <w:sz w:val="20"/>
          <w:szCs w:val="20"/>
        </w:rPr>
        <w:t>relative standard deviation, annotation mass difference, missing value percentage, and annotation confidence,</w:t>
      </w:r>
      <w:r w:rsidRPr="00A51DE8">
        <w:rPr>
          <w:rFonts w:ascii="Times New Roman" w:hAnsi="Times New Roman" w:cs="Times New Roman"/>
          <w:color w:val="0E2841" w:themeColor="text2"/>
          <w:sz w:val="20"/>
          <w:szCs w:val="20"/>
        </w:rPr>
        <w:t xml:space="preserve"> to remove low-quality signals from further analyses</w:t>
      </w:r>
      <w:r w:rsidR="006006CA" w:rsidRPr="00A51DE8">
        <w:rPr>
          <w:rFonts w:ascii="Times New Roman" w:hAnsi="Times New Roman" w:cs="Times New Roman"/>
          <w:color w:val="0E2841" w:themeColor="text2"/>
          <w:sz w:val="20"/>
          <w:szCs w:val="20"/>
        </w:rPr>
        <w:t xml:space="preserve">. Specific gravity correction was applied to remove unwanted variation introduced by individual hydration level and batch correction was applied to further remove batch-wise variation. Remaining urinary features were input into differential analysis and exploratory analysis to identify differential hits and patterns that would help discern overall differential responses to the exposure variables among our samples. Pathway analysis took the complete set of urinary features as the reference set and the differential hits as the sample set to complete the overrepresentation analysis, and enrichment patterns were the output. </w:t>
      </w:r>
    </w:p>
    <w:p w14:paraId="5EB12D18" w14:textId="0DCD49AD" w:rsidR="00CE7D0E" w:rsidRPr="00A51DE8" w:rsidRDefault="00944CE7" w:rsidP="00CE7D0E">
      <w:pPr>
        <w:keepNext/>
        <w:jc w:val="center"/>
        <w:rPr>
          <w:rFonts w:ascii="Times New Roman" w:hAnsi="Times New Roman" w:cs="Times New Roman"/>
          <w:sz w:val="20"/>
          <w:szCs w:val="20"/>
        </w:rPr>
      </w:pPr>
      <w:r w:rsidRPr="00A51DE8">
        <w:rPr>
          <w:rFonts w:ascii="Times New Roman" w:hAnsi="Times New Roman" w:cs="Times New Roman"/>
          <w:noProof/>
          <w:sz w:val="20"/>
          <w:szCs w:val="20"/>
        </w:rPr>
        <w:lastRenderedPageBreak/>
        <w:drawing>
          <wp:inline distT="0" distB="0" distL="0" distR="0" wp14:anchorId="050CECBF" wp14:editId="76FA801E">
            <wp:extent cx="5026729" cy="3770047"/>
            <wp:effectExtent l="0" t="0" r="0" b="0"/>
            <wp:docPr id="11593049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34976" cy="3776232"/>
                    </a:xfrm>
                    <a:prstGeom prst="rect">
                      <a:avLst/>
                    </a:prstGeom>
                    <a:noFill/>
                    <a:ln>
                      <a:noFill/>
                    </a:ln>
                  </pic:spPr>
                </pic:pic>
              </a:graphicData>
            </a:graphic>
          </wp:inline>
        </w:drawing>
      </w:r>
    </w:p>
    <w:p w14:paraId="2B733E25" w14:textId="05503712" w:rsidR="00CE7D0E" w:rsidRPr="00A51DE8" w:rsidRDefault="00736ABB" w:rsidP="00FA2F4D">
      <w:pPr>
        <w:pStyle w:val="Caption"/>
        <w:jc w:val="both"/>
        <w:rPr>
          <w:rFonts w:ascii="Times New Roman" w:hAnsi="Times New Roman" w:cs="Times New Roman"/>
          <w:sz w:val="20"/>
          <w:szCs w:val="20"/>
        </w:rPr>
      </w:pPr>
      <w:r w:rsidRPr="00A51DE8">
        <w:rPr>
          <w:rFonts w:ascii="Times New Roman" w:hAnsi="Times New Roman" w:cs="Times New Roman"/>
          <w:b/>
          <w:bCs/>
          <w:sz w:val="20"/>
          <w:szCs w:val="20"/>
        </w:rPr>
        <w:t xml:space="preserve">Supplemental </w:t>
      </w:r>
      <w:r w:rsidR="00CE7D0E" w:rsidRPr="00A51DE8">
        <w:rPr>
          <w:rFonts w:ascii="Times New Roman" w:hAnsi="Times New Roman" w:cs="Times New Roman"/>
          <w:b/>
          <w:bCs/>
          <w:sz w:val="20"/>
          <w:szCs w:val="20"/>
        </w:rPr>
        <w:t>Fig.</w:t>
      </w:r>
      <w:r w:rsidR="00E53458" w:rsidRPr="00A51DE8">
        <w:rPr>
          <w:rFonts w:ascii="Times New Roman" w:hAnsi="Times New Roman" w:cs="Times New Roman"/>
          <w:b/>
          <w:bCs/>
          <w:sz w:val="20"/>
          <w:szCs w:val="20"/>
        </w:rPr>
        <w:t>6</w:t>
      </w:r>
      <w:r w:rsidR="00CE7D0E" w:rsidRPr="00A51DE8">
        <w:rPr>
          <w:rFonts w:ascii="Times New Roman" w:hAnsi="Times New Roman" w:cs="Times New Roman"/>
          <w:sz w:val="20"/>
          <w:szCs w:val="20"/>
        </w:rPr>
        <w:t xml:space="preserve">: Combo plot for model coefficients and expression level comparison for </w:t>
      </w:r>
      <w:r w:rsidR="00CE7D0E" w:rsidRPr="00A51DE8">
        <w:rPr>
          <w:rFonts w:ascii="Times New Roman" w:hAnsi="Times New Roman" w:cs="Times New Roman"/>
          <w:b/>
          <w:bCs/>
          <w:sz w:val="20"/>
          <w:szCs w:val="20"/>
        </w:rPr>
        <w:t>HILIC</w:t>
      </w:r>
      <w:r w:rsidR="009333B3" w:rsidRPr="00A51DE8">
        <w:rPr>
          <w:rFonts w:ascii="Times New Roman" w:hAnsi="Times New Roman" w:cs="Times New Roman"/>
          <w:b/>
          <w:bCs/>
          <w:sz w:val="20"/>
          <w:szCs w:val="20"/>
        </w:rPr>
        <w:t xml:space="preserve"> </w:t>
      </w:r>
      <w:r w:rsidR="00CE7D0E" w:rsidRPr="00A51DE8">
        <w:rPr>
          <w:rFonts w:ascii="Times New Roman" w:hAnsi="Times New Roman" w:cs="Times New Roman"/>
          <w:b/>
          <w:bCs/>
          <w:sz w:val="20"/>
          <w:szCs w:val="20"/>
        </w:rPr>
        <w:t>(-)</w:t>
      </w:r>
      <w:r w:rsidR="00CE7D0E" w:rsidRPr="00A51DE8">
        <w:rPr>
          <w:rFonts w:ascii="Times New Roman" w:hAnsi="Times New Roman" w:cs="Times New Roman"/>
          <w:sz w:val="20"/>
          <w:szCs w:val="20"/>
        </w:rPr>
        <w:t xml:space="preserve"> differential metabolites with FDR &lt; 0.05 &amp; absolute slope &gt;= 0.5. </w:t>
      </w:r>
      <w:r w:rsidR="00CE7D0E" w:rsidRPr="00A51DE8">
        <w:rPr>
          <w:rFonts w:ascii="Times New Roman" w:hAnsi="Times New Roman" w:cs="Times New Roman"/>
          <w:b/>
          <w:bCs/>
          <w:sz w:val="20"/>
          <w:szCs w:val="20"/>
        </w:rPr>
        <w:t>Top</w:t>
      </w:r>
      <w:r w:rsidR="00CE7D0E" w:rsidRPr="00A51DE8">
        <w:rPr>
          <w:rFonts w:ascii="Times New Roman" w:hAnsi="Times New Roman" w:cs="Times New Roman"/>
          <w:sz w:val="20"/>
          <w:szCs w:val="20"/>
        </w:rPr>
        <w:t xml:space="preserve">) Lollipop plot for model coefficients’ size and direction comparing Hispanic samples to </w:t>
      </w:r>
      <w:r w:rsidR="002976BD" w:rsidRPr="00A51DE8">
        <w:rPr>
          <w:rFonts w:ascii="Times New Roman" w:hAnsi="Times New Roman" w:cs="Times New Roman"/>
          <w:sz w:val="20"/>
          <w:szCs w:val="20"/>
        </w:rPr>
        <w:t>non-</w:t>
      </w:r>
      <w:r w:rsidR="00CE7D0E" w:rsidRPr="00A51DE8">
        <w:rPr>
          <w:rFonts w:ascii="Times New Roman" w:hAnsi="Times New Roman" w:cs="Times New Roman"/>
          <w:sz w:val="20"/>
          <w:szCs w:val="20"/>
        </w:rPr>
        <w:t xml:space="preserve">Hispanics where negative and positive y values indicated downregulation and upregulation, respectively; </w:t>
      </w:r>
      <w:r w:rsidR="00CE7D0E" w:rsidRPr="00A51DE8">
        <w:rPr>
          <w:rFonts w:ascii="Times New Roman" w:hAnsi="Times New Roman" w:cs="Times New Roman"/>
          <w:b/>
          <w:bCs/>
          <w:sz w:val="20"/>
          <w:szCs w:val="20"/>
        </w:rPr>
        <w:t>Bottom</w:t>
      </w:r>
      <w:r w:rsidR="00CE7D0E" w:rsidRPr="00A51DE8">
        <w:rPr>
          <w:rFonts w:ascii="Times New Roman" w:hAnsi="Times New Roman" w:cs="Times New Roman"/>
          <w:sz w:val="20"/>
          <w:szCs w:val="20"/>
        </w:rPr>
        <w:t>) Hispanic group was colored in red and non- Hispanic group was colored in blue. Asterisks indicated statistical significance as determined by the Wilcox test for two sample mean comparison; black dots indicated potential outliers.</w:t>
      </w:r>
    </w:p>
    <w:p w14:paraId="3518BC68" w14:textId="12805E55" w:rsidR="00311EE7" w:rsidRPr="00A51DE8" w:rsidRDefault="00944CE7" w:rsidP="00EA3F46">
      <w:pPr>
        <w:keepNext/>
        <w:rPr>
          <w:rFonts w:ascii="Times New Roman" w:hAnsi="Times New Roman" w:cs="Times New Roman"/>
          <w:sz w:val="20"/>
          <w:szCs w:val="20"/>
        </w:rPr>
      </w:pPr>
      <w:r w:rsidRPr="00A51DE8">
        <w:rPr>
          <w:rFonts w:ascii="Times New Roman" w:hAnsi="Times New Roman" w:cs="Times New Roman"/>
          <w:noProof/>
          <w:sz w:val="20"/>
          <w:szCs w:val="20"/>
        </w:rPr>
        <w:lastRenderedPageBreak/>
        <w:drawing>
          <wp:inline distT="0" distB="0" distL="0" distR="0" wp14:anchorId="5E11D99A" wp14:editId="5A5FD565">
            <wp:extent cx="5932805" cy="2966085"/>
            <wp:effectExtent l="0" t="0" r="0" b="0"/>
            <wp:docPr id="82254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2805" cy="2966085"/>
                    </a:xfrm>
                    <a:prstGeom prst="rect">
                      <a:avLst/>
                    </a:prstGeom>
                    <a:noFill/>
                    <a:ln>
                      <a:noFill/>
                    </a:ln>
                  </pic:spPr>
                </pic:pic>
              </a:graphicData>
            </a:graphic>
          </wp:inline>
        </w:drawing>
      </w:r>
    </w:p>
    <w:p w14:paraId="76DE297D" w14:textId="07A34B46" w:rsidR="00311EE7" w:rsidRPr="00A51DE8" w:rsidRDefault="00736ABB" w:rsidP="00FA2F4D">
      <w:pPr>
        <w:pStyle w:val="Caption"/>
        <w:jc w:val="both"/>
        <w:rPr>
          <w:rFonts w:ascii="Times New Roman" w:hAnsi="Times New Roman" w:cs="Times New Roman"/>
          <w:sz w:val="20"/>
          <w:szCs w:val="20"/>
        </w:rPr>
      </w:pPr>
      <w:r w:rsidRPr="00A51DE8">
        <w:rPr>
          <w:rFonts w:ascii="Times New Roman" w:hAnsi="Times New Roman" w:cs="Times New Roman"/>
          <w:b/>
          <w:bCs/>
          <w:sz w:val="20"/>
          <w:szCs w:val="20"/>
        </w:rPr>
        <w:t xml:space="preserve">Supplemental </w:t>
      </w:r>
      <w:r w:rsidR="00311EE7" w:rsidRPr="00A51DE8">
        <w:rPr>
          <w:rFonts w:ascii="Times New Roman" w:hAnsi="Times New Roman" w:cs="Times New Roman"/>
          <w:b/>
          <w:bCs/>
          <w:sz w:val="20"/>
          <w:szCs w:val="20"/>
        </w:rPr>
        <w:t>Fig.</w:t>
      </w:r>
      <w:r w:rsidR="00133311" w:rsidRPr="00A51DE8">
        <w:rPr>
          <w:rFonts w:ascii="Times New Roman" w:hAnsi="Times New Roman" w:cs="Times New Roman"/>
          <w:b/>
          <w:bCs/>
          <w:sz w:val="20"/>
          <w:szCs w:val="20"/>
        </w:rPr>
        <w:t>7</w:t>
      </w:r>
      <w:r w:rsidR="00311EE7" w:rsidRPr="00A51DE8">
        <w:rPr>
          <w:rFonts w:ascii="Times New Roman" w:hAnsi="Times New Roman" w:cs="Times New Roman"/>
          <w:sz w:val="20"/>
          <w:szCs w:val="20"/>
        </w:rPr>
        <w:t xml:space="preserve">: Combo plot for model coefficients and expression level comparison for </w:t>
      </w:r>
      <w:r w:rsidR="00311EE7" w:rsidRPr="00A51DE8">
        <w:rPr>
          <w:rFonts w:ascii="Times New Roman" w:hAnsi="Times New Roman" w:cs="Times New Roman"/>
          <w:b/>
          <w:bCs/>
          <w:sz w:val="20"/>
          <w:szCs w:val="20"/>
        </w:rPr>
        <w:t>RP</w:t>
      </w:r>
      <w:r w:rsidR="009333B3" w:rsidRPr="00A51DE8">
        <w:rPr>
          <w:rFonts w:ascii="Times New Roman" w:hAnsi="Times New Roman" w:cs="Times New Roman"/>
          <w:b/>
          <w:bCs/>
          <w:sz w:val="20"/>
          <w:szCs w:val="20"/>
        </w:rPr>
        <w:t xml:space="preserve"> </w:t>
      </w:r>
      <w:r w:rsidR="00311EE7" w:rsidRPr="00A51DE8">
        <w:rPr>
          <w:rFonts w:ascii="Times New Roman" w:hAnsi="Times New Roman" w:cs="Times New Roman"/>
          <w:b/>
          <w:bCs/>
          <w:sz w:val="20"/>
          <w:szCs w:val="20"/>
        </w:rPr>
        <w:t>(+)</w:t>
      </w:r>
      <w:r w:rsidR="00311EE7" w:rsidRPr="00A51DE8">
        <w:rPr>
          <w:rFonts w:ascii="Times New Roman" w:hAnsi="Times New Roman" w:cs="Times New Roman"/>
          <w:sz w:val="20"/>
          <w:szCs w:val="20"/>
        </w:rPr>
        <w:t xml:space="preserve"> differential metabolites with FDR &lt; 0.05 &amp; absolute slope &gt;= 0.5. </w:t>
      </w:r>
      <w:r w:rsidR="00311EE7" w:rsidRPr="00A51DE8">
        <w:rPr>
          <w:rFonts w:ascii="Times New Roman" w:hAnsi="Times New Roman" w:cs="Times New Roman"/>
          <w:b/>
          <w:bCs/>
          <w:sz w:val="20"/>
          <w:szCs w:val="20"/>
        </w:rPr>
        <w:t>Top</w:t>
      </w:r>
      <w:r w:rsidR="00311EE7" w:rsidRPr="00A51DE8">
        <w:rPr>
          <w:rFonts w:ascii="Times New Roman" w:hAnsi="Times New Roman" w:cs="Times New Roman"/>
          <w:sz w:val="20"/>
          <w:szCs w:val="20"/>
        </w:rPr>
        <w:t xml:space="preserve">) Lollipop plot for model coefficients’ size and direction comparing Hispanic samples to </w:t>
      </w:r>
      <w:r w:rsidR="002976BD" w:rsidRPr="00A51DE8">
        <w:rPr>
          <w:rFonts w:ascii="Times New Roman" w:hAnsi="Times New Roman" w:cs="Times New Roman"/>
          <w:sz w:val="20"/>
          <w:szCs w:val="20"/>
        </w:rPr>
        <w:t>non-</w:t>
      </w:r>
      <w:r w:rsidR="00311EE7" w:rsidRPr="00A51DE8">
        <w:rPr>
          <w:rFonts w:ascii="Times New Roman" w:hAnsi="Times New Roman" w:cs="Times New Roman"/>
          <w:sz w:val="20"/>
          <w:szCs w:val="20"/>
        </w:rPr>
        <w:t xml:space="preserve">Hispanics where negative and positive y values indicated downregulation and upregulation, respectively; </w:t>
      </w:r>
      <w:r w:rsidR="00311EE7" w:rsidRPr="00A51DE8">
        <w:rPr>
          <w:rFonts w:ascii="Times New Roman" w:hAnsi="Times New Roman" w:cs="Times New Roman"/>
          <w:b/>
          <w:bCs/>
          <w:sz w:val="20"/>
          <w:szCs w:val="20"/>
        </w:rPr>
        <w:t>Bottom</w:t>
      </w:r>
      <w:r w:rsidR="00311EE7" w:rsidRPr="00A51DE8">
        <w:rPr>
          <w:rFonts w:ascii="Times New Roman" w:hAnsi="Times New Roman" w:cs="Times New Roman"/>
          <w:sz w:val="20"/>
          <w:szCs w:val="20"/>
        </w:rPr>
        <w:t>) Hispanic group was colored in red and non-Hispanic group was colored in blue. Asterisks indicated statistical significance as determined by the Wilcox test for two sample mean comparison; black dots indicated potential outliers</w:t>
      </w:r>
      <w:r w:rsidR="00B87BAD" w:rsidRPr="00A51DE8">
        <w:rPr>
          <w:rFonts w:ascii="Times New Roman" w:hAnsi="Times New Roman" w:cs="Times New Roman"/>
          <w:sz w:val="20"/>
          <w:szCs w:val="20"/>
        </w:rPr>
        <w:t>.</w:t>
      </w:r>
    </w:p>
    <w:p w14:paraId="6A9D7B92" w14:textId="458B9473" w:rsidR="00C3650F" w:rsidRPr="00A51DE8" w:rsidRDefault="00C3650F" w:rsidP="00C3650F">
      <w:pPr>
        <w:rPr>
          <w:rFonts w:ascii="Times New Roman" w:hAnsi="Times New Roman" w:cs="Times New Roman"/>
          <w:sz w:val="20"/>
          <w:szCs w:val="20"/>
        </w:rPr>
      </w:pPr>
      <w:r w:rsidRPr="00A51DE8">
        <w:rPr>
          <w:rFonts w:ascii="Times New Roman" w:hAnsi="Times New Roman" w:cs="Times New Roman"/>
          <w:sz w:val="20"/>
          <w:szCs w:val="20"/>
        </w:rPr>
        <w:t xml:space="preserve">Supplemental Fig.6 and Fig.7 showcase the directionality and statistical magnitudes of the top differential urinary features from HILIC (-) mode. The Top figure demonstrates the results from the main model after adjusting for possible confounders, including age, BMI, and so on, whereas the Bottom figure was a raw comparison between two ethnic groups. For example, D-Sorbitol was reported to have statistically higher levels in Hispanic firefighter than non-Hispanic firefighters from the Bottom figure. The top figure reported the same direction of change for D-Sorbitol in Hispanics. This plot adds to our confidence towards the main model and overall analytical process.  </w:t>
      </w:r>
    </w:p>
    <w:p w14:paraId="4BCCC398" w14:textId="77777777" w:rsidR="00311EE7" w:rsidRPr="00A51DE8" w:rsidRDefault="00311EE7" w:rsidP="00311EE7">
      <w:pPr>
        <w:rPr>
          <w:rFonts w:ascii="Times New Roman" w:hAnsi="Times New Roman" w:cs="Times New Roman"/>
          <w:sz w:val="20"/>
          <w:szCs w:val="20"/>
        </w:rPr>
      </w:pPr>
    </w:p>
    <w:p w14:paraId="11545069" w14:textId="77777777" w:rsidR="00C3650F" w:rsidRPr="00A51DE8" w:rsidRDefault="00C3650F" w:rsidP="00311EE7">
      <w:pPr>
        <w:rPr>
          <w:rFonts w:ascii="Times New Roman" w:hAnsi="Times New Roman" w:cs="Times New Roman"/>
          <w:sz w:val="20"/>
          <w:szCs w:val="20"/>
        </w:rPr>
      </w:pPr>
    </w:p>
    <w:p w14:paraId="3BE4E01A" w14:textId="77777777" w:rsidR="00944CE7" w:rsidRPr="00A51DE8" w:rsidRDefault="00944CE7" w:rsidP="00311EE7">
      <w:pPr>
        <w:rPr>
          <w:rFonts w:ascii="Times New Roman" w:hAnsi="Times New Roman" w:cs="Times New Roman"/>
          <w:sz w:val="20"/>
          <w:szCs w:val="20"/>
        </w:rPr>
      </w:pPr>
    </w:p>
    <w:p w14:paraId="0CE5C1D5" w14:textId="77777777" w:rsidR="00944CE7" w:rsidRPr="00A51DE8" w:rsidRDefault="00944CE7" w:rsidP="00311EE7">
      <w:pPr>
        <w:rPr>
          <w:rFonts w:ascii="Times New Roman" w:hAnsi="Times New Roman" w:cs="Times New Roman"/>
          <w:sz w:val="20"/>
          <w:szCs w:val="20"/>
        </w:rPr>
      </w:pPr>
    </w:p>
    <w:p w14:paraId="6C2D3235" w14:textId="77777777" w:rsidR="00C3650F" w:rsidRPr="00A51DE8" w:rsidRDefault="00C3650F" w:rsidP="00311EE7">
      <w:pPr>
        <w:rPr>
          <w:rFonts w:ascii="Times New Roman" w:hAnsi="Times New Roman" w:cs="Times New Roman"/>
          <w:sz w:val="20"/>
          <w:szCs w:val="20"/>
        </w:rPr>
      </w:pPr>
    </w:p>
    <w:p w14:paraId="22F2E358" w14:textId="77777777" w:rsidR="002B21C6" w:rsidRPr="00A51DE8" w:rsidRDefault="002B21C6" w:rsidP="00311EE7">
      <w:pPr>
        <w:rPr>
          <w:rFonts w:ascii="Times New Roman" w:hAnsi="Times New Roman" w:cs="Times New Roman"/>
          <w:noProof/>
          <w:sz w:val="20"/>
          <w:szCs w:val="20"/>
        </w:rPr>
      </w:pPr>
    </w:p>
    <w:p w14:paraId="47A2FC79" w14:textId="1CEC0967" w:rsidR="00967286" w:rsidRPr="00A51DE8" w:rsidRDefault="00000000" w:rsidP="00311EE7">
      <w:pPr>
        <w:rPr>
          <w:rFonts w:ascii="Times New Roman" w:hAnsi="Times New Roman" w:cs="Times New Roman"/>
          <w:noProof/>
          <w:sz w:val="20"/>
          <w:szCs w:val="20"/>
        </w:rPr>
      </w:pPr>
      <w:r>
        <w:rPr>
          <w:rFonts w:ascii="Times New Roman" w:hAnsi="Times New Roman" w:cs="Times New Roman"/>
          <w:noProof/>
          <w:sz w:val="20"/>
          <w:szCs w:val="20"/>
        </w:rPr>
        <w:lastRenderedPageBreak/>
        <w:pict w14:anchorId="56C2C6B3">
          <v:shapetype id="_x0000_t202" coordsize="21600,21600" o:spt="202" path="m,l,21600r21600,l21600,xe">
            <v:stroke joinstyle="miter"/>
            <v:path gradientshapeok="t" o:connecttype="rect"/>
          </v:shapetype>
          <v:shape id="_x0000_s1029" type="#_x0000_t202" style="position:absolute;margin-left:0;margin-top:252.65pt;width:437.3pt;height:.05pt;z-index:251666432;mso-position-horizontal-relative:text;mso-position-vertical-relative:text" stroked="f">
            <v:textbox style="mso-fit-shape-to-text:t" inset="0,0,0,0">
              <w:txbxContent>
                <w:p w14:paraId="094DAB48" w14:textId="32171C0D" w:rsidR="00C3650F" w:rsidRPr="00EB5286" w:rsidRDefault="00C3650F" w:rsidP="00C3650F">
                  <w:pPr>
                    <w:pStyle w:val="Caption"/>
                    <w:rPr>
                      <w:b/>
                      <w:bCs/>
                      <w:noProof/>
                      <w:szCs w:val="22"/>
                    </w:rPr>
                  </w:pPr>
                  <w:r w:rsidRPr="00133311">
                    <w:rPr>
                      <w:b/>
                      <w:bCs/>
                    </w:rPr>
                    <w:t>Supplemental Fig.8</w:t>
                  </w:r>
                  <w:r>
                    <w:t xml:space="preserve">: </w:t>
                  </w:r>
                  <w:r w:rsidRPr="007C1B48">
                    <w:t xml:space="preserve">Sample-wise total abundance by injection order in </w:t>
                  </w:r>
                  <w:proofErr w:type="gramStart"/>
                  <w:r w:rsidRPr="007C1B48">
                    <w:t>HILIC(</w:t>
                  </w:r>
                  <w:proofErr w:type="gramEnd"/>
                  <w:r w:rsidRPr="007C1B48">
                    <w:t xml:space="preserve">-) mode.  Abundance was standardized and the set colored in red marks the sample set analyzed in May and the set colored in blue in August. </w:t>
                  </w:r>
                  <w:r>
                    <w:t>Although random fluctuations were observed within sets, there were no clear patterns of fluctuation in the total abundance across sets.</w:t>
                  </w:r>
                </w:p>
              </w:txbxContent>
            </v:textbox>
            <w10:wrap type="topAndBottom"/>
          </v:shape>
        </w:pict>
      </w:r>
      <w:r w:rsidR="00C3650F" w:rsidRPr="00A51DE8">
        <w:rPr>
          <w:rFonts w:ascii="Times New Roman" w:hAnsi="Times New Roman" w:cs="Times New Roman"/>
          <w:b/>
          <w:bCs/>
          <w:noProof/>
          <w:sz w:val="20"/>
          <w:szCs w:val="20"/>
        </w:rPr>
        <w:drawing>
          <wp:anchor distT="0" distB="0" distL="0" distR="0" simplePos="0" relativeHeight="251658752" behindDoc="0" locked="0" layoutInCell="1" allowOverlap="1" wp14:anchorId="21198A65" wp14:editId="6BDEF5C4">
            <wp:simplePos x="0" y="0"/>
            <wp:positionH relativeFrom="page">
              <wp:posOffset>914400</wp:posOffset>
            </wp:positionH>
            <wp:positionV relativeFrom="paragraph">
              <wp:posOffset>301625</wp:posOffset>
            </wp:positionV>
            <wp:extent cx="5553710" cy="2849880"/>
            <wp:effectExtent l="0" t="0" r="0" b="0"/>
            <wp:wrapTopAndBottom/>
            <wp:docPr id="15" name="image8.jpeg"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jpeg" descr="A screen shot of a graph&#10;&#10;Description automatically generated"/>
                    <pic:cNvPicPr/>
                  </pic:nvPicPr>
                  <pic:blipFill rotWithShape="1">
                    <a:blip r:embed="rId8" cstate="print"/>
                    <a:srcRect t="7220"/>
                    <a:stretch/>
                  </pic:blipFill>
                  <pic:spPr bwMode="auto">
                    <a:xfrm>
                      <a:off x="0" y="0"/>
                      <a:ext cx="5553710" cy="284988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FB0F219" w14:textId="77777777" w:rsidR="002B21C6" w:rsidRPr="00A51DE8" w:rsidRDefault="002B21C6" w:rsidP="002B21C6">
      <w:pPr>
        <w:keepNext/>
        <w:rPr>
          <w:rFonts w:ascii="Times New Roman" w:hAnsi="Times New Roman" w:cs="Times New Roman"/>
          <w:sz w:val="20"/>
          <w:szCs w:val="20"/>
        </w:rPr>
      </w:pPr>
      <w:r w:rsidRPr="00A51DE8">
        <w:rPr>
          <w:rFonts w:ascii="Times New Roman" w:hAnsi="Times New Roman" w:cs="Times New Roman"/>
          <w:noProof/>
          <w:sz w:val="20"/>
          <w:szCs w:val="20"/>
        </w:rPr>
        <w:drawing>
          <wp:inline distT="0" distB="0" distL="0" distR="0" wp14:anchorId="52074782" wp14:editId="0DE804E4">
            <wp:extent cx="5554237" cy="2900923"/>
            <wp:effectExtent l="0" t="0" r="0" b="0"/>
            <wp:docPr id="17" name="image9.jpeg" descr="A sound waveform with red and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jpeg" descr="A sound waveform with red and blue lines&#10;&#10;Description automatically generated"/>
                    <pic:cNvPicPr/>
                  </pic:nvPicPr>
                  <pic:blipFill rotWithShape="1">
                    <a:blip r:embed="rId9" cstate="print"/>
                    <a:srcRect t="5573"/>
                    <a:stretch/>
                  </pic:blipFill>
                  <pic:spPr bwMode="auto">
                    <a:xfrm>
                      <a:off x="0" y="0"/>
                      <a:ext cx="5554694" cy="2901162"/>
                    </a:xfrm>
                    <a:prstGeom prst="rect">
                      <a:avLst/>
                    </a:prstGeom>
                    <a:ln>
                      <a:noFill/>
                    </a:ln>
                    <a:extLst>
                      <a:ext uri="{53640926-AAD7-44D8-BBD7-CCE9431645EC}">
                        <a14:shadowObscured xmlns:a14="http://schemas.microsoft.com/office/drawing/2010/main"/>
                      </a:ext>
                    </a:extLst>
                  </pic:spPr>
                </pic:pic>
              </a:graphicData>
            </a:graphic>
          </wp:inline>
        </w:drawing>
      </w:r>
    </w:p>
    <w:p w14:paraId="00ABD628" w14:textId="0CE1A0DC" w:rsidR="00FA2F4D" w:rsidRPr="00A51DE8" w:rsidRDefault="00736ABB" w:rsidP="00FA2F4D">
      <w:pPr>
        <w:pStyle w:val="Caption"/>
        <w:jc w:val="both"/>
        <w:rPr>
          <w:rFonts w:ascii="Times New Roman" w:hAnsi="Times New Roman" w:cs="Times New Roman"/>
          <w:noProof/>
          <w:sz w:val="20"/>
          <w:szCs w:val="20"/>
        </w:rPr>
      </w:pPr>
      <w:r w:rsidRPr="00A51DE8">
        <w:rPr>
          <w:rFonts w:ascii="Times New Roman" w:hAnsi="Times New Roman" w:cs="Times New Roman"/>
          <w:b/>
          <w:bCs/>
          <w:sz w:val="20"/>
          <w:szCs w:val="20"/>
        </w:rPr>
        <w:t xml:space="preserve">Supplemental </w:t>
      </w:r>
      <w:r w:rsidR="002B21C6" w:rsidRPr="00A51DE8">
        <w:rPr>
          <w:rFonts w:ascii="Times New Roman" w:hAnsi="Times New Roman" w:cs="Times New Roman"/>
          <w:b/>
          <w:bCs/>
          <w:sz w:val="20"/>
          <w:szCs w:val="20"/>
        </w:rPr>
        <w:t>Fig.</w:t>
      </w:r>
      <w:r w:rsidR="00133311" w:rsidRPr="00A51DE8">
        <w:rPr>
          <w:rFonts w:ascii="Times New Roman" w:hAnsi="Times New Roman" w:cs="Times New Roman"/>
          <w:b/>
          <w:bCs/>
          <w:sz w:val="20"/>
          <w:szCs w:val="20"/>
        </w:rPr>
        <w:t>9</w:t>
      </w:r>
      <w:r w:rsidR="002B21C6" w:rsidRPr="00A51DE8">
        <w:rPr>
          <w:rFonts w:ascii="Times New Roman" w:hAnsi="Times New Roman" w:cs="Times New Roman"/>
          <w:sz w:val="20"/>
          <w:szCs w:val="20"/>
        </w:rPr>
        <w:t xml:space="preserve">: </w:t>
      </w:r>
      <w:r w:rsidR="00D62C44" w:rsidRPr="00A51DE8">
        <w:rPr>
          <w:rFonts w:ascii="Times New Roman" w:hAnsi="Times New Roman" w:cs="Times New Roman"/>
          <w:sz w:val="20"/>
          <w:szCs w:val="20"/>
        </w:rPr>
        <w:t>Sample-wise</w:t>
      </w:r>
      <w:r w:rsidR="002B21C6" w:rsidRPr="00A51DE8">
        <w:rPr>
          <w:rFonts w:ascii="Times New Roman" w:hAnsi="Times New Roman" w:cs="Times New Roman"/>
          <w:sz w:val="20"/>
          <w:szCs w:val="20"/>
        </w:rPr>
        <w:t xml:space="preserve"> abundance plot by injection order in </w:t>
      </w:r>
      <w:proofErr w:type="gramStart"/>
      <w:r w:rsidR="002B21C6" w:rsidRPr="00A51DE8">
        <w:rPr>
          <w:rFonts w:ascii="Times New Roman" w:hAnsi="Times New Roman" w:cs="Times New Roman"/>
          <w:sz w:val="20"/>
          <w:szCs w:val="20"/>
        </w:rPr>
        <w:t>RP(</w:t>
      </w:r>
      <w:proofErr w:type="gramEnd"/>
      <w:r w:rsidR="002B21C6" w:rsidRPr="00A51DE8">
        <w:rPr>
          <w:rFonts w:ascii="Times New Roman" w:hAnsi="Times New Roman" w:cs="Times New Roman"/>
          <w:sz w:val="20"/>
          <w:szCs w:val="20"/>
        </w:rPr>
        <w:t xml:space="preserve">+) mode. </w:t>
      </w:r>
      <w:r w:rsidR="00D62C44" w:rsidRPr="00A51DE8">
        <w:rPr>
          <w:rFonts w:ascii="Times New Roman" w:hAnsi="Times New Roman" w:cs="Times New Roman"/>
          <w:sz w:val="20"/>
          <w:szCs w:val="20"/>
        </w:rPr>
        <w:t>Abundance was standardized and t</w:t>
      </w:r>
      <w:r w:rsidR="00FA2F4D" w:rsidRPr="00A51DE8">
        <w:rPr>
          <w:rFonts w:ascii="Times New Roman" w:hAnsi="Times New Roman" w:cs="Times New Roman"/>
          <w:sz w:val="20"/>
          <w:szCs w:val="20"/>
        </w:rPr>
        <w:t>he set colored in red marks the sample set analyzed in May and the set colored in blue in August. Although random fluctuations were observed within sets, there were no clear patterns of fluctuation in the total abundance across sets.</w:t>
      </w:r>
    </w:p>
    <w:p w14:paraId="52ACD4F6" w14:textId="689739BE" w:rsidR="00A51DE8" w:rsidRPr="00A51DE8" w:rsidRDefault="00A51DE8" w:rsidP="00A51DE8">
      <w:pPr>
        <w:rPr>
          <w:rFonts w:ascii="Times New Roman" w:hAnsi="Times New Roman" w:cs="Times New Roman"/>
          <w:sz w:val="20"/>
          <w:szCs w:val="20"/>
        </w:rPr>
      </w:pPr>
      <w:r w:rsidRPr="00A51DE8">
        <w:rPr>
          <w:rFonts w:ascii="Times New Roman" w:hAnsi="Times New Roman" w:cs="Times New Roman"/>
          <w:sz w:val="20"/>
          <w:szCs w:val="20"/>
        </w:rPr>
        <w:t xml:space="preserve">Supplemental Fig.8 and Fig.9 </w:t>
      </w:r>
      <w:r w:rsidR="000765BA">
        <w:rPr>
          <w:rFonts w:ascii="Times New Roman" w:hAnsi="Times New Roman" w:cs="Times New Roman"/>
          <w:sz w:val="20"/>
          <w:szCs w:val="20"/>
        </w:rPr>
        <w:t>present</w:t>
      </w:r>
      <w:r w:rsidRPr="00A51DE8">
        <w:rPr>
          <w:rFonts w:ascii="Times New Roman" w:hAnsi="Times New Roman" w:cs="Times New Roman"/>
          <w:sz w:val="20"/>
          <w:szCs w:val="20"/>
        </w:rPr>
        <w:t xml:space="preserve"> the </w:t>
      </w:r>
      <w:r w:rsidR="00443B1D">
        <w:rPr>
          <w:rFonts w:ascii="Times New Roman" w:hAnsi="Times New Roman" w:cs="Times New Roman"/>
          <w:sz w:val="20"/>
          <w:szCs w:val="20"/>
        </w:rPr>
        <w:t xml:space="preserve">set-wise variation of </w:t>
      </w:r>
      <w:proofErr w:type="gramStart"/>
      <w:r w:rsidR="00443B1D">
        <w:rPr>
          <w:rFonts w:ascii="Times New Roman" w:hAnsi="Times New Roman" w:cs="Times New Roman"/>
          <w:sz w:val="20"/>
          <w:szCs w:val="20"/>
        </w:rPr>
        <w:t>HILIC(</w:t>
      </w:r>
      <w:proofErr w:type="gramEnd"/>
      <w:r w:rsidR="00443B1D">
        <w:rPr>
          <w:rFonts w:ascii="Times New Roman" w:hAnsi="Times New Roman" w:cs="Times New Roman"/>
          <w:sz w:val="20"/>
          <w:szCs w:val="20"/>
        </w:rPr>
        <w:t>-) and RP(+) by sample injection order. We ran our urine samples in two sets of batches in two separate months, May and August, due to maintenance needs of the LC-MS platform. No unacceptable set-by-set variations were observed which guaranteed data quality.</w:t>
      </w:r>
    </w:p>
    <w:p w14:paraId="7F7F3D60" w14:textId="77777777" w:rsidR="00A51DE8" w:rsidRPr="00A51DE8" w:rsidRDefault="00A51DE8" w:rsidP="00A51DE8">
      <w:pPr>
        <w:rPr>
          <w:rFonts w:ascii="Times New Roman" w:hAnsi="Times New Roman" w:cs="Times New Roman"/>
          <w:sz w:val="20"/>
          <w:szCs w:val="20"/>
        </w:rPr>
      </w:pPr>
    </w:p>
    <w:p w14:paraId="6D830A8B" w14:textId="5B43746D" w:rsidR="00311EE7" w:rsidRPr="00A51DE8" w:rsidRDefault="00311EE7" w:rsidP="002B21C6">
      <w:pPr>
        <w:pStyle w:val="Caption"/>
        <w:rPr>
          <w:rFonts w:ascii="Times New Roman" w:hAnsi="Times New Roman" w:cs="Times New Roman"/>
          <w:i w:val="0"/>
          <w:iCs w:val="0"/>
          <w:sz w:val="20"/>
          <w:szCs w:val="20"/>
        </w:rPr>
      </w:pPr>
    </w:p>
    <w:p w14:paraId="6DA28F4B" w14:textId="77777777" w:rsidR="00B02DD9" w:rsidRPr="00A51DE8" w:rsidRDefault="00B02DD9" w:rsidP="00B02DD9">
      <w:pPr>
        <w:keepNext/>
        <w:rPr>
          <w:rFonts w:ascii="Times New Roman" w:hAnsi="Times New Roman" w:cs="Times New Roman"/>
          <w:sz w:val="20"/>
          <w:szCs w:val="20"/>
        </w:rPr>
      </w:pPr>
      <w:r w:rsidRPr="00A51DE8">
        <w:rPr>
          <w:rFonts w:ascii="Times New Roman" w:hAnsi="Times New Roman" w:cs="Times New Roman"/>
          <w:noProof/>
          <w:sz w:val="20"/>
          <w:szCs w:val="20"/>
        </w:rPr>
        <w:drawing>
          <wp:inline distT="0" distB="0" distL="0" distR="0" wp14:anchorId="64DB8E50" wp14:editId="20C05F71">
            <wp:extent cx="5939790" cy="3168015"/>
            <wp:effectExtent l="0" t="0" r="0" b="0"/>
            <wp:docPr id="1944159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9790" cy="3168015"/>
                    </a:xfrm>
                    <a:prstGeom prst="rect">
                      <a:avLst/>
                    </a:prstGeom>
                    <a:noFill/>
                    <a:ln>
                      <a:noFill/>
                    </a:ln>
                  </pic:spPr>
                </pic:pic>
              </a:graphicData>
            </a:graphic>
          </wp:inline>
        </w:drawing>
      </w:r>
    </w:p>
    <w:p w14:paraId="2768D9D0" w14:textId="24131DBF" w:rsidR="00311EE7" w:rsidRPr="00A51DE8" w:rsidRDefault="00736ABB" w:rsidP="00B02DD9">
      <w:pPr>
        <w:pStyle w:val="Caption"/>
        <w:rPr>
          <w:rFonts w:ascii="Times New Roman" w:hAnsi="Times New Roman" w:cs="Times New Roman"/>
          <w:sz w:val="20"/>
          <w:szCs w:val="20"/>
        </w:rPr>
      </w:pPr>
      <w:r w:rsidRPr="00A51DE8">
        <w:rPr>
          <w:rFonts w:ascii="Times New Roman" w:hAnsi="Times New Roman" w:cs="Times New Roman"/>
          <w:b/>
          <w:bCs/>
          <w:sz w:val="20"/>
          <w:szCs w:val="20"/>
        </w:rPr>
        <w:t xml:space="preserve">Supplemental </w:t>
      </w:r>
      <w:r w:rsidR="00B02DD9" w:rsidRPr="00A51DE8">
        <w:rPr>
          <w:rFonts w:ascii="Times New Roman" w:hAnsi="Times New Roman" w:cs="Times New Roman"/>
          <w:b/>
          <w:bCs/>
          <w:sz w:val="20"/>
          <w:szCs w:val="20"/>
        </w:rPr>
        <w:t>Fig.</w:t>
      </w:r>
      <w:r w:rsidR="00ED1F7D" w:rsidRPr="00A51DE8">
        <w:rPr>
          <w:rFonts w:ascii="Times New Roman" w:hAnsi="Times New Roman" w:cs="Times New Roman"/>
          <w:b/>
          <w:bCs/>
          <w:sz w:val="20"/>
          <w:szCs w:val="20"/>
        </w:rPr>
        <w:t>10</w:t>
      </w:r>
      <w:r w:rsidR="00B02DD9" w:rsidRPr="00A51DE8">
        <w:rPr>
          <w:rFonts w:ascii="Times New Roman" w:hAnsi="Times New Roman" w:cs="Times New Roman"/>
          <w:sz w:val="20"/>
          <w:szCs w:val="20"/>
        </w:rPr>
        <w:t xml:space="preserve">: Relative abundance plot in </w:t>
      </w:r>
      <w:proofErr w:type="gramStart"/>
      <w:r w:rsidR="00B02DD9" w:rsidRPr="00A51DE8">
        <w:rPr>
          <w:rFonts w:ascii="Times New Roman" w:hAnsi="Times New Roman" w:cs="Times New Roman"/>
          <w:sz w:val="20"/>
          <w:szCs w:val="20"/>
        </w:rPr>
        <w:t>HILIC(</w:t>
      </w:r>
      <w:proofErr w:type="gramEnd"/>
      <w:r w:rsidR="00B02DD9" w:rsidRPr="00A51DE8">
        <w:rPr>
          <w:rFonts w:ascii="Times New Roman" w:hAnsi="Times New Roman" w:cs="Times New Roman"/>
          <w:sz w:val="20"/>
          <w:szCs w:val="20"/>
        </w:rPr>
        <w:t>-) mode for the comparison of normalization effects from various techniques. Normalized techniques applied included (from top to bottom) raw, quality control–based robust LOESS signal correction (</w:t>
      </w:r>
      <w:proofErr w:type="spellStart"/>
      <w:r w:rsidR="00B02DD9" w:rsidRPr="00A51DE8">
        <w:rPr>
          <w:rFonts w:ascii="Times New Roman" w:hAnsi="Times New Roman" w:cs="Times New Roman"/>
          <w:sz w:val="20"/>
          <w:szCs w:val="20"/>
        </w:rPr>
        <w:t>rlsc</w:t>
      </w:r>
      <w:proofErr w:type="spellEnd"/>
      <w:r w:rsidR="00B02DD9" w:rsidRPr="00A51DE8">
        <w:rPr>
          <w:rFonts w:ascii="Times New Roman" w:hAnsi="Times New Roman" w:cs="Times New Roman"/>
          <w:sz w:val="20"/>
          <w:szCs w:val="20"/>
        </w:rPr>
        <w:t xml:space="preserve">), median scaling (med), combination of </w:t>
      </w:r>
      <w:proofErr w:type="spellStart"/>
      <w:r w:rsidR="00B02DD9" w:rsidRPr="00A51DE8">
        <w:rPr>
          <w:rFonts w:ascii="Times New Roman" w:hAnsi="Times New Roman" w:cs="Times New Roman"/>
          <w:sz w:val="20"/>
          <w:szCs w:val="20"/>
        </w:rPr>
        <w:t>rlsc</w:t>
      </w:r>
      <w:proofErr w:type="spellEnd"/>
      <w:r w:rsidR="00B02DD9" w:rsidRPr="00A51DE8">
        <w:rPr>
          <w:rFonts w:ascii="Times New Roman" w:hAnsi="Times New Roman" w:cs="Times New Roman"/>
          <w:sz w:val="20"/>
          <w:szCs w:val="20"/>
        </w:rPr>
        <w:t xml:space="preserve"> and median scaling. We observed inner- and inter-batch fluctuations. The method </w:t>
      </w:r>
      <w:proofErr w:type="spellStart"/>
      <w:r w:rsidR="00B02DD9" w:rsidRPr="00A51DE8">
        <w:rPr>
          <w:rFonts w:ascii="Times New Roman" w:hAnsi="Times New Roman" w:cs="Times New Roman"/>
          <w:sz w:val="20"/>
          <w:szCs w:val="20"/>
        </w:rPr>
        <w:t>rlsc</w:t>
      </w:r>
      <w:proofErr w:type="spellEnd"/>
      <w:r w:rsidR="00B02DD9" w:rsidRPr="00A51DE8">
        <w:rPr>
          <w:rFonts w:ascii="Times New Roman" w:hAnsi="Times New Roman" w:cs="Times New Roman"/>
          <w:sz w:val="20"/>
          <w:szCs w:val="20"/>
        </w:rPr>
        <w:t xml:space="preserve"> alone did not achieve satisfying variability stabilization. Median scaling and a combination of </w:t>
      </w:r>
      <w:proofErr w:type="spellStart"/>
      <w:r w:rsidR="00B02DD9" w:rsidRPr="00A51DE8">
        <w:rPr>
          <w:rFonts w:ascii="Times New Roman" w:hAnsi="Times New Roman" w:cs="Times New Roman"/>
          <w:sz w:val="20"/>
          <w:szCs w:val="20"/>
        </w:rPr>
        <w:t>rlsc</w:t>
      </w:r>
      <w:proofErr w:type="spellEnd"/>
      <w:r w:rsidR="00B02DD9" w:rsidRPr="00A51DE8">
        <w:rPr>
          <w:rFonts w:ascii="Times New Roman" w:hAnsi="Times New Roman" w:cs="Times New Roman"/>
          <w:sz w:val="20"/>
          <w:szCs w:val="20"/>
        </w:rPr>
        <w:t xml:space="preserve"> and median scaling resulted in similar stabilizing effects. </w:t>
      </w:r>
    </w:p>
    <w:p w14:paraId="2354146C" w14:textId="77777777" w:rsidR="00C84E62" w:rsidRPr="00A51DE8" w:rsidRDefault="00C84E62" w:rsidP="00C84E62">
      <w:pPr>
        <w:keepNext/>
        <w:rPr>
          <w:rFonts w:ascii="Times New Roman" w:hAnsi="Times New Roman" w:cs="Times New Roman"/>
          <w:sz w:val="20"/>
          <w:szCs w:val="20"/>
        </w:rPr>
      </w:pPr>
      <w:r w:rsidRPr="00A51DE8">
        <w:rPr>
          <w:rFonts w:ascii="Times New Roman" w:hAnsi="Times New Roman" w:cs="Times New Roman"/>
          <w:noProof/>
          <w:sz w:val="20"/>
          <w:szCs w:val="20"/>
        </w:rPr>
        <w:lastRenderedPageBreak/>
        <w:drawing>
          <wp:inline distT="0" distB="0" distL="0" distR="0" wp14:anchorId="7F9DF92B" wp14:editId="5D8B18D2">
            <wp:extent cx="5939790" cy="3168015"/>
            <wp:effectExtent l="0" t="0" r="0" b="0"/>
            <wp:docPr id="9470570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9790" cy="3168015"/>
                    </a:xfrm>
                    <a:prstGeom prst="rect">
                      <a:avLst/>
                    </a:prstGeom>
                    <a:noFill/>
                    <a:ln>
                      <a:noFill/>
                    </a:ln>
                  </pic:spPr>
                </pic:pic>
              </a:graphicData>
            </a:graphic>
          </wp:inline>
        </w:drawing>
      </w:r>
    </w:p>
    <w:p w14:paraId="7B003530" w14:textId="051D37B2" w:rsidR="00CE7D0E" w:rsidRPr="00A51DE8" w:rsidRDefault="00736ABB" w:rsidP="00ED1F7D">
      <w:pPr>
        <w:pStyle w:val="Caption"/>
        <w:rPr>
          <w:rFonts w:ascii="Times New Roman" w:hAnsi="Times New Roman" w:cs="Times New Roman"/>
          <w:sz w:val="20"/>
          <w:szCs w:val="20"/>
        </w:rPr>
      </w:pPr>
      <w:r w:rsidRPr="00A51DE8">
        <w:rPr>
          <w:rFonts w:ascii="Times New Roman" w:hAnsi="Times New Roman" w:cs="Times New Roman"/>
          <w:b/>
          <w:bCs/>
          <w:sz w:val="20"/>
          <w:szCs w:val="20"/>
        </w:rPr>
        <w:t xml:space="preserve">Supplemental </w:t>
      </w:r>
      <w:r w:rsidR="00C84E62" w:rsidRPr="00A51DE8">
        <w:rPr>
          <w:rFonts w:ascii="Times New Roman" w:hAnsi="Times New Roman" w:cs="Times New Roman"/>
          <w:b/>
          <w:bCs/>
          <w:sz w:val="20"/>
          <w:szCs w:val="20"/>
        </w:rPr>
        <w:t>Fig.</w:t>
      </w:r>
      <w:r w:rsidR="00ED1F7D" w:rsidRPr="00A51DE8">
        <w:rPr>
          <w:rFonts w:ascii="Times New Roman" w:hAnsi="Times New Roman" w:cs="Times New Roman"/>
          <w:b/>
          <w:bCs/>
          <w:sz w:val="20"/>
          <w:szCs w:val="20"/>
        </w:rPr>
        <w:t>11</w:t>
      </w:r>
      <w:r w:rsidR="00C84E62" w:rsidRPr="00A51DE8">
        <w:rPr>
          <w:rFonts w:ascii="Times New Roman" w:hAnsi="Times New Roman" w:cs="Times New Roman"/>
          <w:sz w:val="20"/>
          <w:szCs w:val="20"/>
        </w:rPr>
        <w:t xml:space="preserve">: Relative abundance plot in </w:t>
      </w:r>
      <w:proofErr w:type="gramStart"/>
      <w:r w:rsidR="00C84E62" w:rsidRPr="00A51DE8">
        <w:rPr>
          <w:rFonts w:ascii="Times New Roman" w:hAnsi="Times New Roman" w:cs="Times New Roman"/>
          <w:sz w:val="20"/>
          <w:szCs w:val="20"/>
        </w:rPr>
        <w:t>RP(</w:t>
      </w:r>
      <w:proofErr w:type="gramEnd"/>
      <w:r w:rsidR="00C84E62" w:rsidRPr="00A51DE8">
        <w:rPr>
          <w:rFonts w:ascii="Times New Roman" w:hAnsi="Times New Roman" w:cs="Times New Roman"/>
          <w:sz w:val="20"/>
          <w:szCs w:val="20"/>
        </w:rPr>
        <w:t>+) mode for the comparison of normalization effects from various techniques. Normalized techniques applied included (from top to bottom) raw, quality control–based robust LOESS signal correction (</w:t>
      </w:r>
      <w:proofErr w:type="spellStart"/>
      <w:r w:rsidR="00C84E62" w:rsidRPr="00A51DE8">
        <w:rPr>
          <w:rFonts w:ascii="Times New Roman" w:hAnsi="Times New Roman" w:cs="Times New Roman"/>
          <w:sz w:val="20"/>
          <w:szCs w:val="20"/>
        </w:rPr>
        <w:t>rlsc</w:t>
      </w:r>
      <w:proofErr w:type="spellEnd"/>
      <w:r w:rsidR="00C84E62" w:rsidRPr="00A51DE8">
        <w:rPr>
          <w:rFonts w:ascii="Times New Roman" w:hAnsi="Times New Roman" w:cs="Times New Roman"/>
          <w:sz w:val="20"/>
          <w:szCs w:val="20"/>
        </w:rPr>
        <w:t xml:space="preserve">), median scaling (med), combination of </w:t>
      </w:r>
      <w:proofErr w:type="spellStart"/>
      <w:r w:rsidR="00C84E62" w:rsidRPr="00A51DE8">
        <w:rPr>
          <w:rFonts w:ascii="Times New Roman" w:hAnsi="Times New Roman" w:cs="Times New Roman"/>
          <w:sz w:val="20"/>
          <w:szCs w:val="20"/>
        </w:rPr>
        <w:t>rlsc</w:t>
      </w:r>
      <w:proofErr w:type="spellEnd"/>
      <w:r w:rsidR="00C84E62" w:rsidRPr="00A51DE8">
        <w:rPr>
          <w:rFonts w:ascii="Times New Roman" w:hAnsi="Times New Roman" w:cs="Times New Roman"/>
          <w:sz w:val="20"/>
          <w:szCs w:val="20"/>
        </w:rPr>
        <w:t xml:space="preserve"> and median scaling. We observed inner- and inter-batch fluctuations. The method </w:t>
      </w:r>
      <w:proofErr w:type="spellStart"/>
      <w:r w:rsidR="00C84E62" w:rsidRPr="00A51DE8">
        <w:rPr>
          <w:rFonts w:ascii="Times New Roman" w:hAnsi="Times New Roman" w:cs="Times New Roman"/>
          <w:sz w:val="20"/>
          <w:szCs w:val="20"/>
        </w:rPr>
        <w:t>rlsc</w:t>
      </w:r>
      <w:proofErr w:type="spellEnd"/>
      <w:r w:rsidR="00C84E62" w:rsidRPr="00A51DE8">
        <w:rPr>
          <w:rFonts w:ascii="Times New Roman" w:hAnsi="Times New Roman" w:cs="Times New Roman"/>
          <w:sz w:val="20"/>
          <w:szCs w:val="20"/>
        </w:rPr>
        <w:t xml:space="preserve"> alone did not achieve satisfying variability stabilization. Median scaling and a combination of </w:t>
      </w:r>
      <w:proofErr w:type="spellStart"/>
      <w:r w:rsidR="00C84E62" w:rsidRPr="00A51DE8">
        <w:rPr>
          <w:rFonts w:ascii="Times New Roman" w:hAnsi="Times New Roman" w:cs="Times New Roman"/>
          <w:sz w:val="20"/>
          <w:szCs w:val="20"/>
        </w:rPr>
        <w:t>rlsc</w:t>
      </w:r>
      <w:proofErr w:type="spellEnd"/>
      <w:r w:rsidR="00C84E62" w:rsidRPr="00A51DE8">
        <w:rPr>
          <w:rFonts w:ascii="Times New Roman" w:hAnsi="Times New Roman" w:cs="Times New Roman"/>
          <w:sz w:val="20"/>
          <w:szCs w:val="20"/>
        </w:rPr>
        <w:t xml:space="preserve"> and median scaling resulted in similar stabilizing effects.</w:t>
      </w:r>
    </w:p>
    <w:p w14:paraId="6C1B36AC" w14:textId="6FE9D8FC" w:rsidR="00443B1D" w:rsidRPr="00A51DE8" w:rsidRDefault="00443B1D" w:rsidP="00443B1D">
      <w:pPr>
        <w:rPr>
          <w:rFonts w:ascii="Times New Roman" w:hAnsi="Times New Roman" w:cs="Times New Roman"/>
          <w:sz w:val="20"/>
          <w:szCs w:val="20"/>
        </w:rPr>
      </w:pPr>
      <w:r w:rsidRPr="00A51DE8">
        <w:rPr>
          <w:rFonts w:ascii="Times New Roman" w:hAnsi="Times New Roman" w:cs="Times New Roman"/>
          <w:sz w:val="20"/>
          <w:szCs w:val="20"/>
        </w:rPr>
        <w:t>Supplemental Fig.</w:t>
      </w:r>
      <w:r>
        <w:rPr>
          <w:rFonts w:ascii="Times New Roman" w:hAnsi="Times New Roman" w:cs="Times New Roman"/>
          <w:sz w:val="20"/>
          <w:szCs w:val="20"/>
        </w:rPr>
        <w:t>10</w:t>
      </w:r>
      <w:r w:rsidRPr="00A51DE8">
        <w:rPr>
          <w:rFonts w:ascii="Times New Roman" w:hAnsi="Times New Roman" w:cs="Times New Roman"/>
          <w:sz w:val="20"/>
          <w:szCs w:val="20"/>
        </w:rPr>
        <w:t xml:space="preserve"> and Fig.</w:t>
      </w:r>
      <w:r>
        <w:rPr>
          <w:rFonts w:ascii="Times New Roman" w:hAnsi="Times New Roman" w:cs="Times New Roman"/>
          <w:sz w:val="20"/>
          <w:szCs w:val="20"/>
        </w:rPr>
        <w:t>11</w:t>
      </w:r>
      <w:r w:rsidRPr="00A51DE8">
        <w:rPr>
          <w:rFonts w:ascii="Times New Roman" w:hAnsi="Times New Roman" w:cs="Times New Roman"/>
          <w:sz w:val="20"/>
          <w:szCs w:val="20"/>
        </w:rPr>
        <w:t xml:space="preserve"> </w:t>
      </w:r>
      <w:r>
        <w:rPr>
          <w:rFonts w:ascii="Times New Roman" w:hAnsi="Times New Roman" w:cs="Times New Roman"/>
          <w:sz w:val="20"/>
          <w:szCs w:val="20"/>
        </w:rPr>
        <w:t>present</w:t>
      </w:r>
      <w:r w:rsidRPr="00A51DE8">
        <w:rPr>
          <w:rFonts w:ascii="Times New Roman" w:hAnsi="Times New Roman" w:cs="Times New Roman"/>
          <w:sz w:val="20"/>
          <w:szCs w:val="20"/>
        </w:rPr>
        <w:t xml:space="preserve"> the </w:t>
      </w:r>
      <w:r>
        <w:rPr>
          <w:rFonts w:ascii="Times New Roman" w:hAnsi="Times New Roman" w:cs="Times New Roman"/>
          <w:sz w:val="20"/>
          <w:szCs w:val="20"/>
        </w:rPr>
        <w:t xml:space="preserve">batch-wise variation of </w:t>
      </w:r>
      <w:proofErr w:type="gramStart"/>
      <w:r>
        <w:rPr>
          <w:rFonts w:ascii="Times New Roman" w:hAnsi="Times New Roman" w:cs="Times New Roman"/>
          <w:sz w:val="20"/>
          <w:szCs w:val="20"/>
        </w:rPr>
        <w:t>HILIC(</w:t>
      </w:r>
      <w:proofErr w:type="gramEnd"/>
      <w:r>
        <w:rPr>
          <w:rFonts w:ascii="Times New Roman" w:hAnsi="Times New Roman" w:cs="Times New Roman"/>
          <w:sz w:val="20"/>
          <w:szCs w:val="20"/>
        </w:rPr>
        <w:t>-) and RP(+) samples by injection order. Prior to normalization, there were mild batch-wise variations observed, and different normalization methods were applied for variation stabilization purposes, including RLSC, median scaling, and the combination of both. The median scaling approach yielded similar results as the combination approach in terms of batch-wise and within-batch variation. We, thus, believed that median scaling was sufficient for normalization purposes.</w:t>
      </w:r>
    </w:p>
    <w:p w14:paraId="1071465D" w14:textId="2D4B9749" w:rsidR="00A51DE8" w:rsidRDefault="00821656" w:rsidP="00821656">
      <w:pPr>
        <w:jc w:val="center"/>
        <w:rPr>
          <w:rFonts w:ascii="Times New Roman" w:eastAsiaTheme="majorEastAsia" w:hAnsi="Times New Roman" w:cs="Times New Roman"/>
          <w:sz w:val="20"/>
          <w:szCs w:val="20"/>
        </w:rPr>
      </w:pPr>
      <w:r>
        <w:rPr>
          <w:rFonts w:ascii="Times New Roman" w:eastAsiaTheme="majorEastAsia" w:hAnsi="Times New Roman" w:cs="Times New Roman"/>
          <w:noProof/>
          <w:sz w:val="20"/>
          <w:szCs w:val="20"/>
        </w:rPr>
        <w:lastRenderedPageBreak/>
        <w:drawing>
          <wp:inline distT="0" distB="0" distL="0" distR="0" wp14:anchorId="47F79E64" wp14:editId="02FB1FAA">
            <wp:extent cx="5486585" cy="5486585"/>
            <wp:effectExtent l="0" t="0" r="0" b="0"/>
            <wp:docPr id="2030436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436226"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585" cy="5486585"/>
                    </a:xfrm>
                    <a:prstGeom prst="rect">
                      <a:avLst/>
                    </a:prstGeom>
                  </pic:spPr>
                </pic:pic>
              </a:graphicData>
            </a:graphic>
          </wp:inline>
        </w:drawing>
      </w:r>
    </w:p>
    <w:p w14:paraId="4B323F21" w14:textId="7C28270A" w:rsidR="00821656" w:rsidRPr="00A51DE8" w:rsidRDefault="00821656" w:rsidP="00ED2FAE">
      <w:pPr>
        <w:pStyle w:val="Caption"/>
        <w:rPr>
          <w:rFonts w:ascii="Times New Roman" w:eastAsiaTheme="majorEastAsia" w:hAnsi="Times New Roman" w:cs="Times New Roman"/>
          <w:sz w:val="20"/>
          <w:szCs w:val="20"/>
        </w:rPr>
      </w:pPr>
      <w:r w:rsidRPr="00821656">
        <w:rPr>
          <w:rFonts w:ascii="Times New Roman" w:hAnsi="Times New Roman" w:cs="Times New Roman"/>
          <w:b/>
          <w:bCs/>
        </w:rPr>
        <w:t>Supplemental Fig.12</w:t>
      </w:r>
      <w:r>
        <w:rPr>
          <w:rFonts w:ascii="Times New Roman" w:hAnsi="Times New Roman" w:cs="Times New Roman"/>
        </w:rPr>
        <w:t xml:space="preserve">: </w:t>
      </w:r>
      <w:r w:rsidR="00745AA3" w:rsidRPr="00745AA3">
        <w:rPr>
          <w:rFonts w:ascii="Times New Roman" w:hAnsi="Times New Roman" w:cs="Times New Roman"/>
        </w:rPr>
        <w:t xml:space="preserve">Violin plot comparing the sum </w:t>
      </w:r>
      <w:r w:rsidR="005B09C7" w:rsidRPr="00745AA3">
        <w:rPr>
          <w:rFonts w:ascii="Times New Roman" w:hAnsi="Times New Roman" w:cs="Times New Roman"/>
        </w:rPr>
        <w:t>of PAH</w:t>
      </w:r>
      <w:r w:rsidR="00745AA3" w:rsidRPr="00745AA3">
        <w:rPr>
          <w:rFonts w:ascii="Times New Roman" w:hAnsi="Times New Roman" w:cs="Times New Roman"/>
        </w:rPr>
        <w:t>-OH metabolites in the urine of Hispanic (N=19) to non-Hispanic (N=81) participants after logarithmic transformed in male firefighters (N=100), after fire exposure. The adjusted FDR p-value thresholds were set as follows: * for p &lt; 0.05, ** for p &lt; 0.01, and *** for p &lt; 0.001. Unmarked indicates non-significant results.</w:t>
      </w:r>
    </w:p>
    <w:sectPr w:rsidR="00821656" w:rsidRPr="00A51D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B60AD"/>
    <w:rsid w:val="000765BA"/>
    <w:rsid w:val="00133311"/>
    <w:rsid w:val="0026421C"/>
    <w:rsid w:val="00271C8F"/>
    <w:rsid w:val="002976BD"/>
    <w:rsid w:val="002B21C6"/>
    <w:rsid w:val="00311EE7"/>
    <w:rsid w:val="00381040"/>
    <w:rsid w:val="003B2102"/>
    <w:rsid w:val="00443B1D"/>
    <w:rsid w:val="004702D0"/>
    <w:rsid w:val="005262A9"/>
    <w:rsid w:val="00576540"/>
    <w:rsid w:val="005B09C7"/>
    <w:rsid w:val="006006CA"/>
    <w:rsid w:val="00736ABB"/>
    <w:rsid w:val="007420E5"/>
    <w:rsid w:val="00745AA3"/>
    <w:rsid w:val="007F55BF"/>
    <w:rsid w:val="00821656"/>
    <w:rsid w:val="00863159"/>
    <w:rsid w:val="008921C3"/>
    <w:rsid w:val="008D180E"/>
    <w:rsid w:val="008D1971"/>
    <w:rsid w:val="009333B3"/>
    <w:rsid w:val="00944CE7"/>
    <w:rsid w:val="00967286"/>
    <w:rsid w:val="00A13F4A"/>
    <w:rsid w:val="00A51DE8"/>
    <w:rsid w:val="00A8321D"/>
    <w:rsid w:val="00A970EB"/>
    <w:rsid w:val="00AB60AD"/>
    <w:rsid w:val="00B02DD9"/>
    <w:rsid w:val="00B12B1D"/>
    <w:rsid w:val="00B5418C"/>
    <w:rsid w:val="00B87BAD"/>
    <w:rsid w:val="00BC2177"/>
    <w:rsid w:val="00C3650F"/>
    <w:rsid w:val="00C84E62"/>
    <w:rsid w:val="00CC0748"/>
    <w:rsid w:val="00CE7D0E"/>
    <w:rsid w:val="00D62C44"/>
    <w:rsid w:val="00DB26A6"/>
    <w:rsid w:val="00E53458"/>
    <w:rsid w:val="00EA3F46"/>
    <w:rsid w:val="00EB759B"/>
    <w:rsid w:val="00ED1F7D"/>
    <w:rsid w:val="00ED2FAE"/>
    <w:rsid w:val="00EE726A"/>
    <w:rsid w:val="00FA2F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98EDFDF"/>
  <w15:chartTrackingRefBased/>
  <w15:docId w15:val="{7DD02311-6FED-4CBF-856F-2E9C0BFA7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60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60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60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60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60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60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60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60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60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0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60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60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60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60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60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60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60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60AD"/>
    <w:rPr>
      <w:rFonts w:eastAsiaTheme="majorEastAsia" w:cstheme="majorBidi"/>
      <w:color w:val="272727" w:themeColor="text1" w:themeTint="D8"/>
    </w:rPr>
  </w:style>
  <w:style w:type="paragraph" w:styleId="Title">
    <w:name w:val="Title"/>
    <w:basedOn w:val="Normal"/>
    <w:next w:val="Normal"/>
    <w:link w:val="TitleChar"/>
    <w:uiPriority w:val="10"/>
    <w:qFormat/>
    <w:rsid w:val="00AB60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60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60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60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60AD"/>
    <w:pPr>
      <w:spacing w:before="160"/>
      <w:jc w:val="center"/>
    </w:pPr>
    <w:rPr>
      <w:i/>
      <w:iCs/>
      <w:color w:val="404040" w:themeColor="text1" w:themeTint="BF"/>
    </w:rPr>
  </w:style>
  <w:style w:type="character" w:customStyle="1" w:styleId="QuoteChar">
    <w:name w:val="Quote Char"/>
    <w:basedOn w:val="DefaultParagraphFont"/>
    <w:link w:val="Quote"/>
    <w:uiPriority w:val="29"/>
    <w:rsid w:val="00AB60AD"/>
    <w:rPr>
      <w:i/>
      <w:iCs/>
      <w:color w:val="404040" w:themeColor="text1" w:themeTint="BF"/>
    </w:rPr>
  </w:style>
  <w:style w:type="paragraph" w:styleId="ListParagraph">
    <w:name w:val="List Paragraph"/>
    <w:basedOn w:val="Normal"/>
    <w:uiPriority w:val="34"/>
    <w:qFormat/>
    <w:rsid w:val="00AB60AD"/>
    <w:pPr>
      <w:ind w:left="720"/>
      <w:contextualSpacing/>
    </w:pPr>
  </w:style>
  <w:style w:type="character" w:styleId="IntenseEmphasis">
    <w:name w:val="Intense Emphasis"/>
    <w:basedOn w:val="DefaultParagraphFont"/>
    <w:uiPriority w:val="21"/>
    <w:qFormat/>
    <w:rsid w:val="00AB60AD"/>
    <w:rPr>
      <w:i/>
      <w:iCs/>
      <w:color w:val="0F4761" w:themeColor="accent1" w:themeShade="BF"/>
    </w:rPr>
  </w:style>
  <w:style w:type="paragraph" w:styleId="IntenseQuote">
    <w:name w:val="Intense Quote"/>
    <w:basedOn w:val="Normal"/>
    <w:next w:val="Normal"/>
    <w:link w:val="IntenseQuoteChar"/>
    <w:uiPriority w:val="30"/>
    <w:qFormat/>
    <w:rsid w:val="00AB60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60AD"/>
    <w:rPr>
      <w:i/>
      <w:iCs/>
      <w:color w:val="0F4761" w:themeColor="accent1" w:themeShade="BF"/>
    </w:rPr>
  </w:style>
  <w:style w:type="character" w:styleId="IntenseReference">
    <w:name w:val="Intense Reference"/>
    <w:basedOn w:val="DefaultParagraphFont"/>
    <w:uiPriority w:val="32"/>
    <w:qFormat/>
    <w:rsid w:val="00AB60AD"/>
    <w:rPr>
      <w:b/>
      <w:bCs/>
      <w:smallCaps/>
      <w:color w:val="0F4761" w:themeColor="accent1" w:themeShade="BF"/>
      <w:spacing w:val="5"/>
    </w:rPr>
  </w:style>
  <w:style w:type="paragraph" w:styleId="Caption">
    <w:name w:val="caption"/>
    <w:basedOn w:val="Normal"/>
    <w:next w:val="Normal"/>
    <w:uiPriority w:val="35"/>
    <w:unhideWhenUsed/>
    <w:qFormat/>
    <w:rsid w:val="00CE7D0E"/>
    <w:pPr>
      <w:spacing w:after="200" w:line="240" w:lineRule="auto"/>
    </w:pPr>
    <w:rPr>
      <w:i/>
      <w:iCs/>
      <w:color w:val="0E2841" w:themeColor="text2"/>
      <w:sz w:val="18"/>
      <w:szCs w:val="18"/>
    </w:rPr>
  </w:style>
  <w:style w:type="character" w:styleId="Hyperlink">
    <w:name w:val="Hyperlink"/>
    <w:basedOn w:val="DefaultParagraphFont"/>
    <w:uiPriority w:val="99"/>
    <w:unhideWhenUsed/>
    <w:rsid w:val="00576540"/>
    <w:rPr>
      <w:color w:val="467886" w:themeColor="hyperlink"/>
      <w:u w:val="single"/>
    </w:rPr>
  </w:style>
  <w:style w:type="paragraph" w:customStyle="1" w:styleId="Default">
    <w:name w:val="Default"/>
    <w:rsid w:val="00576540"/>
    <w:pPr>
      <w:autoSpaceDE w:val="0"/>
      <w:autoSpaceDN w:val="0"/>
      <w:adjustRightInd w:val="0"/>
      <w:spacing w:before="240" w:after="240" w:line="240" w:lineRule="auto"/>
    </w:pPr>
    <w:rPr>
      <w:rFonts w:ascii="Arial" w:eastAsia="SimSun" w:hAnsi="Arial" w:cs="Arial"/>
      <w:color w:val="000000"/>
      <w:kern w:val="0"/>
      <w:szCs w:val="24"/>
      <w:lang w:eastAsia="en-US"/>
    </w:rPr>
  </w:style>
  <w:style w:type="character" w:styleId="CommentReference">
    <w:name w:val="annotation reference"/>
    <w:basedOn w:val="DefaultParagraphFont"/>
    <w:uiPriority w:val="99"/>
    <w:semiHidden/>
    <w:unhideWhenUsed/>
    <w:rsid w:val="00821656"/>
    <w:rPr>
      <w:sz w:val="16"/>
      <w:szCs w:val="16"/>
    </w:rPr>
  </w:style>
  <w:style w:type="paragraph" w:styleId="CommentText">
    <w:name w:val="annotation text"/>
    <w:basedOn w:val="Normal"/>
    <w:link w:val="CommentTextChar"/>
    <w:uiPriority w:val="99"/>
    <w:unhideWhenUsed/>
    <w:rsid w:val="00821656"/>
    <w:pPr>
      <w:spacing w:line="240" w:lineRule="auto"/>
    </w:pPr>
    <w:rPr>
      <w:rFonts w:eastAsiaTheme="minorHAnsi"/>
      <w:sz w:val="20"/>
      <w:szCs w:val="20"/>
      <w:lang w:val="de-DE" w:eastAsia="en-US"/>
    </w:rPr>
  </w:style>
  <w:style w:type="character" w:customStyle="1" w:styleId="CommentTextChar">
    <w:name w:val="Comment Text Char"/>
    <w:basedOn w:val="DefaultParagraphFont"/>
    <w:link w:val="CommentText"/>
    <w:uiPriority w:val="99"/>
    <w:rsid w:val="00821656"/>
    <w:rPr>
      <w:rFonts w:eastAsiaTheme="minorHAnsi"/>
      <w:sz w:val="20"/>
      <w:szCs w:val="20"/>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hyperlink" Target="mailto:tuoooliu@arizona.edu" TargetMode="Externa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8</Pages>
  <Words>1063</Words>
  <Characters>6064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Tuo - (tuoooliu)</dc:creator>
  <cp:keywords/>
  <dc:description/>
  <cp:lastModifiedBy>Liu, Tuo - (tuoooliu)</cp:lastModifiedBy>
  <cp:revision>39</cp:revision>
  <dcterms:created xsi:type="dcterms:W3CDTF">2024-02-11T16:48:00Z</dcterms:created>
  <dcterms:modified xsi:type="dcterms:W3CDTF">2024-10-29T02:42:00Z</dcterms:modified>
</cp:coreProperties>
</file>