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A43DF" w14:textId="77777777" w:rsidR="0062680F" w:rsidRDefault="0062680F" w:rsidP="0062680F">
      <w:pPr>
        <w:rPr>
          <w:rStyle w:val="apple-converted-space"/>
          <w:rFonts w:ascii="Calibri" w:hAnsi="Calibri" w:cs="Calibri"/>
          <w:b/>
          <w:bCs/>
          <w:color w:val="000000"/>
          <w:sz w:val="20"/>
          <w:szCs w:val="20"/>
        </w:rPr>
      </w:pPr>
      <w:r>
        <w:rPr>
          <w:rStyle w:val="apple-converted-space"/>
          <w:rFonts w:ascii="Calibri" w:hAnsi="Calibri" w:cs="Calibri"/>
          <w:b/>
          <w:bCs/>
          <w:color w:val="000000"/>
          <w:sz w:val="20"/>
          <w:szCs w:val="20"/>
        </w:rPr>
        <w:t>Corresponding author: Elli Toivonen, e-mail: elli.toivonen@tuni.fi</w:t>
      </w:r>
    </w:p>
    <w:p w14:paraId="346A2776" w14:textId="426A1F95" w:rsidR="005E732D" w:rsidRDefault="005E732D">
      <w:r>
        <w:t xml:space="preserve">This </w:t>
      </w:r>
      <w:r w:rsidR="00887280">
        <w:t xml:space="preserve">supplementary </w:t>
      </w:r>
      <w:r>
        <w:t xml:space="preserve">file is divided into </w:t>
      </w:r>
      <w:r w:rsidR="00997918">
        <w:t>two</w:t>
      </w:r>
      <w:r>
        <w:t xml:space="preserve"> subsections: </w:t>
      </w:r>
      <w:r w:rsidR="00997918">
        <w:t xml:space="preserve">1) </w:t>
      </w:r>
      <w:r>
        <w:t>supplementary methods</w:t>
      </w:r>
      <w:r w:rsidR="00997918">
        <w:t xml:space="preserve"> and</w:t>
      </w:r>
      <w:r>
        <w:t xml:space="preserve"> </w:t>
      </w:r>
      <w:r w:rsidR="00997918">
        <w:t xml:space="preserve">2) </w:t>
      </w:r>
      <w:r>
        <w:t>supplementary data</w:t>
      </w:r>
      <w:r w:rsidR="00997918">
        <w:t>.</w:t>
      </w:r>
    </w:p>
    <w:p w14:paraId="4B6891F0" w14:textId="77777777" w:rsidR="00AE24F9" w:rsidRDefault="00AE24F9"/>
    <w:p w14:paraId="52A5FC53" w14:textId="0CCA59CB" w:rsidR="00AE24F9" w:rsidRPr="00050BA1" w:rsidRDefault="00AE24F9" w:rsidP="00AE24F9">
      <w:pPr>
        <w:pStyle w:val="Luettelokappale"/>
        <w:numPr>
          <w:ilvl w:val="0"/>
          <w:numId w:val="1"/>
        </w:numPr>
        <w:rPr>
          <w:b/>
          <w:bCs/>
        </w:rPr>
      </w:pPr>
      <w:r w:rsidRPr="00050BA1">
        <w:rPr>
          <w:b/>
          <w:bCs/>
        </w:rPr>
        <w:t>Supplementary methods</w:t>
      </w:r>
    </w:p>
    <w:p w14:paraId="10BFD7B6" w14:textId="6B64B9DE" w:rsidR="0036272E" w:rsidRPr="00050BA1" w:rsidRDefault="004E588B" w:rsidP="0036272E">
      <w:pPr>
        <w:pStyle w:val="Luettelokappale"/>
        <w:numPr>
          <w:ilvl w:val="1"/>
          <w:numId w:val="1"/>
        </w:numPr>
        <w:rPr>
          <w:i/>
          <w:iCs/>
        </w:rPr>
      </w:pPr>
      <w:r w:rsidRPr="00050BA1">
        <w:rPr>
          <w:i/>
          <w:iCs/>
        </w:rPr>
        <w:t>Reagents and solvents</w:t>
      </w:r>
    </w:p>
    <w:p w14:paraId="6355DAF6" w14:textId="5FC6E620" w:rsidR="004E588B" w:rsidRDefault="004E588B" w:rsidP="003F1067">
      <w:pPr>
        <w:pStyle w:val="Luettelokappale"/>
        <w:numPr>
          <w:ilvl w:val="0"/>
          <w:numId w:val="2"/>
        </w:numPr>
      </w:pPr>
      <w:r>
        <w:t>Acetonitrile, ACN (HiPerSolv CHROMANORM, VWR Chemicals, Fontenay-sous-Bois, France, Cat.No. 83640.320)</w:t>
      </w:r>
    </w:p>
    <w:p w14:paraId="685CD1BC" w14:textId="6C7750C2" w:rsidR="004E588B" w:rsidRDefault="004E588B" w:rsidP="003F1067">
      <w:pPr>
        <w:pStyle w:val="Luettelokappale"/>
        <w:numPr>
          <w:ilvl w:val="0"/>
          <w:numId w:val="2"/>
        </w:numPr>
      </w:pPr>
      <w:r>
        <w:t>Methanol, MeOH (CHROMASOLV™ LC–MS Ultra, Riedel-de Haën™, Honeywell, Seelze,</w:t>
      </w:r>
      <w:r w:rsidR="003F1067">
        <w:t xml:space="preserve"> </w:t>
      </w:r>
      <w:r>
        <w:t>Germany, Cat.No. 14262-2L)</w:t>
      </w:r>
    </w:p>
    <w:p w14:paraId="4BE718C0" w14:textId="38621B56" w:rsidR="004E588B" w:rsidRDefault="004E588B" w:rsidP="003F1067">
      <w:pPr>
        <w:pStyle w:val="Luettelokappale"/>
        <w:numPr>
          <w:ilvl w:val="0"/>
          <w:numId w:val="2"/>
        </w:numPr>
      </w:pPr>
      <w:r>
        <w:t>Formic acid (HiPerSolv CHROMANORM, VWR Chemicals, Leuven, Belgium, Cat.No. 84865.180)</w:t>
      </w:r>
    </w:p>
    <w:p w14:paraId="43DAEF78" w14:textId="26BF8BA2" w:rsidR="004E588B" w:rsidRDefault="004E588B" w:rsidP="003F1067">
      <w:pPr>
        <w:pStyle w:val="Luettelokappale"/>
        <w:numPr>
          <w:ilvl w:val="0"/>
          <w:numId w:val="2"/>
        </w:numPr>
      </w:pPr>
      <w:r>
        <w:t>Ammonium formate (HiPerSolv CHROMANORM, VWR Chemicals, Leuven, Belgium,</w:t>
      </w:r>
      <w:r w:rsidR="003F1067">
        <w:t xml:space="preserve"> </w:t>
      </w:r>
      <w:r>
        <w:t>Cat.No. 84884.180)</w:t>
      </w:r>
    </w:p>
    <w:p w14:paraId="0B999628" w14:textId="1D5C9414" w:rsidR="004E588B" w:rsidRDefault="004E588B" w:rsidP="003F1067">
      <w:pPr>
        <w:pStyle w:val="Luettelokappale"/>
        <w:numPr>
          <w:ilvl w:val="0"/>
          <w:numId w:val="2"/>
        </w:numPr>
      </w:pPr>
      <w:r>
        <w:t>Ultra-pure water, ultrapure (Type 1), Direct-Q®, Merck KGaA, Darmstadt, Germany</w:t>
      </w:r>
    </w:p>
    <w:p w14:paraId="4EF8F81C" w14:textId="77777777" w:rsidR="004E588B" w:rsidRDefault="004E588B" w:rsidP="004E588B"/>
    <w:p w14:paraId="30A6A0A4" w14:textId="2D57429F" w:rsidR="004E588B" w:rsidRPr="00050BA1" w:rsidRDefault="004E588B" w:rsidP="0036272E">
      <w:pPr>
        <w:pStyle w:val="Luettelokappale"/>
        <w:numPr>
          <w:ilvl w:val="1"/>
          <w:numId w:val="1"/>
        </w:numPr>
        <w:rPr>
          <w:i/>
          <w:iCs/>
        </w:rPr>
      </w:pPr>
      <w:r w:rsidRPr="00050BA1">
        <w:rPr>
          <w:i/>
          <w:iCs/>
        </w:rPr>
        <w:t>LC-MS analytical parameter</w:t>
      </w:r>
      <w:r w:rsidR="0039740B" w:rsidRPr="00050BA1">
        <w:rPr>
          <w:i/>
          <w:iCs/>
        </w:rPr>
        <w:t>s</w:t>
      </w:r>
    </w:p>
    <w:p w14:paraId="074B1167" w14:textId="0954381E" w:rsidR="00AE4811" w:rsidRDefault="00AE4811" w:rsidP="00AE4811">
      <w:r>
        <w:t xml:space="preserve">The following conditions were used for </w:t>
      </w:r>
      <w:r w:rsidR="000A33FB">
        <w:t xml:space="preserve">the </w:t>
      </w:r>
      <w:r w:rsidR="00EA5BAB">
        <w:t>reversed-phase (</w:t>
      </w:r>
      <w:r>
        <w:t>RP</w:t>
      </w:r>
      <w:r w:rsidR="00EA5BAB">
        <w:t>)</w:t>
      </w:r>
      <w:r>
        <w:t xml:space="preserve"> chromatography: Column oven temperature 50 °C, flow rate 0.4 mL/min, gradient elution with water (eluent A) and methanol (eluent B) both containing 0.1% (v/v) of formic acid. </w:t>
      </w:r>
      <w:r w:rsidR="00EA5BAB">
        <w:t>The gradient</w:t>
      </w:r>
      <w:r>
        <w:t xml:space="preserve"> profile for </w:t>
      </w:r>
      <w:r w:rsidR="00EA5BAB">
        <w:t xml:space="preserve">the </w:t>
      </w:r>
      <w:r>
        <w:t>RP separations was as follows: 0–10 min: 2 → 100% B; 10–14.5 min: 100% B; 14.5–14.51 min: 100 → 2% B; 14.51–16.5 min: 2% B. Needle wash</w:t>
      </w:r>
      <w:r w:rsidR="00EA5BAB">
        <w:t xml:space="preserve"> was performed</w:t>
      </w:r>
      <w:r>
        <w:t xml:space="preserve"> with 50% MeOH. The injection volume was set at 2 μL and </w:t>
      </w:r>
      <w:r w:rsidR="00EA5BAB">
        <w:t xml:space="preserve">the </w:t>
      </w:r>
      <w:r>
        <w:t>sample tray at 10 °C.</w:t>
      </w:r>
    </w:p>
    <w:p w14:paraId="65E76399" w14:textId="3E213276" w:rsidR="00AE4811" w:rsidRDefault="00AE4811" w:rsidP="00AE4811">
      <w:r>
        <w:t xml:space="preserve">The following conditions were used for </w:t>
      </w:r>
      <w:r w:rsidR="00EA5BAB">
        <w:t>the hydrophilic interaction</w:t>
      </w:r>
      <w:r>
        <w:t xml:space="preserve"> chromatography</w:t>
      </w:r>
      <w:r w:rsidR="00CF3F55">
        <w:t xml:space="preserve"> (HILIC)</w:t>
      </w:r>
      <w:r>
        <w:t xml:space="preserve">: Column oven temperature 45 °C, flow rate 0.6 mL/min, gradient elution with 50% v/v ACN in water (eluent A) and 90% v/v ACN in water (eluent B), both containing 20 mM ammonium formate. The gradient profile for HILIC separations: 0–2.5 min: 100% B, 2.5–10 min: 100% B → 0% B; 10–10.01 min: 0% B → 100% B; 10.01–12.5 min:100% B. Needle wash with 50% ACN. The injection volume was set at 2 μL and </w:t>
      </w:r>
      <w:r w:rsidR="00CF3F55">
        <w:t xml:space="preserve">the </w:t>
      </w:r>
      <w:r>
        <w:t>sample tray at 10 °C.</w:t>
      </w:r>
    </w:p>
    <w:p w14:paraId="78E4D3D9" w14:textId="77777777" w:rsidR="00AE4811" w:rsidRDefault="00AE4811" w:rsidP="00AE4811">
      <w:r>
        <w:t>To operate at high mass accuracy, the MS was calibrated daily, and the continuous mass axis calibration was used by monitoring two reference ions from an infusion solution throughout the analytical runs. The reference ions in ESI+ mode: m/z 121.050873 and m/z 922.009798, and reference ions in ESI− mode m/z 119.03632 and m/z 966.000725. These reference ions are coming from the compounds in the infusion solution where m/z 121 and 119 are purine, and m/z 922 and 966 are HP-0921 (Hexakis (1H,1H,3H-tetrafluoropropoxy) phosphazine).</w:t>
      </w:r>
    </w:p>
    <w:p w14:paraId="7DA021EA" w14:textId="09AEBA8D" w:rsidR="00AE4811" w:rsidRDefault="00992FBB" w:rsidP="00AE4811">
      <w:r>
        <w:t>T</w:t>
      </w:r>
      <w:r w:rsidR="00AE4811">
        <w:t xml:space="preserve">he following conditions </w:t>
      </w:r>
      <w:r>
        <w:t xml:space="preserve">were used </w:t>
      </w:r>
      <w:r w:rsidR="00AE4811">
        <w:t>for</w:t>
      </w:r>
      <w:r>
        <w:t xml:space="preserve"> the</w:t>
      </w:r>
      <w:r w:rsidR="00AE4811">
        <w:t xml:space="preserve"> Dual AJS ESI source: drying gas temperature 325 °C and flow 10 L/min, sheath gas temperature 350 °C with a flow of 11 L/min, nebulizer pressure 45 psi, capillary voltage 3500 V, nozzle voltage 1000 V, fragmentor voltage 100 V and skimmer 45 V. Nitrogen was used as the instrument gas.</w:t>
      </w:r>
    </w:p>
    <w:p w14:paraId="3396A147" w14:textId="6389FF49" w:rsidR="0039022B" w:rsidRDefault="00AE4811" w:rsidP="0039022B">
      <w:r>
        <w:t xml:space="preserve">For data acquisition, a 10 GHz extended dynamic range mode was used in both ESI+ and ESI– ionization modes from m/z 50 to 1600. The data was collected in the centroid mode at an </w:t>
      </w:r>
      <w:r>
        <w:lastRenderedPageBreak/>
        <w:t xml:space="preserve">acquisition rate of 1.67 spectra/s (i.e., 600 ms/spectrum) with an abundance threshold of 150. For automatic </w:t>
      </w:r>
      <w:r w:rsidR="00A83F16">
        <w:t>data-dependent</w:t>
      </w:r>
      <w:r>
        <w:t xml:space="preserve"> MS/MS analyses, the precursor isolation width was set to 1.3 Da. From every precursor scan cycle, </w:t>
      </w:r>
      <w:r w:rsidR="00A83F16">
        <w:t>the four</w:t>
      </w:r>
      <w:r>
        <w:t xml:space="preserve"> most abundant ions were selected for fragmentation. These ions were excluded after two product ion spectra and released again for fragmentation after a </w:t>
      </w:r>
      <w:r w:rsidR="00A83F16">
        <w:t>0.25-min</w:t>
      </w:r>
      <w:r>
        <w:t xml:space="preserve"> hold. Product ion scan time was based on precursor ion intensity, ending at 25,000 counts for RP modes and 20,000 for HILIC modes, or after 300 ms. Collision-induced dissociation </w:t>
      </w:r>
      <w:r w:rsidR="00A83F16">
        <w:t>voltages</w:t>
      </w:r>
      <w:r>
        <w:t xml:space="preserve"> 10, 20</w:t>
      </w:r>
      <w:r w:rsidR="00A83F16">
        <w:t>,</w:t>
      </w:r>
      <w:r>
        <w:t xml:space="preserve"> and 40 V were used for MSMS acquisition.</w:t>
      </w:r>
    </w:p>
    <w:p w14:paraId="50900C4A" w14:textId="57D558E6" w:rsidR="00012D1F" w:rsidRPr="00050BA1" w:rsidRDefault="00AD4D57" w:rsidP="004E588B">
      <w:pPr>
        <w:pStyle w:val="Luettelokappale"/>
        <w:numPr>
          <w:ilvl w:val="1"/>
          <w:numId w:val="1"/>
        </w:numPr>
        <w:rPr>
          <w:i/>
          <w:iCs/>
        </w:rPr>
      </w:pPr>
      <w:r w:rsidRPr="00050BA1">
        <w:rPr>
          <w:i/>
          <w:iCs/>
        </w:rPr>
        <w:t>Sequence setup</w:t>
      </w:r>
    </w:p>
    <w:p w14:paraId="4F3D197F" w14:textId="3386E360" w:rsidR="006E3DEB" w:rsidRPr="006E3DEB" w:rsidRDefault="007119BF" w:rsidP="006E3DEB">
      <w:r>
        <w:t xml:space="preserve">Two blank samples were injected at the beginning of each analytical run, followed by </w:t>
      </w:r>
      <w:r w:rsidR="00C326EC">
        <w:t>at least 10</w:t>
      </w:r>
      <w:r>
        <w:t xml:space="preserve"> injection</w:t>
      </w:r>
      <w:r w:rsidR="00227B7C">
        <w:t>s</w:t>
      </w:r>
      <w:r>
        <w:t xml:space="preserve"> of pooled </w:t>
      </w:r>
      <w:r w:rsidR="0005330C">
        <w:t>quality control (</w:t>
      </w:r>
      <w:r>
        <w:t>QC</w:t>
      </w:r>
      <w:r w:rsidR="0005330C">
        <w:t>)</w:t>
      </w:r>
      <w:r>
        <w:t xml:space="preserve"> sample</w:t>
      </w:r>
      <w:r w:rsidR="003E2066">
        <w:t xml:space="preserve"> to stabilize the </w:t>
      </w:r>
      <w:r w:rsidR="00227B7C">
        <w:t>signals</w:t>
      </w:r>
      <w:r w:rsidR="00011968">
        <w:t xml:space="preserve">. </w:t>
      </w:r>
      <w:r w:rsidR="00175215">
        <w:t>QCs were also injected after 12 study samples</w:t>
      </w:r>
      <w:r w:rsidR="005C5142">
        <w:t>. MSMS data was acquired from QC samples</w:t>
      </w:r>
      <w:r w:rsidR="0096009D">
        <w:t xml:space="preserve"> and two blank injections at the end of the chromatography. </w:t>
      </w:r>
    </w:p>
    <w:p w14:paraId="05873412" w14:textId="10D396B9" w:rsidR="00A34129" w:rsidRPr="00050BA1" w:rsidRDefault="0036272E" w:rsidP="00A34129">
      <w:pPr>
        <w:pStyle w:val="Luettelokappale"/>
        <w:numPr>
          <w:ilvl w:val="1"/>
          <w:numId w:val="1"/>
        </w:numPr>
        <w:rPr>
          <w:i/>
          <w:iCs/>
        </w:rPr>
      </w:pPr>
      <w:r w:rsidRPr="00050BA1">
        <w:rPr>
          <w:i/>
          <w:iCs/>
        </w:rPr>
        <w:t xml:space="preserve">Peak picking and </w:t>
      </w:r>
      <w:r w:rsidR="00F8127A" w:rsidRPr="00050BA1">
        <w:rPr>
          <w:i/>
          <w:iCs/>
        </w:rPr>
        <w:t>alignment</w:t>
      </w:r>
    </w:p>
    <w:p w14:paraId="51E11830" w14:textId="77777777" w:rsidR="00A34129" w:rsidRDefault="00A34129" w:rsidP="00A34129">
      <w:pPr>
        <w:pStyle w:val="Luettelokappale"/>
        <w:ind w:left="360"/>
      </w:pPr>
    </w:p>
    <w:p w14:paraId="69AF2DD2" w14:textId="327273DB" w:rsidR="00593FFC" w:rsidRPr="004475CD" w:rsidRDefault="006C13F9" w:rsidP="004475CD">
      <w:pPr>
        <w:pStyle w:val="Luettelokappale"/>
        <w:ind w:left="0"/>
        <w:rPr>
          <w:bCs/>
        </w:rPr>
      </w:pPr>
      <w:r>
        <w:rPr>
          <w:rFonts w:cs="Segoe UI"/>
          <w:bCs/>
          <w:color w:val="242424"/>
          <w:lang w:val="en-GB"/>
        </w:rPr>
        <w:t xml:space="preserve">The peak picking and alignment was performed in MS-DIAL for each mode separately. </w:t>
      </w:r>
      <w:r w:rsidR="004475CD" w:rsidRPr="004475CD">
        <w:rPr>
          <w:rFonts w:cs="Segoe UI"/>
          <w:bCs/>
          <w:color w:val="242424"/>
          <w:lang w:val="en-GB"/>
        </w:rPr>
        <w:t>For the feature extraction, we used MS1 and MS2 tolerance 0.01 Da and 0.025 Da, respectively, minimum peak height 3000 amplitude, mass slice width 0.1 Da, smoothing level 3 scans, and minimum peak width 5 scans. For the initial annotation, we used a database file compiled from our in-house spectral database (for the level 1 identifications), public spectral libraries available from the MS-DIAL repository, and MassBank of North America (MoNA). We considered [M+H]</w:t>
      </w:r>
      <w:r w:rsidR="004475CD" w:rsidRPr="004475CD">
        <w:rPr>
          <w:rFonts w:cs="Segoe UI"/>
          <w:bCs/>
          <w:color w:val="242424"/>
          <w:vertAlign w:val="superscript"/>
          <w:lang w:val="en-GB"/>
        </w:rPr>
        <w:t>+</w:t>
      </w:r>
      <w:r w:rsidR="004475CD" w:rsidRPr="004475CD">
        <w:rPr>
          <w:rFonts w:cs="Segoe UI"/>
          <w:bCs/>
          <w:color w:val="242424"/>
          <w:lang w:val="en-GB"/>
        </w:rPr>
        <w:t>, [M+NH</w:t>
      </w:r>
      <w:r w:rsidR="004475CD" w:rsidRPr="004475CD">
        <w:rPr>
          <w:rFonts w:cs="Segoe UI"/>
          <w:bCs/>
          <w:color w:val="242424"/>
          <w:vertAlign w:val="subscript"/>
          <w:lang w:val="en-GB"/>
        </w:rPr>
        <w:t>4</w:t>
      </w:r>
      <w:r w:rsidR="004475CD" w:rsidRPr="004475CD">
        <w:rPr>
          <w:rFonts w:cs="Segoe UI"/>
          <w:bCs/>
          <w:color w:val="242424"/>
          <w:lang w:val="en-GB"/>
        </w:rPr>
        <w:t>]</w:t>
      </w:r>
      <w:r w:rsidR="004475CD" w:rsidRPr="004475CD">
        <w:rPr>
          <w:rFonts w:cs="Segoe UI"/>
          <w:bCs/>
          <w:color w:val="242424"/>
          <w:vertAlign w:val="superscript"/>
          <w:lang w:val="en-GB"/>
        </w:rPr>
        <w:t>+</w:t>
      </w:r>
      <w:r w:rsidR="004475CD" w:rsidRPr="004475CD">
        <w:rPr>
          <w:rFonts w:cs="Segoe UI"/>
          <w:bCs/>
          <w:color w:val="242424"/>
          <w:lang w:val="en-GB"/>
        </w:rPr>
        <w:t>, [M+Na]</w:t>
      </w:r>
      <w:r w:rsidR="004475CD" w:rsidRPr="004475CD">
        <w:rPr>
          <w:rFonts w:cs="Segoe UI"/>
          <w:bCs/>
          <w:color w:val="242424"/>
          <w:vertAlign w:val="superscript"/>
          <w:lang w:val="en-GB"/>
        </w:rPr>
        <w:t>+</w:t>
      </w:r>
      <w:r w:rsidR="004475CD" w:rsidRPr="004475CD">
        <w:rPr>
          <w:rFonts w:cs="Segoe UI"/>
          <w:bCs/>
          <w:color w:val="242424"/>
          <w:lang w:val="en-GB"/>
        </w:rPr>
        <w:t>, [M+CH</w:t>
      </w:r>
      <w:r w:rsidR="004475CD" w:rsidRPr="004475CD">
        <w:rPr>
          <w:rFonts w:cs="Segoe UI"/>
          <w:bCs/>
          <w:color w:val="242424"/>
          <w:vertAlign w:val="subscript"/>
          <w:lang w:val="en-GB"/>
        </w:rPr>
        <w:t>3</w:t>
      </w:r>
      <w:r w:rsidR="004475CD" w:rsidRPr="004475CD">
        <w:rPr>
          <w:rFonts w:cs="Segoe UI"/>
          <w:bCs/>
          <w:color w:val="242424"/>
          <w:lang w:val="en-GB"/>
        </w:rPr>
        <w:t>OH+H]</w:t>
      </w:r>
      <w:r w:rsidR="004475CD" w:rsidRPr="004475CD">
        <w:rPr>
          <w:rFonts w:cs="Segoe UI"/>
          <w:bCs/>
          <w:color w:val="242424"/>
          <w:vertAlign w:val="superscript"/>
          <w:lang w:val="en-GB"/>
        </w:rPr>
        <w:t>+</w:t>
      </w:r>
      <w:r w:rsidR="004475CD" w:rsidRPr="004475CD">
        <w:rPr>
          <w:rFonts w:cs="Segoe UI"/>
          <w:bCs/>
          <w:color w:val="242424"/>
          <w:lang w:val="en-GB"/>
        </w:rPr>
        <w:t>, [M+K]</w:t>
      </w:r>
      <w:r w:rsidR="004475CD" w:rsidRPr="004475CD">
        <w:rPr>
          <w:rFonts w:cs="Segoe UI"/>
          <w:bCs/>
          <w:color w:val="242424"/>
          <w:vertAlign w:val="superscript"/>
          <w:lang w:val="en-GB"/>
        </w:rPr>
        <w:t>+</w:t>
      </w:r>
      <w:r w:rsidR="004475CD" w:rsidRPr="004475CD">
        <w:rPr>
          <w:rFonts w:cs="Segoe UI"/>
          <w:bCs/>
          <w:color w:val="242424"/>
          <w:lang w:val="en-GB"/>
        </w:rPr>
        <w:t>, [M+H−H</w:t>
      </w:r>
      <w:r w:rsidR="004475CD" w:rsidRPr="004475CD">
        <w:rPr>
          <w:rFonts w:cs="Segoe UI"/>
          <w:bCs/>
          <w:color w:val="242424"/>
          <w:vertAlign w:val="subscript"/>
          <w:lang w:val="en-GB"/>
        </w:rPr>
        <w:t>2</w:t>
      </w:r>
      <w:r w:rsidR="004475CD" w:rsidRPr="004475CD">
        <w:rPr>
          <w:rFonts w:cs="Segoe UI"/>
          <w:bCs/>
          <w:color w:val="242424"/>
          <w:lang w:val="en-GB"/>
        </w:rPr>
        <w:t>O]</w:t>
      </w:r>
      <w:r w:rsidR="004475CD" w:rsidRPr="004475CD">
        <w:rPr>
          <w:rFonts w:cs="Segoe UI"/>
          <w:bCs/>
          <w:color w:val="242424"/>
          <w:vertAlign w:val="superscript"/>
          <w:lang w:val="en-GB"/>
        </w:rPr>
        <w:t>+</w:t>
      </w:r>
      <w:r w:rsidR="004475CD" w:rsidRPr="004475CD">
        <w:rPr>
          <w:rFonts w:cs="Segoe UI"/>
          <w:bCs/>
          <w:color w:val="242424"/>
          <w:lang w:val="en-GB"/>
        </w:rPr>
        <w:t>, [M+H−2H</w:t>
      </w:r>
      <w:r w:rsidR="004475CD" w:rsidRPr="004475CD">
        <w:rPr>
          <w:rFonts w:cs="Segoe UI"/>
          <w:bCs/>
          <w:color w:val="242424"/>
          <w:vertAlign w:val="subscript"/>
          <w:lang w:val="en-GB"/>
        </w:rPr>
        <w:t>2</w:t>
      </w:r>
      <w:r w:rsidR="004475CD" w:rsidRPr="004475CD">
        <w:rPr>
          <w:rFonts w:cs="Segoe UI"/>
          <w:bCs/>
          <w:color w:val="242424"/>
          <w:lang w:val="en-GB"/>
        </w:rPr>
        <w:t>O]</w:t>
      </w:r>
      <w:r w:rsidR="004475CD" w:rsidRPr="004475CD">
        <w:rPr>
          <w:rFonts w:cs="Segoe UI"/>
          <w:bCs/>
          <w:color w:val="242424"/>
          <w:vertAlign w:val="superscript"/>
          <w:lang w:val="en-GB"/>
        </w:rPr>
        <w:t>+</w:t>
      </w:r>
      <w:r w:rsidR="004475CD" w:rsidRPr="004475CD">
        <w:rPr>
          <w:rFonts w:cs="Segoe UI"/>
          <w:bCs/>
          <w:color w:val="242424"/>
          <w:lang w:val="en-GB"/>
        </w:rPr>
        <w:t>, [2M+H]</w:t>
      </w:r>
      <w:r w:rsidR="004475CD" w:rsidRPr="004475CD">
        <w:rPr>
          <w:rFonts w:cs="Segoe UI"/>
          <w:bCs/>
          <w:color w:val="242424"/>
          <w:vertAlign w:val="superscript"/>
          <w:lang w:val="en-GB"/>
        </w:rPr>
        <w:t>+</w:t>
      </w:r>
      <w:r w:rsidR="004475CD" w:rsidRPr="004475CD">
        <w:rPr>
          <w:rFonts w:cs="Segoe UI"/>
          <w:bCs/>
          <w:color w:val="242424"/>
          <w:lang w:val="en-GB"/>
        </w:rPr>
        <w:t>, and [M−NH</w:t>
      </w:r>
      <w:r w:rsidR="004475CD" w:rsidRPr="004475CD">
        <w:rPr>
          <w:rFonts w:cs="Segoe UI"/>
          <w:bCs/>
          <w:color w:val="242424"/>
          <w:vertAlign w:val="subscript"/>
          <w:lang w:val="en-GB"/>
        </w:rPr>
        <w:t>4</w:t>
      </w:r>
      <w:r w:rsidR="004475CD" w:rsidRPr="004475CD">
        <w:rPr>
          <w:rFonts w:cs="Segoe UI"/>
          <w:bCs/>
          <w:color w:val="242424"/>
          <w:lang w:val="en-GB"/>
        </w:rPr>
        <w:t>+H]</w:t>
      </w:r>
      <w:r w:rsidR="004475CD" w:rsidRPr="004475CD">
        <w:rPr>
          <w:rFonts w:cs="Segoe UI"/>
          <w:bCs/>
          <w:color w:val="242424"/>
          <w:vertAlign w:val="superscript"/>
          <w:lang w:val="en-GB"/>
        </w:rPr>
        <w:t>+</w:t>
      </w:r>
      <w:r w:rsidR="004475CD" w:rsidRPr="004475CD">
        <w:rPr>
          <w:rFonts w:cs="Segoe UI"/>
          <w:bCs/>
          <w:color w:val="242424"/>
          <w:lang w:val="en-GB"/>
        </w:rPr>
        <w:t xml:space="preserve"> as adducts in the positive mode and [M−H]</w:t>
      </w:r>
      <w:r w:rsidR="004475CD" w:rsidRPr="004475CD">
        <w:rPr>
          <w:rFonts w:cs="Segoe UI"/>
          <w:bCs/>
          <w:color w:val="242424"/>
          <w:vertAlign w:val="superscript"/>
          <w:lang w:val="en-GB"/>
        </w:rPr>
        <w:t>−</w:t>
      </w:r>
      <w:r w:rsidR="004475CD" w:rsidRPr="004475CD">
        <w:rPr>
          <w:rFonts w:cs="Segoe UI"/>
          <w:bCs/>
          <w:color w:val="242424"/>
          <w:lang w:val="en-GB"/>
        </w:rPr>
        <w:t>, [M−H</w:t>
      </w:r>
      <w:r w:rsidR="004475CD" w:rsidRPr="004475CD">
        <w:rPr>
          <w:rFonts w:cs="Segoe UI"/>
          <w:bCs/>
          <w:color w:val="242424"/>
          <w:vertAlign w:val="subscript"/>
          <w:lang w:val="en-GB"/>
        </w:rPr>
        <w:t>2</w:t>
      </w:r>
      <w:r w:rsidR="004475CD" w:rsidRPr="004475CD">
        <w:rPr>
          <w:rFonts w:cs="Segoe UI"/>
          <w:bCs/>
          <w:color w:val="242424"/>
          <w:lang w:val="en-GB"/>
        </w:rPr>
        <w:t>O]</w:t>
      </w:r>
      <w:r w:rsidR="004475CD" w:rsidRPr="004475CD">
        <w:rPr>
          <w:rFonts w:cs="Segoe UI"/>
          <w:bCs/>
          <w:color w:val="242424"/>
          <w:vertAlign w:val="superscript"/>
          <w:lang w:val="en-GB"/>
        </w:rPr>
        <w:t>−</w:t>
      </w:r>
      <w:r w:rsidR="004475CD" w:rsidRPr="004475CD">
        <w:rPr>
          <w:rFonts w:cs="Segoe UI"/>
          <w:bCs/>
          <w:color w:val="242424"/>
          <w:lang w:val="en-GB"/>
        </w:rPr>
        <w:t>, [M+Cl]</w:t>
      </w:r>
      <w:r w:rsidR="004475CD" w:rsidRPr="004475CD">
        <w:rPr>
          <w:rFonts w:cs="Segoe UI"/>
          <w:bCs/>
          <w:color w:val="242424"/>
          <w:vertAlign w:val="superscript"/>
          <w:lang w:val="en-GB"/>
        </w:rPr>
        <w:t>−</w:t>
      </w:r>
      <w:r w:rsidR="004475CD" w:rsidRPr="004475CD">
        <w:rPr>
          <w:rFonts w:cs="Segoe UI"/>
          <w:bCs/>
          <w:color w:val="242424"/>
          <w:lang w:val="en-GB"/>
        </w:rPr>
        <w:t>, [M+FA−H]</w:t>
      </w:r>
      <w:r w:rsidR="004475CD" w:rsidRPr="004475CD">
        <w:rPr>
          <w:rFonts w:cs="Segoe UI"/>
          <w:bCs/>
          <w:color w:val="242424"/>
          <w:vertAlign w:val="superscript"/>
          <w:lang w:val="en-GB"/>
        </w:rPr>
        <w:t>−</w:t>
      </w:r>
      <w:r w:rsidR="004475CD" w:rsidRPr="004475CD">
        <w:rPr>
          <w:rFonts w:cs="Segoe UI"/>
          <w:bCs/>
          <w:color w:val="242424"/>
          <w:lang w:val="en-GB"/>
        </w:rPr>
        <w:t>, and [2M−H]</w:t>
      </w:r>
      <w:r w:rsidR="004475CD" w:rsidRPr="004475CD">
        <w:rPr>
          <w:rFonts w:cs="Segoe UI"/>
          <w:bCs/>
          <w:color w:val="242424"/>
          <w:vertAlign w:val="superscript"/>
          <w:lang w:val="en-GB"/>
        </w:rPr>
        <w:t>−</w:t>
      </w:r>
      <w:r w:rsidR="004475CD" w:rsidRPr="004475CD">
        <w:rPr>
          <w:rFonts w:cs="Segoe UI"/>
          <w:bCs/>
          <w:color w:val="242424"/>
          <w:lang w:val="en-GB"/>
        </w:rPr>
        <w:t xml:space="preserve"> in the negative mode. For feature alignment, we used retention time tolerance 0.2 min and MS1 tolerance 0.015 Da, no peak count filters, a sample-maximum-to-blank-average ratio of minimum 5, and gap filling by compulsion.</w:t>
      </w:r>
    </w:p>
    <w:p w14:paraId="322E4DBD" w14:textId="77777777" w:rsidR="00A34129" w:rsidRPr="00A34129" w:rsidRDefault="00A34129" w:rsidP="00A34129">
      <w:pPr>
        <w:pStyle w:val="Luettelokappale"/>
        <w:ind w:left="360"/>
      </w:pPr>
    </w:p>
    <w:p w14:paraId="3B05C31C" w14:textId="6218F754" w:rsidR="0038135E" w:rsidRPr="00050BA1" w:rsidRDefault="008831ED" w:rsidP="0038135E">
      <w:pPr>
        <w:pStyle w:val="Luettelokappale"/>
        <w:numPr>
          <w:ilvl w:val="1"/>
          <w:numId w:val="1"/>
        </w:numPr>
        <w:rPr>
          <w:i/>
          <w:iCs/>
        </w:rPr>
      </w:pPr>
      <w:r w:rsidRPr="00050BA1">
        <w:rPr>
          <w:i/>
          <w:iCs/>
        </w:rPr>
        <w:t xml:space="preserve"> Data preprocessing</w:t>
      </w:r>
    </w:p>
    <w:p w14:paraId="4814B98A" w14:textId="3D5DF2D2" w:rsidR="00FE207D" w:rsidRDefault="00887280" w:rsidP="00FE207D">
      <w:r w:rsidRPr="00887280">
        <w:t>All the analytical modes were preprocessed separately and were combined before statistical analysis.</w:t>
      </w:r>
      <w:r>
        <w:t xml:space="preserve"> </w:t>
      </w:r>
      <w:r w:rsidR="00C432E3" w:rsidRPr="00C432E3">
        <w:t>Molecular features were considered of high quality if they met all the following quality metrics</w:t>
      </w:r>
      <w:r w:rsidR="004251FC">
        <w:t xml:space="preserve">, as described in more detail by Broadhurst </w:t>
      </w:r>
      <w:r w:rsidR="004251FC">
        <w:rPr>
          <w:i/>
          <w:iCs/>
        </w:rPr>
        <w:t xml:space="preserve">et al. </w:t>
      </w:r>
      <w:r w:rsidR="004251FC">
        <w:t xml:space="preserve">2018 and Klåvus </w:t>
      </w:r>
      <w:r w:rsidR="004251FC">
        <w:rPr>
          <w:i/>
          <w:iCs/>
        </w:rPr>
        <w:t xml:space="preserve">et al. </w:t>
      </w:r>
      <w:r w:rsidR="004251FC">
        <w:t>2020</w:t>
      </w:r>
      <w:r w:rsidR="00C432E3" w:rsidRPr="00C432E3">
        <w:t>: low number of missing values (present in more than 70% of the QC samples, present in at least 50% of samples in at least one study group) and RSD* below 20%, D-ratio* below 10%. In addition, if either RSD* or D-ratio* was above the threshold, the features were still considered good quality if their classic RSD, RSD* and basic D-ratio were all below 10%.</w:t>
      </w:r>
    </w:p>
    <w:p w14:paraId="044BDF5C" w14:textId="09C1793B" w:rsidR="0084056D" w:rsidRDefault="00B427BB" w:rsidP="00FE207D">
      <w:r w:rsidRPr="00B427BB">
        <w:t>Drift correction was performed u</w:t>
      </w:r>
      <w:r>
        <w:t xml:space="preserve">sing </w:t>
      </w:r>
      <w:r w:rsidR="005E4679">
        <w:t>method described in</w:t>
      </w:r>
      <w:r w:rsidR="00865B26">
        <w:t xml:space="preserve"> </w:t>
      </w:r>
      <w:r w:rsidR="00FE207D">
        <w:t xml:space="preserve">Klåvus </w:t>
      </w:r>
      <w:r w:rsidR="00FE207D" w:rsidRPr="00FE207D">
        <w:rPr>
          <w:i/>
          <w:iCs/>
        </w:rPr>
        <w:t>et al.</w:t>
      </w:r>
      <w:r w:rsidR="00FE207D">
        <w:t xml:space="preserve"> 2020</w:t>
      </w:r>
      <w:r w:rsidR="00865B26">
        <w:t xml:space="preserve">. </w:t>
      </w:r>
      <w:r w:rsidR="00F127EA">
        <w:t xml:space="preserve">Firstly, </w:t>
      </w:r>
      <w:r w:rsidR="009A3822">
        <w:t>abundance values</w:t>
      </w:r>
      <w:r w:rsidR="00873A89">
        <w:t xml:space="preserve"> were log-transformed</w:t>
      </w:r>
      <w:r w:rsidR="009A3822">
        <w:t xml:space="preserve"> to </w:t>
      </w:r>
      <w:r w:rsidR="000D410E">
        <w:t xml:space="preserve">conform better with </w:t>
      </w:r>
      <w:r w:rsidR="001963BD">
        <w:t>model assumptions</w:t>
      </w:r>
      <w:r w:rsidR="00873A89">
        <w:t xml:space="preserve">. Secondly, </w:t>
      </w:r>
      <w:r w:rsidR="004531AE">
        <w:t xml:space="preserve">drift </w:t>
      </w:r>
      <w:r w:rsidR="00873A89">
        <w:t xml:space="preserve">was </w:t>
      </w:r>
      <w:r w:rsidR="004531AE">
        <w:t xml:space="preserve">modelled by fitting </w:t>
      </w:r>
      <w:r w:rsidR="004531AE" w:rsidRPr="004531AE">
        <w:t>a smoothed cubic spline to QC samples</w:t>
      </w:r>
      <w:r w:rsidR="00487C53">
        <w:t xml:space="preserve">. </w:t>
      </w:r>
      <w:r w:rsidR="001963BD">
        <w:t>Finally</w:t>
      </w:r>
      <w:r w:rsidR="00A71062">
        <w:t xml:space="preserve">, </w:t>
      </w:r>
      <w:r w:rsidR="001963BD">
        <w:t xml:space="preserve">all </w:t>
      </w:r>
      <w:r w:rsidR="00C141D2">
        <w:t xml:space="preserve">samples </w:t>
      </w:r>
      <w:r w:rsidR="003A2E13">
        <w:t xml:space="preserve">were corrected with </w:t>
      </w:r>
      <w:r w:rsidR="001473D6">
        <w:t>the</w:t>
      </w:r>
      <w:r w:rsidR="003A2E13">
        <w:t xml:space="preserve"> following formula</w:t>
      </w:r>
      <w:r w:rsidR="001473D6">
        <w:t>:</w:t>
      </w:r>
    </w:p>
    <w:p w14:paraId="6A0A6914" w14:textId="77777777" w:rsidR="003A2E13" w:rsidRDefault="003A2E13" w:rsidP="00A34129">
      <w:pPr>
        <w:pStyle w:val="Luettelokappale"/>
        <w:ind w:left="360"/>
      </w:pPr>
    </w:p>
    <w:p w14:paraId="09CA1E5B" w14:textId="2CC88801" w:rsidR="00D72116" w:rsidRPr="006B61CC" w:rsidRDefault="00000000" w:rsidP="00A34129">
      <w:pPr>
        <w:pStyle w:val="Luettelokappale"/>
        <w:ind w:left="360"/>
        <w:rPr>
          <w:rFonts w:eastAsiaTheme="minorEastAsia"/>
        </w:rPr>
      </w:pPr>
      <m:oMathPara>
        <m:oMath>
          <m:sSub>
            <m:sSubPr>
              <m:ctrlPr>
                <w:rPr>
                  <w:rFonts w:ascii="Cambria Math" w:hAnsi="Cambria Math"/>
                  <w:i/>
                </w:rPr>
              </m:ctrlPr>
            </m:sSubPr>
            <m:e>
              <m:r>
                <w:rPr>
                  <w:rFonts w:ascii="Cambria Math" w:hAnsi="Cambria Math"/>
                </w:rPr>
                <m:t>x</m:t>
              </m:r>
            </m:e>
            <m:sub>
              <m:r>
                <w:rPr>
                  <w:rFonts w:ascii="Cambria Math" w:hAnsi="Cambria Math"/>
                </w:rPr>
                <m:t>corrected</m:t>
              </m:r>
            </m:sub>
          </m:sSub>
          <m:d>
            <m:dPr>
              <m:ctrlPr>
                <w:rPr>
                  <w:rFonts w:ascii="Cambria Math" w:hAnsi="Cambria Math"/>
                  <w:i/>
                </w:rPr>
              </m:ctrlPr>
            </m:dPr>
            <m:e>
              <m:r>
                <w:rPr>
                  <w:rFonts w:ascii="Cambria Math" w:hAnsi="Cambria Math"/>
                </w:rPr>
                <m:t>i</m:t>
              </m:r>
            </m:e>
          </m:d>
          <m:r>
            <w:rPr>
              <w:rFonts w:ascii="Cambria Math" w:hAnsi="Cambria Math"/>
            </w:rPr>
            <m:t>=</m:t>
          </m:r>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original</m:t>
                      </m:r>
                    </m:sub>
                  </m:sSub>
                  <m:d>
                    <m:dPr>
                      <m:ctrlPr>
                        <w:rPr>
                          <w:rFonts w:ascii="Cambria Math" w:hAnsi="Cambria Math"/>
                          <w:i/>
                        </w:rPr>
                      </m:ctrlPr>
                    </m:dPr>
                    <m:e>
                      <m:r>
                        <w:rPr>
                          <w:rFonts w:ascii="Cambria Math" w:hAnsi="Cambria Math"/>
                        </w:rPr>
                        <m:t>i</m:t>
                      </m:r>
                    </m:e>
                  </m:d>
                  <m:r>
                    <w:rPr>
                      <w:rFonts w:ascii="Cambria Math" w:hAnsi="Cambria Math"/>
                    </w:rPr>
                    <m:t>+ mean</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QC</m:t>
                          </m:r>
                        </m:sub>
                      </m:sSub>
                    </m:e>
                  </m:d>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drift</m:t>
                      </m:r>
                    </m:sub>
                  </m:sSub>
                  <m:d>
                    <m:dPr>
                      <m:ctrlPr>
                        <w:rPr>
                          <w:rFonts w:ascii="Cambria Math" w:hAnsi="Cambria Math"/>
                          <w:i/>
                        </w:rPr>
                      </m:ctrlPr>
                    </m:dPr>
                    <m:e>
                      <m:r>
                        <w:rPr>
                          <w:rFonts w:ascii="Cambria Math" w:hAnsi="Cambria Math"/>
                        </w:rPr>
                        <m:t>i</m:t>
                      </m:r>
                    </m:e>
                  </m:d>
                </m:e>
              </m:d>
            </m:e>
          </m:func>
        </m:oMath>
      </m:oMathPara>
    </w:p>
    <w:p w14:paraId="61E87718" w14:textId="77777777" w:rsidR="006B61CC" w:rsidRPr="006B61CC" w:rsidRDefault="006B61CC" w:rsidP="00A34129">
      <w:pPr>
        <w:pStyle w:val="Luettelokappale"/>
        <w:ind w:left="360"/>
        <w:rPr>
          <w:rFonts w:eastAsiaTheme="minorEastAsia"/>
        </w:rPr>
      </w:pPr>
    </w:p>
    <w:p w14:paraId="4751FB35" w14:textId="43F1C337" w:rsidR="00A34129" w:rsidRDefault="001473D6" w:rsidP="00887280">
      <w:r>
        <w:t>w</w:t>
      </w:r>
      <w:r w:rsidR="00A82866" w:rsidRPr="009E7D11">
        <w:t xml:space="preserve">here </w:t>
      </w:r>
      <w:r>
        <w:t xml:space="preserve">the </w:t>
      </w:r>
      <w:r w:rsidR="00A82866" w:rsidRPr="009E7D11">
        <w:t xml:space="preserve">exponential function </w:t>
      </w:r>
      <w:r w:rsidR="009E7D11" w:rsidRPr="009E7D11">
        <w:t>reverses p</w:t>
      </w:r>
      <w:r w:rsidR="009E7D11">
        <w:t>rior log-transformation.</w:t>
      </w:r>
    </w:p>
    <w:p w14:paraId="7F34A8CB" w14:textId="65FECB14" w:rsidR="00A34129" w:rsidRPr="00050BA1" w:rsidRDefault="00A34129" w:rsidP="00A34129">
      <w:pPr>
        <w:pStyle w:val="Luettelokappale"/>
        <w:numPr>
          <w:ilvl w:val="1"/>
          <w:numId w:val="1"/>
        </w:numPr>
        <w:rPr>
          <w:i/>
          <w:iCs/>
        </w:rPr>
      </w:pPr>
      <w:r w:rsidRPr="00050BA1">
        <w:rPr>
          <w:i/>
          <w:iCs/>
        </w:rPr>
        <w:lastRenderedPageBreak/>
        <w:t>Compound identification</w:t>
      </w:r>
    </w:p>
    <w:p w14:paraId="02D22387" w14:textId="08201D9A" w:rsidR="00464D89" w:rsidRDefault="00431F48" w:rsidP="008A5F8F">
      <w:pPr>
        <w:rPr>
          <w:rFonts w:cs="Segoe UI"/>
          <w:bCs/>
          <w:color w:val="242424"/>
          <w:lang w:val="en-GB"/>
        </w:rPr>
      </w:pPr>
      <w:r w:rsidRPr="00431F48">
        <w:rPr>
          <w:rFonts w:cs="Segoe UI"/>
          <w:bCs/>
          <w:color w:val="242424"/>
          <w:lang w:val="en-GB"/>
        </w:rPr>
        <w:t>We used the automatic annotation provided by MS-DIAL and the database file</w:t>
      </w:r>
      <w:r w:rsidR="00FF1910">
        <w:rPr>
          <w:rFonts w:cs="Segoe UI"/>
          <w:bCs/>
          <w:color w:val="242424"/>
          <w:lang w:val="en-GB"/>
        </w:rPr>
        <w:t xml:space="preserve">, consisting of our in-house library and </w:t>
      </w:r>
      <w:r w:rsidR="00FF1910" w:rsidRPr="004475CD">
        <w:rPr>
          <w:rFonts w:cs="Segoe UI"/>
          <w:bCs/>
          <w:color w:val="242424"/>
          <w:lang w:val="en-GB"/>
        </w:rPr>
        <w:t>public spectral libraries available from the MS-DIAL repository and MassBank of North America (MoNA)</w:t>
      </w:r>
      <w:r w:rsidRPr="00431F48">
        <w:rPr>
          <w:rFonts w:cs="Segoe UI"/>
          <w:bCs/>
          <w:color w:val="242424"/>
          <w:lang w:val="en-GB"/>
        </w:rPr>
        <w:t>. The tolerances for MS1 and MS2 peaks were 0.01 and 0.05 Da, respectively. The retention time match for the level 1 identifications was considered individually during the manual inspection as long as the difference did not exceed 0.5 min.</w:t>
      </w:r>
    </w:p>
    <w:p w14:paraId="2F6B300F" w14:textId="1D7B5584" w:rsidR="00F308EF" w:rsidRPr="00D10AFD" w:rsidRDefault="00DA7B25" w:rsidP="00F308EF">
      <w:pPr>
        <w:pStyle w:val="Luettelokappale"/>
        <w:numPr>
          <w:ilvl w:val="1"/>
          <w:numId w:val="1"/>
        </w:numPr>
        <w:rPr>
          <w:rFonts w:cs="Segoe UI"/>
          <w:bCs/>
          <w:i/>
          <w:iCs/>
          <w:color w:val="242424"/>
          <w:lang w:val="en-GB"/>
        </w:rPr>
      </w:pPr>
      <w:r>
        <w:rPr>
          <w:rFonts w:cs="Segoe UI"/>
          <w:bCs/>
          <w:i/>
          <w:iCs/>
          <w:color w:val="242424"/>
          <w:lang w:val="en-GB"/>
        </w:rPr>
        <w:t>Evaluating possible modulation/origin from gut commensals</w:t>
      </w:r>
    </w:p>
    <w:p w14:paraId="23C226F5" w14:textId="60A178AC" w:rsidR="005E4BD0" w:rsidRDefault="00DA7B25" w:rsidP="00F308EF">
      <w:r>
        <w:t>The metabolomic d</w:t>
      </w:r>
      <w:r w:rsidR="00F308EF" w:rsidRPr="00D10AFD">
        <w:t>ata acquired in these analyses were aligned to a previously published dataset</w:t>
      </w:r>
      <w:r>
        <w:t xml:space="preserve"> of metabolites modulated by gut microbiota</w:t>
      </w:r>
      <w:r w:rsidR="008C3CE0" w:rsidRPr="00D10AFD">
        <w:t xml:space="preserve"> using t</w:t>
      </w:r>
      <w:r>
        <w:t>he latter</w:t>
      </w:r>
      <w:r w:rsidR="008C3CE0" w:rsidRPr="00D10AFD">
        <w:t xml:space="preserve"> as a reference</w:t>
      </w:r>
      <w:r>
        <w:t>,</w:t>
      </w:r>
      <w:r w:rsidR="00F308EF" w:rsidRPr="00D10AFD">
        <w:t xml:space="preserve"> by authors MN and AM. </w:t>
      </w:r>
      <w:r>
        <w:t xml:space="preserve">The reference LC-MS data were obtained using the same LC system, the same elution, and mass-spectrometry parameters as in the present study (see above and </w:t>
      </w:r>
      <w:r w:rsidR="00207EAE">
        <w:fldChar w:fldCharType="begin"/>
      </w:r>
      <w:r w:rsidR="00207EAE">
        <w:instrText xml:space="preserve"> ADDIN ZOTERO_ITEM CSL_CITATION {"citationID":"ivzp7OYj","properties":{"formattedCitation":"(Pessa-Morikawa et al., 2022)","plainCitation":"(Pessa-Morikawa et al., 2022)","noteIndex":0},"citationItems":[{"id":269,"uris":["http://zotero.org/users/10922750/items/S62V7EHX"],"itemData":{"id":269,"type":"article-journal","abstract":"Abstract\n            \n              Background\n              The maternal microbiota affects the development of the offspring by microbial metabolites translocating to the fetus. To reveal the spectrum of these molecular mediators of the earliest host-microbe interactions, we compared placenta, fetal intestine and brain from germ-free (GF) and specific pathogen free (SPF) mouse dams by non-targeted metabolic profiling.\n            \n            \n              Results\n              One hundred one annotated metabolites and altogether 3680 molecular features were present in significantly different amounts in the placenta and/or fetal organs of GF and SPF mice. More than half of these were more abundant in the SPF organs, suggesting their microbial origin or a metabolic response of the host to the presence of microbes. The clearest separation was observed in the placenta, but most of the molecular features showed significantly different levels also in the fetal intestine and/or brain. Metabolites that were detected in lower amounts in the GF fetal organs included 5-aminovaleric acid betaine, trimethylamine N-oxide, catechol-O-sulphate, hippuric and pipecolic acid. Derivatives of the amino acid tryptophan, such as kynurenine, 3-indolepropionic acid and hydroxyindoleacetic acid, were also less abundant in the absence of microbiota. Ninety-nine molecular features were detected only in the SPF mice. We also observed several molecular features which were more abundant in the GF mice, possibly representing precursors of microbial metabolites or indicators of a metabolic response to the absence of microbiota.\n            \n            \n              Conclusions\n              The maternal microbiota has a profound impact on the fetal metabolome. Our observations suggest the existence of a multitude of yet unidentified microbially modified metabolites which pass through the placenta into the fetus and potentially influence fetal development.","container-title":"BMC Microbiology","DOI":"10.1186/s12866-022-02457-6","ISSN":"1471-2180","issue":"1","journalAbbreviation":"BMC Microbiol","language":"en","page":"46","source":"DOI.org (Crossref)","title":"Maternal microbiota-derived metabolic profile in fetal murine intestine, brain and placenta","volume":"22","author":[{"family":"Pessa-Morikawa","given":"Tiina"},{"family":"Husso","given":"Aleksi"},{"family":"Kärkkäinen","given":"Olli"},{"family":"Koistinen","given":"Ville"},{"family":"Hanhineva","given":"Kati"},{"family":"Iivanainen","given":"Antti"},{"family":"Niku","given":"Mikael"}],"issued":{"date-parts":[["2022",12]]}}}],"schema":"https://github.com/citation-style-language/schema/raw/master/csl-citation.json"} </w:instrText>
      </w:r>
      <w:r w:rsidR="00207EAE">
        <w:fldChar w:fldCharType="separate"/>
      </w:r>
      <w:r w:rsidR="00207EAE" w:rsidRPr="00207EAE">
        <w:rPr>
          <w:rFonts w:ascii="Aptos" w:hAnsi="Aptos"/>
        </w:rPr>
        <w:t>Pessa-Morikawa et al., 2022</w:t>
      </w:r>
      <w:r w:rsidR="00207EAE">
        <w:fldChar w:fldCharType="end"/>
      </w:r>
      <w:r w:rsidR="000F6A90">
        <w:t>)</w:t>
      </w:r>
      <w:r w:rsidR="00207EAE">
        <w:t>.</w:t>
      </w:r>
      <w:r>
        <w:t xml:space="preserve"> At the first stage, both LC-MS datasets were separately processed in </w:t>
      </w:r>
      <w:r w:rsidR="00F308EF" w:rsidRPr="00D10AFD">
        <w:t>MS-Dial</w:t>
      </w:r>
      <w:r>
        <w:t xml:space="preserve"> with parameters listed above (peak-picking and</w:t>
      </w:r>
      <w:r w:rsidR="00F308EF" w:rsidRPr="00D10AFD">
        <w:t xml:space="preserve"> alignment</w:t>
      </w:r>
      <w:r>
        <w:t>). The resulting spectra from the alignment of the reference dataset were exported as an msp-file and used at the second stage as a reference database for compounds identification (the tolerance for MS1 and MS2 signals were 0.01 and 0.025 Da, respectively; for retention time 0.3 min; minimum of three matched spectra per molecular feature). All</w:t>
      </w:r>
      <w:r w:rsidR="00F308EF" w:rsidRPr="00D10AFD">
        <w:t xml:space="preserve"> matches</w:t>
      </w:r>
      <w:r>
        <w:t xml:space="preserve"> with the compounds previously revealed as microbially modulated</w:t>
      </w:r>
      <w:r w:rsidR="00F308EF" w:rsidRPr="00D10AFD">
        <w:t xml:space="preserve"> were curated manually based on MS2 data, retention time, and m/z values, engaging Sirius</w:t>
      </w:r>
      <w:r>
        <w:t xml:space="preserve"> v. 5.8.6 </w:t>
      </w:r>
      <w:r w:rsidR="00207EAE">
        <w:fldChar w:fldCharType="begin"/>
      </w:r>
      <w:r w:rsidR="00207EAE">
        <w:instrText xml:space="preserve"> ADDIN ZOTERO_ITEM CSL_CITATION {"citationID":"8YKWJWp0","properties":{"formattedCitation":"(D\\uc0\\u252{}hrkop et al., 2019)","plainCitation":"(Dührkop et al., 2019)","noteIndex":0},"citationItems":[{"id":700,"uris":["http://zotero.org/users/10922750/items/FDBH6NF9"],"itemData":{"id":700,"type":"article-journal","container-title":"Nature Methods","DOI":"10.1038/s41592-019-0344-8","ISSN":"1548-7091, 1548-7105","issue":"4","journalAbbreviation":"Nat Methods","language":"en","page":"299-302","source":"DOI.org (Crossref)","title":"SIRIUS 4: a rapid tool for turning tandem mass spectra into metabolite structure information","title-short":"SIRIUS 4","volume":"16","author":[{"family":"Dührkop","given":"Kai"},{"family":"Fleischauer","given":"Markus"},{"family":"Ludwig","given":"Marcus"},{"family":"Aksenov","given":"Alexander A."},{"family":"Melnik","given":"Alexey V."},{"family":"Meusel","given":"Marvin"},{"family":"Dorrestein","given":"Pieter C."},{"family":"Rousu","given":"Juho"},{"family":"Böcker","given":"Sebastian"}],"issued":{"date-parts":[["2019",4]]}}}],"schema":"https://github.com/citation-style-language/schema/raw/master/csl-citation.json"} </w:instrText>
      </w:r>
      <w:r w:rsidR="00207EAE">
        <w:fldChar w:fldCharType="separate"/>
      </w:r>
      <w:r w:rsidR="00207EAE" w:rsidRPr="00207EAE">
        <w:rPr>
          <w:rFonts w:ascii="Aptos" w:hAnsi="Aptos" w:cs="Times New Roman"/>
          <w:kern w:val="0"/>
        </w:rPr>
        <w:t>(Dührkop et al., 2019)</w:t>
      </w:r>
      <w:r w:rsidR="00207EAE">
        <w:fldChar w:fldCharType="end"/>
      </w:r>
      <w:r w:rsidR="00F308EF" w:rsidRPr="00D10AFD">
        <w:t xml:space="preserve"> as an additional tool for structure</w:t>
      </w:r>
      <w:r>
        <w:t xml:space="preserve"> comparison and</w:t>
      </w:r>
      <w:r w:rsidR="00F308EF" w:rsidRPr="00D10AFD">
        <w:t xml:space="preserve"> interpretation.</w:t>
      </w:r>
    </w:p>
    <w:p w14:paraId="1DEB2979" w14:textId="2EA738A2" w:rsidR="0062680F" w:rsidRPr="00EF66AE" w:rsidRDefault="0062680F" w:rsidP="00EF66AE">
      <w:pPr>
        <w:pStyle w:val="Luettelokappale"/>
        <w:numPr>
          <w:ilvl w:val="1"/>
          <w:numId w:val="1"/>
        </w:numPr>
        <w:rPr>
          <w:rStyle w:val="apple-converted-space"/>
          <w:rFonts w:cs="Calibri"/>
          <w:i/>
          <w:iCs/>
          <w:color w:val="000000"/>
        </w:rPr>
      </w:pPr>
      <w:r w:rsidRPr="00EF66AE">
        <w:rPr>
          <w:rStyle w:val="apple-converted-space"/>
          <w:rFonts w:cs="Calibri"/>
          <w:i/>
          <w:iCs/>
          <w:color w:val="000000"/>
        </w:rPr>
        <w:t xml:space="preserve">Nested PCR approach for testing bacterial positivity of meconium samples </w:t>
      </w:r>
    </w:p>
    <w:p w14:paraId="02594F8D" w14:textId="5C39E826" w:rsidR="006708FC" w:rsidRDefault="00EF66AE" w:rsidP="006708FC">
      <w:pPr>
        <w:spacing w:after="0" w:line="240" w:lineRule="auto"/>
      </w:pPr>
      <w:r>
        <w:rPr>
          <w:rFonts w:ascii="Times New Roman" w:eastAsia="Times New Roman" w:hAnsi="Times New Roman" w:cs="Times New Roman"/>
          <w:sz w:val="24"/>
          <w:szCs w:val="24"/>
          <w:lang w:eastAsia="en-GB"/>
        </w:rPr>
        <w:t xml:space="preserve">Meconium samples were subjected for DNA extraction using ca. 200 mg of sample and </w:t>
      </w:r>
      <w:r>
        <w:t xml:space="preserve">mechanical cell lysis as described in detail by Dubois et al. </w:t>
      </w:r>
      <w:r w:rsidR="006708FC">
        <w:fldChar w:fldCharType="begin"/>
      </w:r>
      <w:r w:rsidR="006708FC">
        <w:instrText xml:space="preserve"> ADDIN ZOTERO_ITEM CSL_CITATION {"citationID":"K7xj0j95","properties":{"formattedCitation":"(Dubois et al., 2024)","plainCitation":"(Dubois et al., 2024)","noteIndex":0},"citationItems":[{"id":276,"uris":["http://zotero.org/users/10922750/items/8PAMIB9M"],"itemData":{"id":276,"type":"article-journal","container-title":"Cell Host &amp; Microbe","DOI":"10.1016/j.chom.2024.05.004","ISSN":"19313128","issue":"6","journalAbbreviation":"Cell Host &amp; Microbe","language":"en","page":"1011-1024.e4","source":"DOI.org (Crossref)","title":"Paternal and induced gut microbiota seeding complement mother-to-infant transmission","volume":"32","author":[{"family":"Dubois","given":"Léonard"},{"family":"Valles-Colomer","given":"Mireia"},{"family":"Ponsero","given":"Alise"},{"family":"Helve","given":"Otto"},{"family":"Andersson","given":"Sture"},{"family":"Kolho","given":"Kaija-Leena"},{"family":"Asnicar","given":"Francesco"},{"family":"Korpela","given":"Katri"},{"family":"Salonen","given":"Anne"},{"family":"Segata","given":"Nicola"},{"family":"De Vos","given":"Willem M."}],"issued":{"date-parts":[["2024",6]]}}}],"schema":"https://github.com/citation-style-language/schema/raw/master/csl-citation.json"} </w:instrText>
      </w:r>
      <w:r w:rsidR="006708FC">
        <w:fldChar w:fldCharType="separate"/>
      </w:r>
      <w:r w:rsidR="006708FC" w:rsidRPr="006708FC">
        <w:rPr>
          <w:rFonts w:ascii="Aptos" w:hAnsi="Aptos"/>
        </w:rPr>
        <w:t>(Dubois et al., 2024)</w:t>
      </w:r>
      <w:r w:rsidR="006708FC">
        <w:fldChar w:fldCharType="end"/>
      </w:r>
      <w:r w:rsidR="006708FC">
        <w:t xml:space="preserve">. The DNA was quantified with fluorometry (Quant-IT </w:t>
      </w:r>
      <w:r w:rsidR="006708FC" w:rsidRPr="003A06D2">
        <w:t>Quant-iT™ dsDNA Assay Kits, high sensitivity (HS)</w:t>
      </w:r>
      <w:r w:rsidR="006708FC">
        <w:t xml:space="preserve">, Thermo Fisher Scientific). The median DNA concentration was </w:t>
      </w:r>
      <w:r w:rsidR="006708FC" w:rsidRPr="00176DF3">
        <w:t>0,1 ng/μl.</w:t>
      </w:r>
      <w:r w:rsidR="006708FC">
        <w:t xml:space="preserve"> We first tested a qPCR approach without a probe </w:t>
      </w:r>
      <w:r w:rsidR="006708FC">
        <w:fldChar w:fldCharType="begin"/>
      </w:r>
      <w:r w:rsidR="006708FC">
        <w:instrText xml:space="preserve"> ADDIN ZOTERO_ITEM CSL_CITATION {"citationID":"5OSiqvVx","properties":{"formattedCitation":"(Jokela et al., 2022)","plainCitation":"(Jokela et al., 2022)","noteIndex":0},"citationItems":[{"id":275,"uris":["http://zotero.org/users/10922750/items/QL9XW7LM"],"itemData":{"id":275,"type":"article-journal","container-title":"Gut Microbes","DOI":"10.1080/19490976.2022.2095775","ISSN":"1949-0976, 1949-0984","issue":"1","journalAbbreviation":"Gut Microbes","language":"en","page":"2095775","source":"DOI.org (Crossref)","title":"Quantitative insights into effects of intrapartum antibiotics and birth mode on infant gut microbiota in relation to well-being during the first year of life","volume":"14","author":[{"family":"Jokela","given":"Roosa"},{"family":"Korpela","given":"Katri"},{"family":"Jian","given":"Ching"},{"family":"Dikareva","given":"Evgenia"},{"family":"Nikkonen","given":"Anne"},{"family":"Saisto","given":"Terhi"},{"family":"Skogberg","given":"Kirsi"},{"family":"De Vos","given":"Willem M."},{"family":"Kolho","given":"Kaija-Leena"},{"family":"Salonen","given":"Anne"}],"issued":{"date-parts":[["2022",12,31]]}}}],"schema":"https://github.com/citation-style-language/schema/raw/master/csl-citation.json"} </w:instrText>
      </w:r>
      <w:r w:rsidR="006708FC">
        <w:fldChar w:fldCharType="separate"/>
      </w:r>
      <w:r w:rsidR="006708FC" w:rsidRPr="006708FC">
        <w:rPr>
          <w:rFonts w:ascii="Aptos" w:hAnsi="Aptos"/>
        </w:rPr>
        <w:t>(Jokela et al., 2022)</w:t>
      </w:r>
      <w:r w:rsidR="006708FC">
        <w:fldChar w:fldCharType="end"/>
      </w:r>
      <w:r w:rsidR="006708FC">
        <w:t xml:space="preserve">, but human DNA extracted from blood used as a negative control gave signal that could not be reliably differentiated from the samples in melting curve analysis. The same assay with a probe </w:t>
      </w:r>
      <w:r w:rsidR="006708FC">
        <w:fldChar w:fldCharType="begin"/>
      </w:r>
      <w:r w:rsidR="006708FC">
        <w:instrText xml:space="preserve"> ADDIN ZOTERO_ITEM CSL_CITATION {"citationID":"vhaJOzn5","properties":{"formattedCitation":"(Husso et al., 2020)","plainCitation":"(Husso et al., 2020)","noteIndex":0},"citationItems":[{"id":274,"uris":["http://zotero.org/users/10922750/items/EIM52LVE"],"itemData":{"id":274,"type":"article-journal","abstract":"Abstract\n            \n              The establishment of the intestinal microbiota is critical for the digestive and immune systems. We studied the early development of the rectal microbiota in horse, a hindgut fermenter, from birth until 7 days of age, by qPCR and 16S rRNA gene amplicon sequencing. To evaluate initial sources of the foal microbiota, we characterised dam fecal, vaginal and oral microbiotas. We utilised an amplicon sequence variant (ASV) pipeline to maximise resolution and reproducibility. Stringent ASV filtering based on prevalence and abundance in samples and controls purged contaminants while preserving intestinal taxa. Sampled within 20</w:instrText>
      </w:r>
      <w:r w:rsidR="006708FC">
        <w:rPr>
          <w:rFonts w:ascii="Arial" w:hAnsi="Arial" w:cs="Arial"/>
        </w:rPr>
        <w:instrText> </w:instrText>
      </w:r>
      <w:r w:rsidR="006708FC">
        <w:instrText>minutes after birth, rectal meconium contained small amounts of diverse bacterial DNA, with a profile closer to mare feces than mouth. 24</w:instrText>
      </w:r>
      <w:r w:rsidR="006708FC">
        <w:rPr>
          <w:rFonts w:ascii="Arial" w:hAnsi="Arial" w:cs="Arial"/>
        </w:rPr>
        <w:instrText> </w:instrText>
      </w:r>
      <w:r w:rsidR="006708FC">
        <w:instrText>hours after birth, rectum was colonised by Firmicutes and Proteobacteria, some foals dominated by single genera. At day 7, the rectal genera were still different from adult feces. The mare vaginal microbiota contributed to 24</w:instrText>
      </w:r>
      <w:r w:rsidR="006708FC">
        <w:rPr>
          <w:rFonts w:ascii="Arial" w:hAnsi="Arial" w:cs="Arial"/>
        </w:rPr>
        <w:instrText> </w:instrText>
      </w:r>
      <w:r w:rsidR="006708FC">
        <w:instrText xml:space="preserve">h and 7 day microbiotas. It contained few lactobacilli, with\n              Corynebacterium\n              ,\n              Porphyromonas\n              ,\n              Campylobacter\n              and\n              Helcococcus\n              as the most abundant genera. In the oral mucosa,\n              Gemella\n              was extremely abundant. Our observations indicate that bacteria or bacterial components are present in the intestine immediately after birth, but the newborn microbiota changes rapidly.","container-title":"Scientific Reports","DOI":"10.1038/s41598-019-57003-8","ISSN":"2045-2322","issue":"1","journalAbbreviation":"Sci Rep","language":"en","page":"441","source":"DOI.org (Crossref)","title":"The composition of the perinatal intestinal microbiota in horse","volume":"10","author":[{"family":"Husso","given":"A."},{"family":"Jalanka","given":"J."},{"family":"Alipour","given":"M. J."},{"family":"Huhti","given":"P."},{"family":"Kareskoski","given":"M."},{"family":"Pessa-Morikawa","given":"T."},{"family":"Iivanainen","given":"A."},{"family":"Niku","given":"M."}],"issued":{"date-parts":[["2020",1,16]]}}}],"schema":"https://github.com/citation-style-language/schema/raw/master/csl-citation.json"} </w:instrText>
      </w:r>
      <w:r w:rsidR="006708FC">
        <w:fldChar w:fldCharType="separate"/>
      </w:r>
      <w:r w:rsidR="006708FC" w:rsidRPr="006708FC">
        <w:rPr>
          <w:rFonts w:ascii="Aptos" w:hAnsi="Aptos"/>
        </w:rPr>
        <w:t>(Husso et al., 2020)</w:t>
      </w:r>
      <w:r w:rsidR="006708FC">
        <w:fldChar w:fldCharType="end"/>
      </w:r>
      <w:r w:rsidR="006708FC">
        <w:t xml:space="preserve"> was highly specific but less sensitive, and we wound have ran out of samples to run them in triplicates. </w:t>
      </w:r>
    </w:p>
    <w:p w14:paraId="374D92AC" w14:textId="77777777" w:rsidR="006708FC" w:rsidRDefault="006708FC" w:rsidP="006708FC">
      <w:pPr>
        <w:spacing w:after="0" w:line="240" w:lineRule="auto"/>
      </w:pPr>
    </w:p>
    <w:p w14:paraId="361715AC" w14:textId="38BC72C6" w:rsidR="00EF66AE" w:rsidRDefault="006708FC" w:rsidP="006708FC">
      <w:r>
        <w:t xml:space="preserve">Hence, due to the very low DNA concentrations, a </w:t>
      </w:r>
      <w:r>
        <w:rPr>
          <w:rFonts w:ascii="Times New Roman" w:eastAsia="Times New Roman" w:hAnsi="Times New Roman" w:cs="Times New Roman"/>
          <w:sz w:val="24"/>
          <w:szCs w:val="24"/>
          <w:lang w:eastAsia="en-GB"/>
        </w:rPr>
        <w:t xml:space="preserve">nested </w:t>
      </w:r>
      <w:r w:rsidRPr="000A74E6">
        <w:t xml:space="preserve">PCR </w:t>
      </w:r>
      <w:r>
        <w:t xml:space="preserve">approach was applied to categorize the meconium samples as negative or positive in terms of bacterial DNA. </w:t>
      </w:r>
      <w:r w:rsidRPr="00EE0E85">
        <w:t>Nested PCR consists of two successi</w:t>
      </w:r>
      <w:r>
        <w:t xml:space="preserve">ve </w:t>
      </w:r>
      <w:r w:rsidRPr="00EE0E85">
        <w:t xml:space="preserve">PCRs, </w:t>
      </w:r>
      <w:r>
        <w:t xml:space="preserve">in our case </w:t>
      </w:r>
      <w:r w:rsidRPr="00EE0E85">
        <w:t xml:space="preserve">the </w:t>
      </w:r>
      <w:r>
        <w:t xml:space="preserve">first PCR targeting the full-length 16S RNA gene found in all bacteria, and the </w:t>
      </w:r>
      <w:r w:rsidRPr="00EE0E85">
        <w:t xml:space="preserve">second PCR </w:t>
      </w:r>
      <w:r>
        <w:t xml:space="preserve">a shorter fragment of the same gene. Nested PCR has been used to study low bacterial biomass samples that have high host DNA content as it helps to increase assay sensitivity without compromising the specificity if controlled appropriately by negative controls </w:t>
      </w:r>
      <w:r>
        <w:fldChar w:fldCharType="begin"/>
      </w:r>
      <w:r>
        <w:instrText xml:space="preserve"> ADDIN ZOTERO_ITEM CSL_CITATION {"citationID":"uCKiK9o6","properties":{"formattedCitation":"(Brun et al., 2020; Smolejov\\uc0\\u225{} et al., 2021)","plainCitation":"(Brun et al., 2020; Smolejová et al., 2021)","noteIndex":0},"citationItems":[{"id":273,"uris":["http://zotero.org/users/10922750/items/KA42NKBG"],"itemData":{"id":273,"type":"article-journal","container-title":"Journal of Oral Microbiology","DOI":"10.1080/20002297.2020.1742523","ISSN":"2000-2297","issue":"1","journalAbbreviation":"Journal of Oral Microbiology","language":"en","page":"1742523","source":"DOI.org (Crossref)","title":"Innovative application of nested PCR for detection of &lt;i&gt;Porphyromonas gingivalis&lt;/i&gt; in human highly calcified atherothrombotic plaques","volume":"12","author":[{"family":"Brun","given":"Adrian"},{"family":"Rangé","given":"Hélène"},{"family":"Prouvost","given":"Bastien"},{"family":"Mazighi","given":"Mikael"},{"family":"Kapila","given":"Yvonne"},{"family":"Bouchard","given":"Philippe"},{"family":"Michel","given":"Jean-Baptiste"}],"issued":{"date-parts":[["2020",1,1]]}}},{"id":272,"uris":["http://zotero.org/users/10922750/items/MX4LH7IQ"],"itemData":{"id":272,"type":"article-journal","abstract":"Chlamydia are Gram-negative, intracellular pathogens colonizing epithelial mucosa. They cause primarily atypical pneumonia and have recently been associated with chronic diseases. Diagnostics relies almost exclusively on serological methods; PCR tests are used rarely because in patients with positive ELISA, it is nearly impossible to identify chlamydial DNA. This paradox is associated with DNA degradation in sputum samples, low abundance, and low sensitivity of PCR systems. In a newly designed and validated “nested” PCR (NPCR) assay, it was possible to amplify DNA of Chlamydia known to infect humans in 31% samples. The reliability of the assay was confirmed by DNA sequencing, and all PCR products belonged exclusively to the Chlamydiales, mainly recognized as Chlamydia pneumoniae. Three samples were related to Ca. Rhabdochlamydia porcellionis and Ca. Renichlamydia lutjani, which infect arthropods. In one case, samples were taken from sick individual, indicating the potential as a human pathogen.","container-title":"Microorganisms","DOI":"10.3390/microorganisms9050935","ISSN":"2076-2607","issue":"5","journalAbbreviation":"Microorganisms","language":"en","license":"https://creativecommons.org/licenses/by/4.0/","page":"935","source":"DOI.org (Crossref)","title":"Reliable and Sensitive Nested PCR for the Detection of Chlamydia in Sputum","volume":"9","author":[{"family":"Smolejová","given":"Martina"},{"family":"Cihová","given":"Iveta"},{"family":"Sulo","given":"Pavol"}],"issued":{"date-parts":[["2021",4,27]]}}}],"schema":"https://github.com/citation-style-language/schema/raw/master/csl-citation.json"} </w:instrText>
      </w:r>
      <w:r>
        <w:fldChar w:fldCharType="separate"/>
      </w:r>
      <w:r w:rsidRPr="006708FC">
        <w:rPr>
          <w:rFonts w:ascii="Aptos" w:hAnsi="Aptos" w:cs="Times New Roman"/>
          <w:kern w:val="0"/>
        </w:rPr>
        <w:t>(Brun et al., 2020; Smolejová et al., 2021)</w:t>
      </w:r>
      <w:r>
        <w:fldChar w:fldCharType="end"/>
      </w:r>
      <w:r>
        <w:t>.</w:t>
      </w:r>
    </w:p>
    <w:p w14:paraId="6EA4DDB7" w14:textId="77777777" w:rsidR="006708FC" w:rsidRPr="00EE0E85" w:rsidRDefault="006708FC" w:rsidP="006708FC">
      <w:pPr>
        <w:spacing w:after="0" w:line="240" w:lineRule="auto"/>
      </w:pPr>
      <w:r>
        <w:t xml:space="preserve">We first enriched bacterial DNA with primers targeting the full-length 16S rRNA gene (ca. </w:t>
      </w:r>
      <w:r w:rsidRPr="00EE0E85">
        <w:t>1500</w:t>
      </w:r>
    </w:p>
    <w:p w14:paraId="45DAB4EF" w14:textId="77777777" w:rsidR="006708FC" w:rsidRPr="00EE0E85" w:rsidRDefault="006708FC" w:rsidP="006708FC">
      <w:pPr>
        <w:spacing w:after="0" w:line="240" w:lineRule="auto"/>
      </w:pPr>
      <w:r w:rsidRPr="00EE0E85">
        <w:t>Bp</w:t>
      </w:r>
      <w:r>
        <w:t xml:space="preserve">, primers </w:t>
      </w:r>
      <w:r w:rsidRPr="00EE0E85">
        <w:t>F:5’-GAGAGTTTGATYCTGGCTCAG-3’ and R:5’-</w:t>
      </w:r>
    </w:p>
    <w:p w14:paraId="7419A821" w14:textId="5C2F57E3" w:rsidR="006708FC" w:rsidRPr="001D27D0" w:rsidRDefault="006708FC" w:rsidP="006708FC">
      <w:pPr>
        <w:spacing w:after="0" w:line="240" w:lineRule="auto"/>
      </w:pPr>
      <w:r w:rsidRPr="00EE0E85">
        <w:t>AAGGAGGTGATCCA</w:t>
      </w:r>
      <w:r>
        <w:t xml:space="preserve">RCCGCA -3’ </w:t>
      </w:r>
      <w:r>
        <w:fldChar w:fldCharType="begin"/>
      </w:r>
      <w:r>
        <w:instrText xml:space="preserve"> ADDIN ZOTERO_ITEM CSL_CITATION {"citationID":"n0hua5Hm","properties":{"formattedCitation":"(Wang et al., 2002)","plainCitation":"(Wang et al., 2002)","noteIndex":0},"citationItems":[{"id":271,"uris":["http://zotero.org/users/10922750/items/EVKP7RZ6"],"itemData":{"id":271,"type":"article-journal","container-title":"Molecular and Cellular Probes","DOI":"10.1006/mcpr.2002.0432","ISSN":"08908508","issue":"5","journalAbbreviation":"Molecular and Cellular Probes","language":"en","license":"https://www.elsevier.com/tdm/userlicense/1.0/","page":"341-350","source":"DOI.org (Crossref)","title":"Development of a membrane-array method for the detection of human intestinal bacteria in fecal samples","volume":"16","author":[{"family":"Wang","given":"R.F"},{"family":"Kim","given":"S.-J"},{"family":"Robertson","given":"L.H"},{"family":"Cerniglia","given":"C.E"}],"issued":{"date-parts":[["2002",10]]}}}],"schema":"https://github.com/citation-style-language/schema/raw/master/csl-citation.json"} </w:instrText>
      </w:r>
      <w:r>
        <w:fldChar w:fldCharType="separate"/>
      </w:r>
      <w:r w:rsidRPr="006708FC">
        <w:rPr>
          <w:rFonts w:ascii="Aptos" w:hAnsi="Aptos"/>
        </w:rPr>
        <w:t>(Wang et al., 2002)</w:t>
      </w:r>
      <w:r>
        <w:fldChar w:fldCharType="end"/>
      </w:r>
      <w:r>
        <w:t xml:space="preserve">. Non-template negative controls were included in the DNA extraction and both PCR steps. Human DNA extracted from blood was used as another negative control. Positive control consisted of genomic DNA purified from a pure culture of </w:t>
      </w:r>
      <w:r w:rsidRPr="00106CF9">
        <w:rPr>
          <w:i/>
          <w:iCs/>
        </w:rPr>
        <w:t>Bifidobacterium bifidum</w:t>
      </w:r>
      <w:r>
        <w:rPr>
          <w:i/>
          <w:iCs/>
        </w:rPr>
        <w:t xml:space="preserve"> </w:t>
      </w:r>
      <w:r>
        <w:t>in 1x10</w:t>
      </w:r>
      <w:r w:rsidRPr="00EE0E85">
        <w:rPr>
          <w:vertAlign w:val="superscript"/>
        </w:rPr>
        <w:t>3</w:t>
      </w:r>
      <w:r>
        <w:t xml:space="preserve"> copies, representing the detection limit of the assay. </w:t>
      </w:r>
      <w:r w:rsidRPr="000A74E6">
        <w:t xml:space="preserve">The amount of </w:t>
      </w:r>
      <w:r>
        <w:t xml:space="preserve">meconium DNA </w:t>
      </w:r>
      <w:r w:rsidRPr="000A74E6">
        <w:t>in the reaction was 5</w:t>
      </w:r>
      <w:r w:rsidRPr="00EE0E85">
        <w:t xml:space="preserve"> </w:t>
      </w:r>
      <w:r>
        <w:t>μ</w:t>
      </w:r>
      <w:r w:rsidRPr="000A74E6">
        <w:t>l and</w:t>
      </w:r>
      <w:r>
        <w:t xml:space="preserve"> the mastermix was as follows: </w:t>
      </w:r>
      <w:r w:rsidRPr="000A74E6">
        <w:t>4.25</w:t>
      </w:r>
      <w:r>
        <w:t xml:space="preserve"> μ</w:t>
      </w:r>
      <w:r w:rsidRPr="000A74E6">
        <w:t>l wate</w:t>
      </w:r>
      <w:r>
        <w:t>r</w:t>
      </w:r>
      <w:r w:rsidRPr="000A74E6">
        <w:t xml:space="preserve">; 1.25 µl 10 </w:t>
      </w:r>
      <w:r>
        <w:t>μ</w:t>
      </w:r>
      <w:r w:rsidRPr="000A74E6">
        <w:t xml:space="preserve">M primers (reverse 5'-AAGGAGGTGATCCARCGCA-3'; forward </w:t>
      </w:r>
      <w:r w:rsidRPr="000A74E6">
        <w:lastRenderedPageBreak/>
        <w:t>5'-GAGAGTTTGATYCTGGCTCAG-3'); 0.75</w:t>
      </w:r>
      <w:r>
        <w:t xml:space="preserve"> μl</w:t>
      </w:r>
      <w:r w:rsidRPr="000A74E6">
        <w:t xml:space="preserve"> DMSO and 12.5</w:t>
      </w:r>
      <w:r>
        <w:t xml:space="preserve"> μl</w:t>
      </w:r>
      <w:r w:rsidRPr="000A74E6">
        <w:t xml:space="preserve"> Phusion High-Fidelity PCR Master Mix with HF Buffer. The PCR run was performed using a Bio-Rad CFX96 Touch System C1000 Touch Thermal Cycler and the program was as follows:</w:t>
      </w:r>
      <w:r>
        <w:t xml:space="preserve"> i</w:t>
      </w:r>
      <w:r w:rsidRPr="001D27D0">
        <w:t>nitial denaturation at 98</w:t>
      </w:r>
      <w:r>
        <w:t xml:space="preserve"> </w:t>
      </w:r>
      <w:r w:rsidRPr="001D27D0">
        <w:t>C for 2</w:t>
      </w:r>
      <w:r>
        <w:t xml:space="preserve"> </w:t>
      </w:r>
      <w:r w:rsidRPr="001D27D0">
        <w:t>min</w:t>
      </w:r>
      <w:r>
        <w:t>utes</w:t>
      </w:r>
      <w:r w:rsidRPr="001D27D0">
        <w:t xml:space="preserve"> followed by </w:t>
      </w:r>
      <w:r>
        <w:t>15</w:t>
      </w:r>
      <w:r w:rsidRPr="001D27D0">
        <w:t xml:space="preserve"> cycles of 1) denaturation at 9</w:t>
      </w:r>
      <w:r>
        <w:t>4</w:t>
      </w:r>
      <w:r w:rsidRPr="001D27D0">
        <w:t xml:space="preserve">° C for </w:t>
      </w:r>
      <w:r>
        <w:t>20</w:t>
      </w:r>
      <w:r w:rsidRPr="001D27D0">
        <w:t xml:space="preserve"> seconds, 2) annealing at </w:t>
      </w:r>
      <w:r>
        <w:t xml:space="preserve">55 C </w:t>
      </w:r>
      <w:r w:rsidRPr="001D27D0">
        <w:t xml:space="preserve">for 20 seconds, 3) extension at 72° C for </w:t>
      </w:r>
      <w:r>
        <w:t>60</w:t>
      </w:r>
      <w:r w:rsidRPr="001D27D0">
        <w:t xml:space="preserve"> seconds</w:t>
      </w:r>
      <w:r>
        <w:t xml:space="preserve"> and then final extension at 72 C for 5 minutes.</w:t>
      </w:r>
    </w:p>
    <w:p w14:paraId="1753F759" w14:textId="77777777" w:rsidR="006708FC" w:rsidRDefault="006708FC" w:rsidP="006708FC">
      <w:r w:rsidRPr="000A74E6">
        <w:t xml:space="preserve">The </w:t>
      </w:r>
      <w:r>
        <w:t>PCR-</w:t>
      </w:r>
      <w:r w:rsidRPr="000A74E6">
        <w:t>products were then cleaned using ExoSAP-IT PCR Product Cleanup (Applied Biosystems by Thermo Fisher Scientific) according to the manufacturer's instructions.</w:t>
      </w:r>
    </w:p>
    <w:p w14:paraId="5F578B47" w14:textId="6C57CA0A" w:rsidR="006708FC" w:rsidRPr="00D657AF" w:rsidRDefault="006708FC" w:rsidP="006708FC">
      <w:r>
        <w:t>Next</w:t>
      </w:r>
      <w:r w:rsidRPr="00D657AF">
        <w:t xml:space="preserve">, </w:t>
      </w:r>
      <w:r>
        <w:t xml:space="preserve">the </w:t>
      </w:r>
      <w:r w:rsidRPr="00D657AF">
        <w:t>PCR</w:t>
      </w:r>
      <w:r>
        <w:t>-</w:t>
      </w:r>
      <w:r w:rsidRPr="00D657AF">
        <w:t>products were subjected to q</w:t>
      </w:r>
      <w:r>
        <w:t xml:space="preserve">uantitative </w:t>
      </w:r>
      <w:r w:rsidRPr="00D657AF">
        <w:t xml:space="preserve">PCR </w:t>
      </w:r>
      <w:r>
        <w:t xml:space="preserve">(qPCR) </w:t>
      </w:r>
      <w:r w:rsidRPr="00D657AF">
        <w:t xml:space="preserve">using </w:t>
      </w:r>
      <w:r>
        <w:t xml:space="preserve">widely used </w:t>
      </w:r>
      <w:r w:rsidRPr="00D657AF">
        <w:t xml:space="preserve">universal </w:t>
      </w:r>
      <w:r>
        <w:t xml:space="preserve">bacterial </w:t>
      </w:r>
      <w:r w:rsidRPr="00D657AF">
        <w:t>16</w:t>
      </w:r>
      <w:r>
        <w:t>S</w:t>
      </w:r>
      <w:r w:rsidRPr="00D657AF">
        <w:t xml:space="preserve"> rRNA gene</w:t>
      </w:r>
      <w:r>
        <w:t xml:space="preserve"> qPCR  primers </w:t>
      </w:r>
      <w:r>
        <w:fldChar w:fldCharType="begin"/>
      </w:r>
      <w:r>
        <w:instrText xml:space="preserve"> ADDIN ZOTERO_ITEM CSL_CITATION {"citationID":"232EabmJ","properties":{"formattedCitation":"(Nadkarni et al., 2002)","plainCitation":"(Nadkarni et al., 2002)","noteIndex":0},"citationItems":[{"id":270,"uris":["http://zotero.org/users/10922750/items/YQX7AFTI"],"itemData":{"id":270,"type":"article-journal","container-title":"Microbiology","DOI":"10.1099/00221287-148-1-257","ISSN":"1350-0872, 1465-2080","issue":"1","language":"en","page":"257-266","source":"DOI.org (Crossref)","title":"Determination of bacterial load by real-time PCR using a broad-range (universal) probe and primers set","volume":"148","author":[{"family":"Nadkarni","given":"Mangala A"},{"family":"Martin","given":"F. Elizabeth"},{"family":"Jacques","given":"Nicholas A"},{"family":"Hunter","given":"Neil"}],"issued":{"date-parts":[["2002",1,1]]}}}],"schema":"https://github.com/citation-style-language/schema/raw/master/csl-citation.json"} </w:instrText>
      </w:r>
      <w:r>
        <w:fldChar w:fldCharType="separate"/>
      </w:r>
      <w:r w:rsidRPr="006708FC">
        <w:rPr>
          <w:rFonts w:ascii="Aptos" w:hAnsi="Aptos"/>
        </w:rPr>
        <w:t>(Nadkarni et al., 2002)</w:t>
      </w:r>
      <w:r>
        <w:fldChar w:fldCharType="end"/>
      </w:r>
      <w:r>
        <w:t xml:space="preserve">. </w:t>
      </w:r>
      <w:r w:rsidRPr="00D657AF">
        <w:t>The amount of PCR product in the reaction was 1</w:t>
      </w:r>
      <w:r>
        <w:t xml:space="preserve"> μl</w:t>
      </w:r>
      <w:r w:rsidRPr="00D657AF">
        <w:t xml:space="preserve"> and</w:t>
      </w:r>
      <w:r>
        <w:t xml:space="preserve"> the mastermix was as follows: </w:t>
      </w:r>
      <w:r w:rsidRPr="00D657AF">
        <w:t xml:space="preserve"> 18.8</w:t>
      </w:r>
      <w:r>
        <w:t xml:space="preserve"> μl</w:t>
      </w:r>
      <w:r w:rsidRPr="00D657AF">
        <w:t xml:space="preserve"> water; 0.1 </w:t>
      </w:r>
      <w:r>
        <w:t>μl</w:t>
      </w:r>
      <w:r w:rsidRPr="00D657AF">
        <w:t xml:space="preserve"> 50</w:t>
      </w:r>
      <w:r>
        <w:t xml:space="preserve"> μ</w:t>
      </w:r>
      <w:r w:rsidRPr="00D657AF">
        <w:t xml:space="preserve">M primers (reverse 5´-GGACTACCAGGGTATCTAATCCTGTT-3´; forward 5´-TCCTACGGGAGGCAGCAGT-3´) and 5 </w:t>
      </w:r>
      <w:r>
        <w:t>μl</w:t>
      </w:r>
      <w:r w:rsidRPr="00D657AF">
        <w:t xml:space="preserve"> 5x </w:t>
      </w:r>
      <w:r w:rsidRPr="00EE0E85">
        <w:t>HOT FIREPol</w:t>
      </w:r>
      <w:r w:rsidRPr="00EE0E85">
        <w:rPr>
          <w:vertAlign w:val="superscript"/>
        </w:rPr>
        <w:t>®</w:t>
      </w:r>
      <w:r w:rsidRPr="00EE0E85">
        <w:t xml:space="preserve"> </w:t>
      </w:r>
      <w:r w:rsidRPr="006F1E84">
        <w:t>EvaGreen</w:t>
      </w:r>
      <w:r w:rsidRPr="006F1E84">
        <w:rPr>
          <w:vertAlign w:val="superscript"/>
        </w:rPr>
        <w:t>®</w:t>
      </w:r>
      <w:r w:rsidRPr="006F1E84">
        <w:t xml:space="preserve"> qPCR Mix Plus (no ROX; Solis BioDyne, Tartu, Estonia). The PCR run was performed using a Bio-Rad CFX96 Touch System C1000 Touch Thermal Cycler and the program was as follows: DNA-denaturation step at 95° C for 15 minutes, followed by 40 cycles of 1) denaturation at 95° C for 15 seconds, 2) annealing at 50 C for 20 seconds, 3) extension at 72° C for 30 seconds and 4) an incubation step at 82°C to detect the fluorescent data. A</w:t>
      </w:r>
      <w:r w:rsidRPr="00D657AF">
        <w:t xml:space="preserve"> melting curve analysis was carried out to ensure the specificity of the amplification products.</w:t>
      </w:r>
    </w:p>
    <w:p w14:paraId="12FDA5C0" w14:textId="3C870EB1" w:rsidR="006708FC" w:rsidRDefault="006708FC" w:rsidP="006708FC">
      <w:r w:rsidRPr="00997541">
        <w:t>All qPCR assays were performed in triplicate</w:t>
      </w:r>
      <w:r>
        <w:t xml:space="preserve"> and negative and positive controls were included in all steps along with the samples. </w:t>
      </w:r>
      <w:r w:rsidRPr="00997541">
        <w:t>Precautions were taken to ensure that the data from each triplicate fell within 0.5 threshold cycle (Ct) and outliers were removed before calc</w:t>
      </w:r>
      <w:r>
        <w:t>ul</w:t>
      </w:r>
      <w:r w:rsidRPr="00997541">
        <w:t xml:space="preserve">ating average Ct of each sample. Melting curves and </w:t>
      </w:r>
      <w:r>
        <w:t>non-template control</w:t>
      </w:r>
      <w:r w:rsidRPr="00997541">
        <w:t xml:space="preserve"> </w:t>
      </w:r>
      <w:r>
        <w:t xml:space="preserve">from qPCR </w:t>
      </w:r>
      <w:r w:rsidRPr="00997541">
        <w:t>were used to assess run reliability.</w:t>
      </w:r>
      <w:r>
        <w:t xml:space="preserve"> The Ct values and melting curves were used to </w:t>
      </w:r>
      <w:r w:rsidRPr="00D657AF">
        <w:t>determine bacterial positivity</w:t>
      </w:r>
      <w:r>
        <w:t xml:space="preserve"> of the samples. </w:t>
      </w:r>
      <w:r w:rsidRPr="00EE0E85">
        <w:t>Samples were considered positive when their quantification cycle (Cq)-value was lower than that of negative controls on the same plate, and melting curve analysis indicated a specific product similar to the positive control. If only one of these criteria were met the samples were coded inconclusive, and samples with the same or higher Cq than negative controls were coded as negative.</w:t>
      </w:r>
    </w:p>
    <w:p w14:paraId="46153404" w14:textId="77777777" w:rsidR="00207EAE" w:rsidRPr="00207EAE" w:rsidRDefault="006708FC" w:rsidP="00207EAE">
      <w:pPr>
        <w:pStyle w:val="Lhdeluettelo"/>
        <w:rPr>
          <w:rFonts w:ascii="Aptos" w:hAnsi="Aptos"/>
        </w:rPr>
      </w:pPr>
      <w:r>
        <w:rPr>
          <w:rStyle w:val="apple-converted-space"/>
          <w:rFonts w:cs="Calibri"/>
          <w:color w:val="000000"/>
        </w:rPr>
        <w:fldChar w:fldCharType="begin"/>
      </w:r>
      <w:r>
        <w:rPr>
          <w:rStyle w:val="apple-converted-space"/>
          <w:rFonts w:cs="Calibri"/>
          <w:color w:val="000000"/>
        </w:rPr>
        <w:instrText xml:space="preserve"> ADDIN ZOTERO_BIBL {"uncited":[],"omitted":[],"custom":[]} CSL_BIBLIOGRAPHY </w:instrText>
      </w:r>
      <w:r>
        <w:rPr>
          <w:rStyle w:val="apple-converted-space"/>
          <w:rFonts w:cs="Calibri"/>
          <w:color w:val="000000"/>
        </w:rPr>
        <w:fldChar w:fldCharType="separate"/>
      </w:r>
      <w:r w:rsidR="00207EAE" w:rsidRPr="00207EAE">
        <w:rPr>
          <w:rFonts w:ascii="Aptos" w:hAnsi="Aptos"/>
        </w:rPr>
        <w:t xml:space="preserve">Brun, A., Rangé, H., Prouvost, B., Mazighi, M., Kapila, Y., Bouchard, P., &amp; Michel, J.-B. (2020). Innovative application of nested PCR for detection of </w:t>
      </w:r>
      <w:r w:rsidR="00207EAE" w:rsidRPr="00207EAE">
        <w:rPr>
          <w:rFonts w:ascii="Aptos" w:hAnsi="Aptos"/>
          <w:i/>
          <w:iCs/>
        </w:rPr>
        <w:t>Porphyromonas gingivalis</w:t>
      </w:r>
      <w:r w:rsidR="00207EAE" w:rsidRPr="00207EAE">
        <w:rPr>
          <w:rFonts w:ascii="Aptos" w:hAnsi="Aptos"/>
        </w:rPr>
        <w:t xml:space="preserve"> in human highly calcified atherothrombotic plaques. </w:t>
      </w:r>
      <w:r w:rsidR="00207EAE" w:rsidRPr="00207EAE">
        <w:rPr>
          <w:rFonts w:ascii="Aptos" w:hAnsi="Aptos"/>
          <w:i/>
          <w:iCs/>
        </w:rPr>
        <w:t>Journal of Oral Microbiology</w:t>
      </w:r>
      <w:r w:rsidR="00207EAE" w:rsidRPr="00207EAE">
        <w:rPr>
          <w:rFonts w:ascii="Aptos" w:hAnsi="Aptos"/>
        </w:rPr>
        <w:t xml:space="preserve">, </w:t>
      </w:r>
      <w:r w:rsidR="00207EAE" w:rsidRPr="00207EAE">
        <w:rPr>
          <w:rFonts w:ascii="Aptos" w:hAnsi="Aptos"/>
          <w:i/>
          <w:iCs/>
        </w:rPr>
        <w:t>12</w:t>
      </w:r>
      <w:r w:rsidR="00207EAE" w:rsidRPr="00207EAE">
        <w:rPr>
          <w:rFonts w:ascii="Aptos" w:hAnsi="Aptos"/>
        </w:rPr>
        <w:t>(1), 1742523. https://doi.org/10.1080/20002297.2020.1742523</w:t>
      </w:r>
    </w:p>
    <w:p w14:paraId="3679600F" w14:textId="77777777" w:rsidR="00207EAE" w:rsidRPr="00207EAE" w:rsidRDefault="00207EAE" w:rsidP="00207EAE">
      <w:pPr>
        <w:pStyle w:val="Lhdeluettelo"/>
        <w:rPr>
          <w:rFonts w:ascii="Aptos" w:hAnsi="Aptos"/>
        </w:rPr>
      </w:pPr>
      <w:r w:rsidRPr="00207EAE">
        <w:rPr>
          <w:rFonts w:ascii="Aptos" w:hAnsi="Aptos"/>
        </w:rPr>
        <w:t xml:space="preserve">Dubois, L., Valles-Colomer, M., Ponsero, A., Helve, O., Andersson, S., Kolho, K.-L., Asnicar, F., Korpela, K., Salonen, A., Segata, N., &amp; De Vos, W. M. (2024). Paternal and induced gut microbiota seeding complement mother-to-infant transmission. </w:t>
      </w:r>
      <w:r w:rsidRPr="00207EAE">
        <w:rPr>
          <w:rFonts w:ascii="Aptos" w:hAnsi="Aptos"/>
          <w:i/>
          <w:iCs/>
        </w:rPr>
        <w:t>Cell Host &amp; Microbe</w:t>
      </w:r>
      <w:r w:rsidRPr="00207EAE">
        <w:rPr>
          <w:rFonts w:ascii="Aptos" w:hAnsi="Aptos"/>
        </w:rPr>
        <w:t xml:space="preserve">, </w:t>
      </w:r>
      <w:r w:rsidRPr="00207EAE">
        <w:rPr>
          <w:rFonts w:ascii="Aptos" w:hAnsi="Aptos"/>
          <w:i/>
          <w:iCs/>
        </w:rPr>
        <w:t>32</w:t>
      </w:r>
      <w:r w:rsidRPr="00207EAE">
        <w:rPr>
          <w:rFonts w:ascii="Aptos" w:hAnsi="Aptos"/>
        </w:rPr>
        <w:t>(6), 1011-1024.e4. https://doi.org/10.1016/j.chom.2024.05.004</w:t>
      </w:r>
    </w:p>
    <w:p w14:paraId="6966FAC9" w14:textId="77777777" w:rsidR="00207EAE" w:rsidRPr="00207EAE" w:rsidRDefault="00207EAE" w:rsidP="00207EAE">
      <w:pPr>
        <w:pStyle w:val="Lhdeluettelo"/>
        <w:rPr>
          <w:rFonts w:ascii="Aptos" w:hAnsi="Aptos"/>
        </w:rPr>
      </w:pPr>
      <w:r w:rsidRPr="00207EAE">
        <w:rPr>
          <w:rFonts w:ascii="Aptos" w:hAnsi="Aptos"/>
        </w:rPr>
        <w:t xml:space="preserve">Dührkop, K., Fleischauer, M., Ludwig, M., Aksenov, A. A., Melnik, A. V., Meusel, M., Dorrestein, P. C., Rousu, J., &amp; Böcker, S. (2019). SIRIUS 4: A rapid tool for turning tandem mass spectra </w:t>
      </w:r>
      <w:r w:rsidRPr="00207EAE">
        <w:rPr>
          <w:rFonts w:ascii="Aptos" w:hAnsi="Aptos"/>
        </w:rPr>
        <w:lastRenderedPageBreak/>
        <w:t xml:space="preserve">into metabolite structure information. </w:t>
      </w:r>
      <w:r w:rsidRPr="00207EAE">
        <w:rPr>
          <w:rFonts w:ascii="Aptos" w:hAnsi="Aptos"/>
          <w:i/>
          <w:iCs/>
        </w:rPr>
        <w:t>Nature Methods</w:t>
      </w:r>
      <w:r w:rsidRPr="00207EAE">
        <w:rPr>
          <w:rFonts w:ascii="Aptos" w:hAnsi="Aptos"/>
        </w:rPr>
        <w:t xml:space="preserve">, </w:t>
      </w:r>
      <w:r w:rsidRPr="00207EAE">
        <w:rPr>
          <w:rFonts w:ascii="Aptos" w:hAnsi="Aptos"/>
          <w:i/>
          <w:iCs/>
        </w:rPr>
        <w:t>16</w:t>
      </w:r>
      <w:r w:rsidRPr="00207EAE">
        <w:rPr>
          <w:rFonts w:ascii="Aptos" w:hAnsi="Aptos"/>
        </w:rPr>
        <w:t>(4), 299–302. https://doi.org/10.1038/s41592-019-0344-8</w:t>
      </w:r>
    </w:p>
    <w:p w14:paraId="2EAFDAF8" w14:textId="77777777" w:rsidR="00207EAE" w:rsidRPr="00207EAE" w:rsidRDefault="00207EAE" w:rsidP="00207EAE">
      <w:pPr>
        <w:pStyle w:val="Lhdeluettelo"/>
        <w:rPr>
          <w:rFonts w:ascii="Aptos" w:hAnsi="Aptos"/>
        </w:rPr>
      </w:pPr>
      <w:r w:rsidRPr="00207EAE">
        <w:rPr>
          <w:rFonts w:ascii="Aptos" w:hAnsi="Aptos"/>
        </w:rPr>
        <w:t xml:space="preserve">Husso, A., Jalanka, J., Alipour, M. J., Huhti, P., Kareskoski, M., Pessa-Morikawa, T., Iivanainen, A., &amp; Niku, M. (2020). The composition of the perinatal intestinal microbiota in horse. </w:t>
      </w:r>
      <w:r w:rsidRPr="00207EAE">
        <w:rPr>
          <w:rFonts w:ascii="Aptos" w:hAnsi="Aptos"/>
          <w:i/>
          <w:iCs/>
        </w:rPr>
        <w:t>Scientific Reports</w:t>
      </w:r>
      <w:r w:rsidRPr="00207EAE">
        <w:rPr>
          <w:rFonts w:ascii="Aptos" w:hAnsi="Aptos"/>
        </w:rPr>
        <w:t xml:space="preserve">, </w:t>
      </w:r>
      <w:r w:rsidRPr="00207EAE">
        <w:rPr>
          <w:rFonts w:ascii="Aptos" w:hAnsi="Aptos"/>
          <w:i/>
          <w:iCs/>
        </w:rPr>
        <w:t>10</w:t>
      </w:r>
      <w:r w:rsidRPr="00207EAE">
        <w:rPr>
          <w:rFonts w:ascii="Aptos" w:hAnsi="Aptos"/>
        </w:rPr>
        <w:t>(1), 441. https://doi.org/10.1038/s41598-019-57003-8</w:t>
      </w:r>
    </w:p>
    <w:p w14:paraId="2B702FCA" w14:textId="77777777" w:rsidR="00207EAE" w:rsidRPr="00207EAE" w:rsidRDefault="00207EAE" w:rsidP="00207EAE">
      <w:pPr>
        <w:pStyle w:val="Lhdeluettelo"/>
        <w:rPr>
          <w:rFonts w:ascii="Aptos" w:hAnsi="Aptos"/>
        </w:rPr>
      </w:pPr>
      <w:r w:rsidRPr="00207EAE">
        <w:rPr>
          <w:rFonts w:ascii="Aptos" w:hAnsi="Aptos"/>
        </w:rPr>
        <w:t xml:space="preserve">Jokela, R., Korpela, K., Jian, C., Dikareva, E., Nikkonen, A., Saisto, T., Skogberg, K., De Vos, W. M., Kolho, K.-L., &amp; Salonen, A. (2022). Quantitative insights into effects of intrapartum antibiotics and birth mode on infant gut microbiota in relation to well-being during the first year of life. </w:t>
      </w:r>
      <w:r w:rsidRPr="00207EAE">
        <w:rPr>
          <w:rFonts w:ascii="Aptos" w:hAnsi="Aptos"/>
          <w:i/>
          <w:iCs/>
        </w:rPr>
        <w:t>Gut Microbes</w:t>
      </w:r>
      <w:r w:rsidRPr="00207EAE">
        <w:rPr>
          <w:rFonts w:ascii="Aptos" w:hAnsi="Aptos"/>
        </w:rPr>
        <w:t xml:space="preserve">, </w:t>
      </w:r>
      <w:r w:rsidRPr="00207EAE">
        <w:rPr>
          <w:rFonts w:ascii="Aptos" w:hAnsi="Aptos"/>
          <w:i/>
          <w:iCs/>
        </w:rPr>
        <w:t>14</w:t>
      </w:r>
      <w:r w:rsidRPr="00207EAE">
        <w:rPr>
          <w:rFonts w:ascii="Aptos" w:hAnsi="Aptos"/>
        </w:rPr>
        <w:t>(1), 2095775. https://doi.org/10.1080/19490976.2022.2095775</w:t>
      </w:r>
    </w:p>
    <w:p w14:paraId="09E62E1B" w14:textId="77777777" w:rsidR="00207EAE" w:rsidRPr="00207EAE" w:rsidRDefault="00207EAE" w:rsidP="00207EAE">
      <w:pPr>
        <w:pStyle w:val="Lhdeluettelo"/>
        <w:rPr>
          <w:rFonts w:ascii="Aptos" w:hAnsi="Aptos"/>
        </w:rPr>
      </w:pPr>
      <w:r w:rsidRPr="00207EAE">
        <w:rPr>
          <w:rFonts w:ascii="Aptos" w:hAnsi="Aptos"/>
        </w:rPr>
        <w:t xml:space="preserve">Nadkarni, M. A., Martin, F. E., Jacques, N. A., &amp; Hunter, N. (2002). Determination of bacterial load by real-time PCR using a broad-range (universal) probe and primers set. </w:t>
      </w:r>
      <w:r w:rsidRPr="00207EAE">
        <w:rPr>
          <w:rFonts w:ascii="Aptos" w:hAnsi="Aptos"/>
          <w:i/>
          <w:iCs/>
        </w:rPr>
        <w:t>Microbiology</w:t>
      </w:r>
      <w:r w:rsidRPr="00207EAE">
        <w:rPr>
          <w:rFonts w:ascii="Aptos" w:hAnsi="Aptos"/>
        </w:rPr>
        <w:t xml:space="preserve">, </w:t>
      </w:r>
      <w:r w:rsidRPr="00207EAE">
        <w:rPr>
          <w:rFonts w:ascii="Aptos" w:hAnsi="Aptos"/>
          <w:i/>
          <w:iCs/>
        </w:rPr>
        <w:t>148</w:t>
      </w:r>
      <w:r w:rsidRPr="00207EAE">
        <w:rPr>
          <w:rFonts w:ascii="Aptos" w:hAnsi="Aptos"/>
        </w:rPr>
        <w:t>(1), 257–266. https://doi.org/10.1099/00221287-148-1-257</w:t>
      </w:r>
    </w:p>
    <w:p w14:paraId="5E836D7E" w14:textId="77777777" w:rsidR="00207EAE" w:rsidRPr="00207EAE" w:rsidRDefault="00207EAE" w:rsidP="00207EAE">
      <w:pPr>
        <w:pStyle w:val="Lhdeluettelo"/>
        <w:rPr>
          <w:rFonts w:ascii="Aptos" w:hAnsi="Aptos"/>
        </w:rPr>
      </w:pPr>
      <w:r w:rsidRPr="00207EAE">
        <w:rPr>
          <w:rFonts w:ascii="Aptos" w:hAnsi="Aptos"/>
        </w:rPr>
        <w:t xml:space="preserve">Pessa-Morikawa, T., Husso, A., Kärkkäinen, O., Koistinen, V., Hanhineva, K., Iivanainen, A., &amp; Niku, M. (2022). Maternal microbiota-derived metabolic profile in fetal murine intestine, brain and placenta. </w:t>
      </w:r>
      <w:r w:rsidRPr="00207EAE">
        <w:rPr>
          <w:rFonts w:ascii="Aptos" w:hAnsi="Aptos"/>
          <w:i/>
          <w:iCs/>
        </w:rPr>
        <w:t>BMC Microbiology</w:t>
      </w:r>
      <w:r w:rsidRPr="00207EAE">
        <w:rPr>
          <w:rFonts w:ascii="Aptos" w:hAnsi="Aptos"/>
        </w:rPr>
        <w:t xml:space="preserve">, </w:t>
      </w:r>
      <w:r w:rsidRPr="00207EAE">
        <w:rPr>
          <w:rFonts w:ascii="Aptos" w:hAnsi="Aptos"/>
          <w:i/>
          <w:iCs/>
        </w:rPr>
        <w:t>22</w:t>
      </w:r>
      <w:r w:rsidRPr="00207EAE">
        <w:rPr>
          <w:rFonts w:ascii="Aptos" w:hAnsi="Aptos"/>
        </w:rPr>
        <w:t>(1), 46. https://doi.org/10.1186/s12866-022-02457-6</w:t>
      </w:r>
    </w:p>
    <w:p w14:paraId="730C50A3" w14:textId="77777777" w:rsidR="00207EAE" w:rsidRPr="00207EAE" w:rsidRDefault="00207EAE" w:rsidP="00207EAE">
      <w:pPr>
        <w:pStyle w:val="Lhdeluettelo"/>
        <w:rPr>
          <w:rFonts w:ascii="Aptos" w:hAnsi="Aptos"/>
        </w:rPr>
      </w:pPr>
      <w:r w:rsidRPr="00207EAE">
        <w:rPr>
          <w:rFonts w:ascii="Aptos" w:hAnsi="Aptos"/>
        </w:rPr>
        <w:t xml:space="preserve">Smolejová, M., Cihová, I., &amp; Sulo, P. (2021). Reliable and Sensitive Nested PCR for the Detection of Chlamydia in Sputum. </w:t>
      </w:r>
      <w:r w:rsidRPr="00207EAE">
        <w:rPr>
          <w:rFonts w:ascii="Aptos" w:hAnsi="Aptos"/>
          <w:i/>
          <w:iCs/>
        </w:rPr>
        <w:t>Microorganisms</w:t>
      </w:r>
      <w:r w:rsidRPr="00207EAE">
        <w:rPr>
          <w:rFonts w:ascii="Aptos" w:hAnsi="Aptos"/>
        </w:rPr>
        <w:t xml:space="preserve">, </w:t>
      </w:r>
      <w:r w:rsidRPr="00207EAE">
        <w:rPr>
          <w:rFonts w:ascii="Aptos" w:hAnsi="Aptos"/>
          <w:i/>
          <w:iCs/>
        </w:rPr>
        <w:t>9</w:t>
      </w:r>
      <w:r w:rsidRPr="00207EAE">
        <w:rPr>
          <w:rFonts w:ascii="Aptos" w:hAnsi="Aptos"/>
        </w:rPr>
        <w:t>(5), 935. https://doi.org/10.3390/microorganisms9050935</w:t>
      </w:r>
    </w:p>
    <w:p w14:paraId="3A7E8390" w14:textId="77777777" w:rsidR="00207EAE" w:rsidRPr="00207EAE" w:rsidRDefault="00207EAE" w:rsidP="00207EAE">
      <w:pPr>
        <w:pStyle w:val="Lhdeluettelo"/>
        <w:rPr>
          <w:rFonts w:ascii="Aptos" w:hAnsi="Aptos"/>
        </w:rPr>
      </w:pPr>
      <w:r w:rsidRPr="00207EAE">
        <w:rPr>
          <w:rFonts w:ascii="Aptos" w:hAnsi="Aptos"/>
        </w:rPr>
        <w:t xml:space="preserve">Wang, R. F., Kim, S.-J., Robertson, L. H., &amp; Cerniglia, C. E. (2002). Development of a membrane-array method for the detection of human intestinal bacteria in fecal samples. </w:t>
      </w:r>
      <w:r w:rsidRPr="00207EAE">
        <w:rPr>
          <w:rFonts w:ascii="Aptos" w:hAnsi="Aptos"/>
          <w:i/>
          <w:iCs/>
        </w:rPr>
        <w:t>Molecular and Cellular Probes</w:t>
      </w:r>
      <w:r w:rsidRPr="00207EAE">
        <w:rPr>
          <w:rFonts w:ascii="Aptos" w:hAnsi="Aptos"/>
        </w:rPr>
        <w:t xml:space="preserve">, </w:t>
      </w:r>
      <w:r w:rsidRPr="00207EAE">
        <w:rPr>
          <w:rFonts w:ascii="Aptos" w:hAnsi="Aptos"/>
          <w:i/>
          <w:iCs/>
        </w:rPr>
        <w:t>16</w:t>
      </w:r>
      <w:r w:rsidRPr="00207EAE">
        <w:rPr>
          <w:rFonts w:ascii="Aptos" w:hAnsi="Aptos"/>
        </w:rPr>
        <w:t>(5), 341–350. https://doi.org/10.1006/mcpr.2002.0432</w:t>
      </w:r>
    </w:p>
    <w:p w14:paraId="160664DA" w14:textId="2C8A6136" w:rsidR="006708FC" w:rsidRPr="00EF66AE" w:rsidRDefault="006708FC" w:rsidP="006708FC">
      <w:pPr>
        <w:rPr>
          <w:rStyle w:val="apple-converted-space"/>
          <w:rFonts w:cs="Calibri"/>
          <w:color w:val="000000"/>
        </w:rPr>
      </w:pPr>
      <w:r>
        <w:rPr>
          <w:rStyle w:val="apple-converted-space"/>
          <w:rFonts w:cs="Calibri"/>
          <w:color w:val="000000"/>
        </w:rPr>
        <w:fldChar w:fldCharType="end"/>
      </w:r>
    </w:p>
    <w:p w14:paraId="27173F98" w14:textId="61A2D52E" w:rsidR="0062680F" w:rsidRDefault="0062680F" w:rsidP="00F308EF"/>
    <w:p w14:paraId="475E9FD5" w14:textId="77777777" w:rsidR="00EC7022" w:rsidRDefault="00EC7022" w:rsidP="00F308EF"/>
    <w:p w14:paraId="2524FF71" w14:textId="77777777" w:rsidR="00EC7022" w:rsidRDefault="00EC7022" w:rsidP="00F308EF"/>
    <w:p w14:paraId="173A3277" w14:textId="77777777" w:rsidR="00EC7022" w:rsidRDefault="00EC7022" w:rsidP="00F308EF"/>
    <w:p w14:paraId="02BC50E2" w14:textId="77777777" w:rsidR="00EC7022" w:rsidRDefault="00EC7022" w:rsidP="00F308EF"/>
    <w:p w14:paraId="3F7633D9" w14:textId="77777777" w:rsidR="00EC7022" w:rsidRDefault="00EC7022" w:rsidP="00F308EF"/>
    <w:p w14:paraId="5B38C716" w14:textId="77777777" w:rsidR="00EC7022" w:rsidRDefault="00EC7022" w:rsidP="00F308EF"/>
    <w:p w14:paraId="5A941B34" w14:textId="77777777" w:rsidR="00EC7022" w:rsidRDefault="00EC7022" w:rsidP="00F308EF"/>
    <w:p w14:paraId="1E2A13BF" w14:textId="77777777" w:rsidR="00EC7022" w:rsidRDefault="00EC7022" w:rsidP="00F308EF"/>
    <w:p w14:paraId="073EA708" w14:textId="77777777" w:rsidR="00EC7022" w:rsidRDefault="00EC7022" w:rsidP="00F308EF"/>
    <w:p w14:paraId="081901AD" w14:textId="77777777" w:rsidR="00EC7022" w:rsidRDefault="00EC7022" w:rsidP="00F308EF"/>
    <w:p w14:paraId="44D5A419" w14:textId="77777777" w:rsidR="00EC7022" w:rsidRDefault="00EC7022" w:rsidP="00F308EF"/>
    <w:p w14:paraId="0AE950C5" w14:textId="77777777" w:rsidR="00EC7022" w:rsidRDefault="00EC7022" w:rsidP="00F308EF"/>
    <w:p w14:paraId="3E4C05FB" w14:textId="77777777" w:rsidR="00EC7022" w:rsidRDefault="00EC7022" w:rsidP="00F308EF"/>
    <w:p w14:paraId="3CD5B237" w14:textId="77777777" w:rsidR="00EC7022" w:rsidRDefault="00EC7022" w:rsidP="00F308EF"/>
    <w:p w14:paraId="6AD6D6EC" w14:textId="77777777" w:rsidR="00EC7022" w:rsidRDefault="00EC7022" w:rsidP="00F308EF"/>
    <w:p w14:paraId="5059ADA9" w14:textId="77777777" w:rsidR="00EC7022" w:rsidRDefault="00EC7022" w:rsidP="00F308EF"/>
    <w:p w14:paraId="6AB0C1D7" w14:textId="4AA3F61D" w:rsidR="00F710E1" w:rsidRPr="00050BA1" w:rsidRDefault="00F710E1" w:rsidP="00464D89">
      <w:pPr>
        <w:pStyle w:val="Luettelokappale"/>
        <w:numPr>
          <w:ilvl w:val="0"/>
          <w:numId w:val="1"/>
        </w:numPr>
        <w:rPr>
          <w:b/>
          <w:bCs/>
        </w:rPr>
      </w:pPr>
      <w:r w:rsidRPr="00050BA1">
        <w:rPr>
          <w:b/>
          <w:bCs/>
        </w:rPr>
        <w:t>Supplementary data</w:t>
      </w:r>
    </w:p>
    <w:p w14:paraId="2492F3C1" w14:textId="77777777" w:rsidR="00F710E1" w:rsidRPr="00050BA1" w:rsidRDefault="00F710E1" w:rsidP="00F710E1">
      <w:pPr>
        <w:pStyle w:val="Luettelokappale"/>
        <w:numPr>
          <w:ilvl w:val="1"/>
          <w:numId w:val="1"/>
        </w:numPr>
        <w:rPr>
          <w:i/>
          <w:iCs/>
        </w:rPr>
      </w:pPr>
      <w:r w:rsidRPr="00050BA1">
        <w:rPr>
          <w:i/>
          <w:iCs/>
        </w:rPr>
        <w:t>Outlier removal</w:t>
      </w:r>
    </w:p>
    <w:p w14:paraId="06589A7C" w14:textId="143D067C" w:rsidR="00050BA1" w:rsidRDefault="001762B9" w:rsidP="000874E6">
      <w:pPr>
        <w:rPr>
          <w:rFonts w:ascii="Segoe UI" w:hAnsi="Segoe UI" w:cs="Segoe UI"/>
          <w:color w:val="242424"/>
          <w:shd w:val="clear" w:color="auto" w:fill="FFFFFF"/>
          <w:lang w:val="en-GB"/>
        </w:rPr>
      </w:pPr>
      <w:r>
        <w:rPr>
          <w:rFonts w:ascii="Segoe UI" w:hAnsi="Segoe UI" w:cs="Segoe UI"/>
          <w:color w:val="242424"/>
          <w:shd w:val="clear" w:color="auto" w:fill="FFFFFF"/>
          <w:lang w:val="en-GB"/>
        </w:rPr>
        <w:t>While the PCA did not show outlier</w:t>
      </w:r>
      <w:r w:rsidR="00464D89" w:rsidRPr="001762B9">
        <w:rPr>
          <w:rFonts w:ascii="Segoe UI" w:hAnsi="Segoe UI" w:cs="Segoe UI"/>
          <w:color w:val="242424"/>
          <w:shd w:val="clear" w:color="auto" w:fill="FFFFFF"/>
          <w:lang w:val="en-GB"/>
        </w:rPr>
        <w:t xml:space="preserve"> samples,</w:t>
      </w:r>
      <w:r>
        <w:rPr>
          <w:rFonts w:ascii="Segoe UI" w:hAnsi="Segoe UI" w:cs="Segoe UI"/>
          <w:color w:val="242424"/>
          <w:shd w:val="clear" w:color="auto" w:fill="FFFFFF"/>
          <w:lang w:val="en-GB"/>
        </w:rPr>
        <w:t xml:space="preserve"> t</w:t>
      </w:r>
      <w:r w:rsidR="00464D89" w:rsidRPr="001762B9">
        <w:rPr>
          <w:rFonts w:ascii="Segoe UI" w:hAnsi="Segoe UI" w:cs="Segoe UI"/>
          <w:color w:val="242424"/>
          <w:shd w:val="clear" w:color="auto" w:fill="FFFFFF"/>
          <w:lang w:val="en-GB"/>
        </w:rPr>
        <w:t xml:space="preserve">wo samples were removed from </w:t>
      </w:r>
      <w:r>
        <w:rPr>
          <w:rFonts w:ascii="Segoe UI" w:hAnsi="Segoe UI" w:cs="Segoe UI"/>
          <w:color w:val="242424"/>
          <w:shd w:val="clear" w:color="auto" w:fill="FFFFFF"/>
          <w:lang w:val="en-GB"/>
        </w:rPr>
        <w:t xml:space="preserve">the </w:t>
      </w:r>
      <w:r w:rsidR="00464D89" w:rsidRPr="001762B9">
        <w:rPr>
          <w:rFonts w:ascii="Segoe UI" w:hAnsi="Segoe UI" w:cs="Segoe UI"/>
          <w:color w:val="242424"/>
          <w:shd w:val="clear" w:color="auto" w:fill="FFFFFF"/>
          <w:lang w:val="en-GB"/>
        </w:rPr>
        <w:t xml:space="preserve">statistical analysis due to </w:t>
      </w:r>
      <w:r>
        <w:rPr>
          <w:rFonts w:ascii="Segoe UI" w:hAnsi="Segoe UI" w:cs="Segoe UI"/>
          <w:color w:val="242424"/>
          <w:shd w:val="clear" w:color="auto" w:fill="FFFFFF"/>
          <w:lang w:val="en-GB"/>
        </w:rPr>
        <w:t xml:space="preserve">their very </w:t>
      </w:r>
      <w:r w:rsidR="00464D89" w:rsidRPr="001762B9">
        <w:rPr>
          <w:rFonts w:ascii="Segoe UI" w:hAnsi="Segoe UI" w:cs="Segoe UI"/>
          <w:color w:val="242424"/>
          <w:shd w:val="clear" w:color="auto" w:fill="FFFFFF"/>
          <w:lang w:val="en-GB"/>
        </w:rPr>
        <w:t xml:space="preserve">low </w:t>
      </w:r>
      <w:r w:rsidR="0072690F" w:rsidRPr="001762B9">
        <w:rPr>
          <w:rFonts w:ascii="Segoe UI" w:hAnsi="Segoe UI" w:cs="Segoe UI"/>
          <w:color w:val="242424"/>
          <w:shd w:val="clear" w:color="auto" w:fill="FFFFFF"/>
          <w:lang w:val="en-GB"/>
        </w:rPr>
        <w:t xml:space="preserve">overall </w:t>
      </w:r>
      <w:r w:rsidR="00464D89" w:rsidRPr="001762B9">
        <w:rPr>
          <w:rFonts w:ascii="Segoe UI" w:hAnsi="Segoe UI" w:cs="Segoe UI"/>
          <w:color w:val="242424"/>
          <w:shd w:val="clear" w:color="auto" w:fill="FFFFFF"/>
          <w:lang w:val="en-GB"/>
        </w:rPr>
        <w:t>abundance values</w:t>
      </w:r>
      <w:r w:rsidR="008D5F41">
        <w:rPr>
          <w:rFonts w:ascii="Segoe UI" w:hAnsi="Segoe UI" w:cs="Segoe UI"/>
          <w:color w:val="242424"/>
          <w:shd w:val="clear" w:color="auto" w:fill="FFFFFF"/>
          <w:lang w:val="en-GB"/>
        </w:rPr>
        <w:t xml:space="preserve"> (Figure 1)</w:t>
      </w:r>
      <w:r>
        <w:rPr>
          <w:rFonts w:ascii="Segoe UI" w:hAnsi="Segoe UI" w:cs="Segoe UI"/>
          <w:color w:val="242424"/>
          <w:shd w:val="clear" w:color="auto" w:fill="FFFFFF"/>
          <w:lang w:val="en-GB"/>
        </w:rPr>
        <w:t xml:space="preserve">, suggesting an issue during the </w:t>
      </w:r>
      <w:r w:rsidR="00076B8D">
        <w:rPr>
          <w:rFonts w:ascii="Segoe UI" w:hAnsi="Segoe UI" w:cs="Segoe UI"/>
          <w:color w:val="242424"/>
          <w:shd w:val="clear" w:color="auto" w:fill="FFFFFF"/>
          <w:lang w:val="en-GB"/>
        </w:rPr>
        <w:t>analysis, such as sample injection</w:t>
      </w:r>
      <w:r w:rsidR="000874E6">
        <w:rPr>
          <w:rFonts w:ascii="Segoe UI" w:hAnsi="Segoe UI" w:cs="Segoe UI"/>
          <w:color w:val="242424"/>
          <w:shd w:val="clear" w:color="auto" w:fill="FFFFFF"/>
          <w:lang w:val="en-GB"/>
        </w:rPr>
        <w:t>.</w:t>
      </w:r>
    </w:p>
    <w:p w14:paraId="1A84749A" w14:textId="50406F00" w:rsidR="008D5F41" w:rsidRDefault="00464D89" w:rsidP="000874E6">
      <w:r w:rsidRPr="00582F22">
        <w:rPr>
          <w:noProof/>
          <w:lang w:val="en-GB"/>
        </w:rPr>
        <w:drawing>
          <wp:inline distT="0" distB="0" distL="0" distR="0" wp14:anchorId="2E500C4F" wp14:editId="0C6B8F44">
            <wp:extent cx="5758615" cy="2830475"/>
            <wp:effectExtent l="0" t="0" r="0" b="8255"/>
            <wp:docPr id="1222204548" name="Picture 1" descr="A graph showing a graph of red and black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204548" name="Picture 1" descr="A graph showing a graph of red and black lines&#10;&#10;Description automatically generated with medium confidence"/>
                    <pic:cNvPicPr/>
                  </pic:nvPicPr>
                  <pic:blipFill rotWithShape="1">
                    <a:blip r:embed="rId11"/>
                    <a:srcRect t="770"/>
                    <a:stretch/>
                  </pic:blipFill>
                  <pic:spPr bwMode="auto">
                    <a:xfrm>
                      <a:off x="0" y="0"/>
                      <a:ext cx="5760000" cy="2831156"/>
                    </a:xfrm>
                    <a:prstGeom prst="rect">
                      <a:avLst/>
                    </a:prstGeom>
                    <a:ln>
                      <a:noFill/>
                    </a:ln>
                    <a:extLst>
                      <a:ext uri="{53640926-AAD7-44D8-BBD7-CCE9431645EC}">
                        <a14:shadowObscured xmlns:a14="http://schemas.microsoft.com/office/drawing/2010/main"/>
                      </a:ext>
                    </a:extLst>
                  </pic:spPr>
                </pic:pic>
              </a:graphicData>
            </a:graphic>
          </wp:inline>
        </w:drawing>
      </w:r>
    </w:p>
    <w:p w14:paraId="667A0A11" w14:textId="32CB29CE" w:rsidR="008D5F41" w:rsidRPr="004F2A5F" w:rsidRDefault="008D5F41" w:rsidP="008D5F41">
      <w:pPr>
        <w:pStyle w:val="Kuvaotsikko"/>
        <w:rPr>
          <w:i w:val="0"/>
          <w:iCs w:val="0"/>
          <w:sz w:val="22"/>
          <w:szCs w:val="22"/>
        </w:rPr>
      </w:pPr>
      <w:r w:rsidRPr="004F2A5F">
        <w:rPr>
          <w:i w:val="0"/>
          <w:iCs w:val="0"/>
          <w:sz w:val="22"/>
          <w:szCs w:val="22"/>
        </w:rPr>
        <w:lastRenderedPageBreak/>
        <w:t xml:space="preserve">Figure </w:t>
      </w:r>
      <w:r w:rsidRPr="004F2A5F">
        <w:rPr>
          <w:i w:val="0"/>
          <w:iCs w:val="0"/>
          <w:sz w:val="22"/>
          <w:szCs w:val="22"/>
        </w:rPr>
        <w:fldChar w:fldCharType="begin"/>
      </w:r>
      <w:r w:rsidRPr="004F2A5F">
        <w:rPr>
          <w:i w:val="0"/>
          <w:iCs w:val="0"/>
          <w:sz w:val="22"/>
          <w:szCs w:val="22"/>
        </w:rPr>
        <w:instrText xml:space="preserve"> SEQ Figure \* ARABIC </w:instrText>
      </w:r>
      <w:r w:rsidRPr="004F2A5F">
        <w:rPr>
          <w:i w:val="0"/>
          <w:iCs w:val="0"/>
          <w:sz w:val="22"/>
          <w:szCs w:val="22"/>
        </w:rPr>
        <w:fldChar w:fldCharType="separate"/>
      </w:r>
      <w:r w:rsidRPr="004F2A5F">
        <w:rPr>
          <w:i w:val="0"/>
          <w:iCs w:val="0"/>
          <w:noProof/>
          <w:sz w:val="22"/>
          <w:szCs w:val="22"/>
        </w:rPr>
        <w:t>1</w:t>
      </w:r>
      <w:r w:rsidRPr="004F2A5F">
        <w:rPr>
          <w:i w:val="0"/>
          <w:iCs w:val="0"/>
          <w:sz w:val="22"/>
          <w:szCs w:val="22"/>
        </w:rPr>
        <w:fldChar w:fldCharType="end"/>
      </w:r>
      <w:r w:rsidRPr="004F2A5F">
        <w:rPr>
          <w:i w:val="0"/>
          <w:iCs w:val="0"/>
          <w:sz w:val="22"/>
          <w:szCs w:val="22"/>
        </w:rPr>
        <w:t xml:space="preserve">. </w:t>
      </w:r>
      <w:r w:rsidR="00E1082A" w:rsidRPr="004F2A5F">
        <w:rPr>
          <w:i w:val="0"/>
          <w:iCs w:val="0"/>
          <w:sz w:val="22"/>
          <w:szCs w:val="22"/>
        </w:rPr>
        <w:t xml:space="preserve">Boxplots of the detected signal abundances across all samples. Samples P_256 and </w:t>
      </w:r>
      <w:r w:rsidR="004F2A5F" w:rsidRPr="004F2A5F">
        <w:rPr>
          <w:i w:val="0"/>
          <w:iCs w:val="0"/>
          <w:sz w:val="22"/>
          <w:szCs w:val="22"/>
        </w:rPr>
        <w:t>P_208 showed a very low relative abundance compared to the other samples.</w:t>
      </w:r>
    </w:p>
    <w:p w14:paraId="2A0C20B8" w14:textId="4F701939" w:rsidR="00464D89" w:rsidRPr="008D5F41" w:rsidRDefault="00464D89" w:rsidP="008D5F41">
      <w:pPr>
        <w:rPr>
          <w:rFonts w:ascii="Segoe UI" w:hAnsi="Segoe UI" w:cs="Segoe UI"/>
          <w:color w:val="242424"/>
          <w:lang w:val="en-GB"/>
        </w:rPr>
      </w:pPr>
      <w:r w:rsidRPr="008D5F41">
        <w:rPr>
          <w:rFonts w:ascii="Segoe UI" w:hAnsi="Segoe UI" w:cs="Segoe UI"/>
          <w:color w:val="242424"/>
          <w:lang w:val="en-GB"/>
        </w:rPr>
        <w:br/>
      </w:r>
    </w:p>
    <w:p w14:paraId="7A810280" w14:textId="77777777" w:rsidR="00464D89" w:rsidRPr="00464D89" w:rsidRDefault="00464D89" w:rsidP="00464D89">
      <w:pPr>
        <w:pStyle w:val="Luettelokappale"/>
        <w:ind w:left="360"/>
      </w:pPr>
    </w:p>
    <w:p w14:paraId="3CCDDD55" w14:textId="77777777" w:rsidR="00D072F2" w:rsidRPr="008A5F8F" w:rsidRDefault="00D072F2" w:rsidP="008A5F8F"/>
    <w:sectPr w:rsidR="00D072F2" w:rsidRPr="008A5F8F">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5E00B" w14:textId="77777777" w:rsidR="00305DB9" w:rsidRDefault="00305DB9" w:rsidP="006A0D51">
      <w:pPr>
        <w:spacing w:after="0" w:line="240" w:lineRule="auto"/>
      </w:pPr>
      <w:r>
        <w:separator/>
      </w:r>
    </w:p>
  </w:endnote>
  <w:endnote w:type="continuationSeparator" w:id="0">
    <w:p w14:paraId="2EA37AB4" w14:textId="77777777" w:rsidR="00305DB9" w:rsidRDefault="00305DB9" w:rsidP="006A0D51">
      <w:pPr>
        <w:spacing w:after="0" w:line="240" w:lineRule="auto"/>
      </w:pPr>
      <w:r>
        <w:continuationSeparator/>
      </w:r>
    </w:p>
  </w:endnote>
  <w:endnote w:type="continuationNotice" w:id="1">
    <w:p w14:paraId="3574AF51" w14:textId="77777777" w:rsidR="00305DB9" w:rsidRDefault="00305D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BF1A2" w14:textId="77777777" w:rsidR="00305DB9" w:rsidRDefault="00305DB9" w:rsidP="006A0D51">
      <w:pPr>
        <w:spacing w:after="0" w:line="240" w:lineRule="auto"/>
      </w:pPr>
      <w:r>
        <w:separator/>
      </w:r>
    </w:p>
  </w:footnote>
  <w:footnote w:type="continuationSeparator" w:id="0">
    <w:p w14:paraId="0E9A8D48" w14:textId="77777777" w:rsidR="00305DB9" w:rsidRDefault="00305DB9" w:rsidP="006A0D51">
      <w:pPr>
        <w:spacing w:after="0" w:line="240" w:lineRule="auto"/>
      </w:pPr>
      <w:r>
        <w:continuationSeparator/>
      </w:r>
    </w:p>
  </w:footnote>
  <w:footnote w:type="continuationNotice" w:id="1">
    <w:p w14:paraId="35A16006" w14:textId="77777777" w:rsidR="00305DB9" w:rsidRDefault="00305D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A8D58" w14:textId="5956AB76" w:rsidR="006A0D51" w:rsidRPr="00C64F2B" w:rsidRDefault="00C64F2B" w:rsidP="00C64F2B">
    <w:pPr>
      <w:rPr>
        <w:rFonts w:ascii="Calibri" w:hAnsi="Calibri" w:cs="Calibri"/>
        <w:b/>
        <w:bCs/>
        <w:color w:val="000000"/>
        <w:sz w:val="20"/>
        <w:szCs w:val="20"/>
      </w:rPr>
    </w:pPr>
    <w:r>
      <w:rPr>
        <w:rStyle w:val="apple-converted-space"/>
        <w:rFonts w:ascii="Calibri" w:hAnsi="Calibri" w:cs="Calibri"/>
        <w:b/>
        <w:bCs/>
        <w:color w:val="000000"/>
        <w:sz w:val="20"/>
        <w:szCs w:val="20"/>
      </w:rPr>
      <w:t xml:space="preserve">Supplementary material for Metabolic profiles of meconium in preeclamptic and normotensive pregnancies by Toivonen E, Sikkinen J, Salonen A, Kärkkäinen O, Koistinen V, Klåvus A, Meuronen T, Heini T, Maltseva A, Niku M, Jääskeläinen 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7E77A4"/>
    <w:multiLevelType w:val="hybridMultilevel"/>
    <w:tmpl w:val="28B652C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6FFB4855"/>
    <w:multiLevelType w:val="multilevel"/>
    <w:tmpl w:val="2BB403F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86086736">
    <w:abstractNumId w:val="1"/>
  </w:num>
  <w:num w:numId="2" w16cid:durableId="882062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362"/>
    <w:rsid w:val="00011968"/>
    <w:rsid w:val="00012D1F"/>
    <w:rsid w:val="0004160F"/>
    <w:rsid w:val="00050BA1"/>
    <w:rsid w:val="0005330C"/>
    <w:rsid w:val="00075A14"/>
    <w:rsid w:val="00076B8D"/>
    <w:rsid w:val="000874E6"/>
    <w:rsid w:val="000A33FB"/>
    <w:rsid w:val="000B5248"/>
    <w:rsid w:val="000D410E"/>
    <w:rsid w:val="000F6A90"/>
    <w:rsid w:val="001110E2"/>
    <w:rsid w:val="0011478A"/>
    <w:rsid w:val="001473D6"/>
    <w:rsid w:val="00165A36"/>
    <w:rsid w:val="00165AFD"/>
    <w:rsid w:val="00175215"/>
    <w:rsid w:val="00175E73"/>
    <w:rsid w:val="001762B9"/>
    <w:rsid w:val="001963BD"/>
    <w:rsid w:val="001B426A"/>
    <w:rsid w:val="001B7DAA"/>
    <w:rsid w:val="001E5126"/>
    <w:rsid w:val="001F60F9"/>
    <w:rsid w:val="00204E57"/>
    <w:rsid w:val="00207EAE"/>
    <w:rsid w:val="0021361B"/>
    <w:rsid w:val="00221633"/>
    <w:rsid w:val="00227B7C"/>
    <w:rsid w:val="002446B4"/>
    <w:rsid w:val="002467AC"/>
    <w:rsid w:val="00262DBA"/>
    <w:rsid w:val="002D7DBE"/>
    <w:rsid w:val="00305DB9"/>
    <w:rsid w:val="0036272E"/>
    <w:rsid w:val="00372C35"/>
    <w:rsid w:val="0038135E"/>
    <w:rsid w:val="0039022B"/>
    <w:rsid w:val="0039740B"/>
    <w:rsid w:val="003A2E13"/>
    <w:rsid w:val="003A3B08"/>
    <w:rsid w:val="003A6A97"/>
    <w:rsid w:val="003C7F07"/>
    <w:rsid w:val="003D153D"/>
    <w:rsid w:val="003E2066"/>
    <w:rsid w:val="003E5837"/>
    <w:rsid w:val="003F1067"/>
    <w:rsid w:val="004251FC"/>
    <w:rsid w:val="00431F48"/>
    <w:rsid w:val="004475CD"/>
    <w:rsid w:val="004531AE"/>
    <w:rsid w:val="00464D89"/>
    <w:rsid w:val="00466CE0"/>
    <w:rsid w:val="00487C53"/>
    <w:rsid w:val="0049084E"/>
    <w:rsid w:val="004B21D6"/>
    <w:rsid w:val="004C1E91"/>
    <w:rsid w:val="004E588B"/>
    <w:rsid w:val="004F2A5F"/>
    <w:rsid w:val="004F4FBF"/>
    <w:rsid w:val="00593FFC"/>
    <w:rsid w:val="005C5142"/>
    <w:rsid w:val="005C5681"/>
    <w:rsid w:val="005E4133"/>
    <w:rsid w:val="005E4679"/>
    <w:rsid w:val="005E4BD0"/>
    <w:rsid w:val="005E732D"/>
    <w:rsid w:val="006020DA"/>
    <w:rsid w:val="00621FE0"/>
    <w:rsid w:val="0062680F"/>
    <w:rsid w:val="006708FC"/>
    <w:rsid w:val="00696A09"/>
    <w:rsid w:val="006A0D51"/>
    <w:rsid w:val="006B4772"/>
    <w:rsid w:val="006B61CC"/>
    <w:rsid w:val="006C13F9"/>
    <w:rsid w:val="006E3DEB"/>
    <w:rsid w:val="006E719E"/>
    <w:rsid w:val="007119BF"/>
    <w:rsid w:val="00717BCF"/>
    <w:rsid w:val="0072690F"/>
    <w:rsid w:val="00736C21"/>
    <w:rsid w:val="00747BC0"/>
    <w:rsid w:val="0075704B"/>
    <w:rsid w:val="00762F41"/>
    <w:rsid w:val="0077116B"/>
    <w:rsid w:val="007E0EF8"/>
    <w:rsid w:val="00810896"/>
    <w:rsid w:val="00811C9D"/>
    <w:rsid w:val="008176DE"/>
    <w:rsid w:val="0084056D"/>
    <w:rsid w:val="00842F81"/>
    <w:rsid w:val="008621C9"/>
    <w:rsid w:val="00865217"/>
    <w:rsid w:val="00865B26"/>
    <w:rsid w:val="00873A89"/>
    <w:rsid w:val="008831ED"/>
    <w:rsid w:val="00887280"/>
    <w:rsid w:val="008A5F8F"/>
    <w:rsid w:val="008C3CE0"/>
    <w:rsid w:val="008D5F41"/>
    <w:rsid w:val="00935D84"/>
    <w:rsid w:val="009561CC"/>
    <w:rsid w:val="00957891"/>
    <w:rsid w:val="0096009D"/>
    <w:rsid w:val="00992918"/>
    <w:rsid w:val="00992FBB"/>
    <w:rsid w:val="00997918"/>
    <w:rsid w:val="009A3822"/>
    <w:rsid w:val="009B2936"/>
    <w:rsid w:val="009E494A"/>
    <w:rsid w:val="009E7D11"/>
    <w:rsid w:val="00A078AF"/>
    <w:rsid w:val="00A232D2"/>
    <w:rsid w:val="00A30CC2"/>
    <w:rsid w:val="00A30F13"/>
    <w:rsid w:val="00A34129"/>
    <w:rsid w:val="00A419D1"/>
    <w:rsid w:val="00A554AB"/>
    <w:rsid w:val="00A7063F"/>
    <w:rsid w:val="00A71062"/>
    <w:rsid w:val="00A72451"/>
    <w:rsid w:val="00A82866"/>
    <w:rsid w:val="00A83F16"/>
    <w:rsid w:val="00AC6451"/>
    <w:rsid w:val="00AD4D57"/>
    <w:rsid w:val="00AE04D7"/>
    <w:rsid w:val="00AE24F9"/>
    <w:rsid w:val="00AE4811"/>
    <w:rsid w:val="00AF3F19"/>
    <w:rsid w:val="00B070C4"/>
    <w:rsid w:val="00B40066"/>
    <w:rsid w:val="00B416F0"/>
    <w:rsid w:val="00B427BB"/>
    <w:rsid w:val="00B52DC8"/>
    <w:rsid w:val="00B87F11"/>
    <w:rsid w:val="00B90174"/>
    <w:rsid w:val="00BA5362"/>
    <w:rsid w:val="00BA75C1"/>
    <w:rsid w:val="00C141D2"/>
    <w:rsid w:val="00C15985"/>
    <w:rsid w:val="00C326EC"/>
    <w:rsid w:val="00C432E3"/>
    <w:rsid w:val="00C50EB6"/>
    <w:rsid w:val="00C64F2B"/>
    <w:rsid w:val="00C81A6A"/>
    <w:rsid w:val="00CA0C57"/>
    <w:rsid w:val="00CB4308"/>
    <w:rsid w:val="00CF3F55"/>
    <w:rsid w:val="00D072F2"/>
    <w:rsid w:val="00D10AFD"/>
    <w:rsid w:val="00D124B0"/>
    <w:rsid w:val="00D62241"/>
    <w:rsid w:val="00D670D4"/>
    <w:rsid w:val="00D72116"/>
    <w:rsid w:val="00DA7B25"/>
    <w:rsid w:val="00DD51D4"/>
    <w:rsid w:val="00DD617B"/>
    <w:rsid w:val="00E1082A"/>
    <w:rsid w:val="00E40631"/>
    <w:rsid w:val="00E71BCC"/>
    <w:rsid w:val="00EA5BAB"/>
    <w:rsid w:val="00EB5D2E"/>
    <w:rsid w:val="00EC7022"/>
    <w:rsid w:val="00EE24C4"/>
    <w:rsid w:val="00EF66AE"/>
    <w:rsid w:val="00F066FD"/>
    <w:rsid w:val="00F127EA"/>
    <w:rsid w:val="00F23AFE"/>
    <w:rsid w:val="00F308EF"/>
    <w:rsid w:val="00F63B06"/>
    <w:rsid w:val="00F710E1"/>
    <w:rsid w:val="00F8127A"/>
    <w:rsid w:val="00FA668F"/>
    <w:rsid w:val="00FA7E37"/>
    <w:rsid w:val="00FD6B12"/>
    <w:rsid w:val="00FE207D"/>
    <w:rsid w:val="00FE7007"/>
    <w:rsid w:val="00FF1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DE7D7"/>
  <w15:chartTrackingRefBased/>
  <w15:docId w15:val="{C4EF2066-B67E-4D51-B649-40203F701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BA53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BA53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BA5362"/>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BA5362"/>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BA5362"/>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BA5362"/>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BA5362"/>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BA5362"/>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BA5362"/>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BA5362"/>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BA5362"/>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BA5362"/>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BA5362"/>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BA5362"/>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BA5362"/>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BA5362"/>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BA5362"/>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BA5362"/>
    <w:rPr>
      <w:rFonts w:eastAsiaTheme="majorEastAsia" w:cstheme="majorBidi"/>
      <w:color w:val="272727" w:themeColor="text1" w:themeTint="D8"/>
    </w:rPr>
  </w:style>
  <w:style w:type="paragraph" w:styleId="Otsikko">
    <w:name w:val="Title"/>
    <w:basedOn w:val="Normaali"/>
    <w:next w:val="Normaali"/>
    <w:link w:val="OtsikkoChar"/>
    <w:uiPriority w:val="10"/>
    <w:qFormat/>
    <w:rsid w:val="00BA53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BA5362"/>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BA5362"/>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BA5362"/>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BA5362"/>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BA5362"/>
    <w:rPr>
      <w:i/>
      <w:iCs/>
      <w:color w:val="404040" w:themeColor="text1" w:themeTint="BF"/>
    </w:rPr>
  </w:style>
  <w:style w:type="paragraph" w:styleId="Luettelokappale">
    <w:name w:val="List Paragraph"/>
    <w:basedOn w:val="Normaali"/>
    <w:uiPriority w:val="34"/>
    <w:qFormat/>
    <w:rsid w:val="00BA5362"/>
    <w:pPr>
      <w:ind w:left="720"/>
      <w:contextualSpacing/>
    </w:pPr>
  </w:style>
  <w:style w:type="character" w:styleId="Voimakaskorostus">
    <w:name w:val="Intense Emphasis"/>
    <w:basedOn w:val="Kappaleenoletusfontti"/>
    <w:uiPriority w:val="21"/>
    <w:qFormat/>
    <w:rsid w:val="00BA5362"/>
    <w:rPr>
      <w:i/>
      <w:iCs/>
      <w:color w:val="0F4761" w:themeColor="accent1" w:themeShade="BF"/>
    </w:rPr>
  </w:style>
  <w:style w:type="paragraph" w:styleId="Erottuvalainaus">
    <w:name w:val="Intense Quote"/>
    <w:basedOn w:val="Normaali"/>
    <w:next w:val="Normaali"/>
    <w:link w:val="ErottuvalainausChar"/>
    <w:uiPriority w:val="30"/>
    <w:qFormat/>
    <w:rsid w:val="00BA53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BA5362"/>
    <w:rPr>
      <w:i/>
      <w:iCs/>
      <w:color w:val="0F4761" w:themeColor="accent1" w:themeShade="BF"/>
    </w:rPr>
  </w:style>
  <w:style w:type="character" w:styleId="Erottuvaviittaus">
    <w:name w:val="Intense Reference"/>
    <w:basedOn w:val="Kappaleenoletusfontti"/>
    <w:uiPriority w:val="32"/>
    <w:qFormat/>
    <w:rsid w:val="00BA5362"/>
    <w:rPr>
      <w:b/>
      <w:bCs/>
      <w:smallCaps/>
      <w:color w:val="0F4761" w:themeColor="accent1" w:themeShade="BF"/>
      <w:spacing w:val="5"/>
    </w:rPr>
  </w:style>
  <w:style w:type="paragraph" w:styleId="Yltunniste">
    <w:name w:val="header"/>
    <w:basedOn w:val="Normaali"/>
    <w:link w:val="YltunnisteChar"/>
    <w:uiPriority w:val="99"/>
    <w:unhideWhenUsed/>
    <w:rsid w:val="006A0D51"/>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6A0D51"/>
  </w:style>
  <w:style w:type="paragraph" w:styleId="Alatunniste">
    <w:name w:val="footer"/>
    <w:basedOn w:val="Normaali"/>
    <w:link w:val="AlatunnisteChar"/>
    <w:uiPriority w:val="99"/>
    <w:unhideWhenUsed/>
    <w:rsid w:val="006A0D51"/>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6A0D51"/>
  </w:style>
  <w:style w:type="character" w:styleId="Hyperlinkki">
    <w:name w:val="Hyperlink"/>
    <w:basedOn w:val="Kappaleenoletusfontti"/>
    <w:uiPriority w:val="99"/>
    <w:unhideWhenUsed/>
    <w:rsid w:val="006A0D51"/>
    <w:rPr>
      <w:color w:val="467886" w:themeColor="hyperlink"/>
      <w:u w:val="single"/>
    </w:rPr>
  </w:style>
  <w:style w:type="character" w:styleId="Ratkaisematonmaininta">
    <w:name w:val="Unresolved Mention"/>
    <w:basedOn w:val="Kappaleenoletusfontti"/>
    <w:uiPriority w:val="99"/>
    <w:semiHidden/>
    <w:unhideWhenUsed/>
    <w:rsid w:val="006A0D51"/>
    <w:rPr>
      <w:color w:val="605E5C"/>
      <w:shd w:val="clear" w:color="auto" w:fill="E1DFDD"/>
    </w:rPr>
  </w:style>
  <w:style w:type="character" w:styleId="Kommentinviite">
    <w:name w:val="annotation reference"/>
    <w:basedOn w:val="Kappaleenoletusfontti"/>
    <w:uiPriority w:val="99"/>
    <w:semiHidden/>
    <w:unhideWhenUsed/>
    <w:rsid w:val="006A0D51"/>
    <w:rPr>
      <w:sz w:val="16"/>
      <w:szCs w:val="16"/>
    </w:rPr>
  </w:style>
  <w:style w:type="paragraph" w:styleId="Kommentinteksti">
    <w:name w:val="annotation text"/>
    <w:basedOn w:val="Normaali"/>
    <w:link w:val="KommentintekstiChar"/>
    <w:uiPriority w:val="99"/>
    <w:unhideWhenUsed/>
    <w:rsid w:val="006A0D51"/>
    <w:pPr>
      <w:spacing w:line="240" w:lineRule="auto"/>
    </w:pPr>
    <w:rPr>
      <w:sz w:val="20"/>
      <w:szCs w:val="20"/>
    </w:rPr>
  </w:style>
  <w:style w:type="character" w:customStyle="1" w:styleId="KommentintekstiChar">
    <w:name w:val="Kommentin teksti Char"/>
    <w:basedOn w:val="Kappaleenoletusfontti"/>
    <w:link w:val="Kommentinteksti"/>
    <w:uiPriority w:val="99"/>
    <w:rsid w:val="006A0D51"/>
    <w:rPr>
      <w:sz w:val="20"/>
      <w:szCs w:val="20"/>
    </w:rPr>
  </w:style>
  <w:style w:type="paragraph" w:styleId="Kommentinotsikko">
    <w:name w:val="annotation subject"/>
    <w:basedOn w:val="Kommentinteksti"/>
    <w:next w:val="Kommentinteksti"/>
    <w:link w:val="KommentinotsikkoChar"/>
    <w:uiPriority w:val="99"/>
    <w:semiHidden/>
    <w:unhideWhenUsed/>
    <w:rsid w:val="006A0D51"/>
    <w:rPr>
      <w:b/>
      <w:bCs/>
    </w:rPr>
  </w:style>
  <w:style w:type="character" w:customStyle="1" w:styleId="KommentinotsikkoChar">
    <w:name w:val="Kommentin otsikko Char"/>
    <w:basedOn w:val="KommentintekstiChar"/>
    <w:link w:val="Kommentinotsikko"/>
    <w:uiPriority w:val="99"/>
    <w:semiHidden/>
    <w:rsid w:val="006A0D51"/>
    <w:rPr>
      <w:b/>
      <w:bCs/>
      <w:sz w:val="20"/>
      <w:szCs w:val="20"/>
    </w:rPr>
  </w:style>
  <w:style w:type="character" w:styleId="Paikkamerkkiteksti">
    <w:name w:val="Placeholder Text"/>
    <w:basedOn w:val="Kappaleenoletusfontti"/>
    <w:uiPriority w:val="99"/>
    <w:semiHidden/>
    <w:rsid w:val="003A2E13"/>
    <w:rPr>
      <w:color w:val="666666"/>
    </w:rPr>
  </w:style>
  <w:style w:type="paragraph" w:styleId="Kuvaotsikko">
    <w:name w:val="caption"/>
    <w:basedOn w:val="Normaali"/>
    <w:next w:val="Normaali"/>
    <w:uiPriority w:val="35"/>
    <w:semiHidden/>
    <w:unhideWhenUsed/>
    <w:qFormat/>
    <w:rsid w:val="008D5F41"/>
    <w:pPr>
      <w:spacing w:after="200" w:line="240" w:lineRule="auto"/>
    </w:pPr>
    <w:rPr>
      <w:i/>
      <w:iCs/>
      <w:color w:val="0E2841" w:themeColor="text2"/>
      <w:sz w:val="18"/>
      <w:szCs w:val="18"/>
    </w:rPr>
  </w:style>
  <w:style w:type="character" w:customStyle="1" w:styleId="apple-converted-space">
    <w:name w:val="apple-converted-space"/>
    <w:basedOn w:val="Kappaleenoletusfontti"/>
    <w:rsid w:val="0062680F"/>
  </w:style>
  <w:style w:type="paragraph" w:styleId="Lhdeluettelo">
    <w:name w:val="Bibliography"/>
    <w:basedOn w:val="Normaali"/>
    <w:next w:val="Normaali"/>
    <w:uiPriority w:val="37"/>
    <w:unhideWhenUsed/>
    <w:rsid w:val="00EF66AE"/>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9239622-a2c7-4eae-88a4-5b963abff567" xsi:nil="true"/>
    <lcf76f155ced4ddcb4097134ff3c332f xmlns="7746a6f8-0bb5-496b-bf25-a73b1813b98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235D0575450E4D9009B3EC36509618" ma:contentTypeVersion="17" ma:contentTypeDescription="Create a new document." ma:contentTypeScope="" ma:versionID="0e1c1ede683ceb70e281bac5c5b057c9">
  <xsd:schema xmlns:xsd="http://www.w3.org/2001/XMLSchema" xmlns:xs="http://www.w3.org/2001/XMLSchema" xmlns:p="http://schemas.microsoft.com/office/2006/metadata/properties" xmlns:ns2="7746a6f8-0bb5-496b-bf25-a73b1813b983" xmlns:ns3="e9239622-a2c7-4eae-88a4-5b963abff567" targetNamespace="http://schemas.microsoft.com/office/2006/metadata/properties" ma:root="true" ma:fieldsID="4b780738cd680f2c80c3e97c00b4a1a8" ns2:_="" ns3:_="">
    <xsd:import namespace="7746a6f8-0bb5-496b-bf25-a73b1813b983"/>
    <xsd:import namespace="e9239622-a2c7-4eae-88a4-5b963abff5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6a6f8-0bb5-496b-bf25-a73b1813b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b903528-d634-475c-adad-f742c64416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239622-a2c7-4eae-88a4-5b963abff56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32b9fe8-da5b-4297-ba5d-4826aca484dd}" ma:internalName="TaxCatchAll" ma:showField="CatchAllData" ma:web="e9239622-a2c7-4eae-88a4-5b963abff56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C1609-ECFE-411B-BFA7-072B58E3122C}">
  <ds:schemaRefs>
    <ds:schemaRef ds:uri="http://schemas.microsoft.com/sharepoint/v3/contenttype/forms"/>
  </ds:schemaRefs>
</ds:datastoreItem>
</file>

<file path=customXml/itemProps2.xml><?xml version="1.0" encoding="utf-8"?>
<ds:datastoreItem xmlns:ds="http://schemas.openxmlformats.org/officeDocument/2006/customXml" ds:itemID="{0065FB66-51E0-495C-AF46-5BA2407EDCF4}">
  <ds:schemaRefs>
    <ds:schemaRef ds:uri="http://schemas.microsoft.com/office/2006/metadata/properties"/>
    <ds:schemaRef ds:uri="http://schemas.microsoft.com/office/infopath/2007/PartnerControls"/>
    <ds:schemaRef ds:uri="e9239622-a2c7-4eae-88a4-5b963abff567"/>
    <ds:schemaRef ds:uri="7746a6f8-0bb5-496b-bf25-a73b1813b983"/>
  </ds:schemaRefs>
</ds:datastoreItem>
</file>

<file path=customXml/itemProps3.xml><?xml version="1.0" encoding="utf-8"?>
<ds:datastoreItem xmlns:ds="http://schemas.openxmlformats.org/officeDocument/2006/customXml" ds:itemID="{AAFB4243-D683-4A01-8966-205EFE8B8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46a6f8-0bb5-496b-bf25-a73b1813b983"/>
    <ds:schemaRef ds:uri="e9239622-a2c7-4eae-88a4-5b963abff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4DC476-0370-4BA6-A12D-EE698CD14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Pages>
  <Words>3194</Words>
  <Characters>25877</Characters>
  <Application>Microsoft Office Word</Application>
  <DocSecurity>0</DocSecurity>
  <Lines>215</Lines>
  <Paragraphs>58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Topi Meuronen</dc:creator>
  <cp:keywords/>
  <dc:description/>
  <cp:lastModifiedBy>Elli Toivonen</cp:lastModifiedBy>
  <cp:revision>10</cp:revision>
  <dcterms:created xsi:type="dcterms:W3CDTF">2025-01-09T19:43:00Z</dcterms:created>
  <dcterms:modified xsi:type="dcterms:W3CDTF">2025-01-11T21:32:00Z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0x01010038235D0575450E4D9009B3EC36509618</vt:lpwstr>
  </property>
  <property fmtid="{D5CDD505-2E9C-101B-9397-08002B2CF9AE}" pid="3" name="MediaServiceImageTags">
    <vt:lpwstr/>
  </property>
  <property fmtid="{D5CDD505-2E9C-101B-9397-08002B2CF9AE}" pid="4" name="ZOTERO_PREF_1">
    <vt:lpwstr>&lt;data data-version="3" zotero-version="7.0.11"&gt;&lt;session id="d7LoqVYq"/&gt;&lt;style id="http://www.zotero.org/styles/apa" locale="en-US" hasBibliography="1" bibliographyStyleHasBeenSet="1"/&gt;&lt;prefs&gt;&lt;pref name="fieldType" value="Field"/&gt;&lt;pref name="automaticJourn</vt:lpwstr>
  </property>
  <property fmtid="{D5CDD505-2E9C-101B-9397-08002B2CF9AE}" pid="5" name="ZOTERO_PREF_2">
    <vt:lpwstr>alAbbreviations" value="true"/&gt;&lt;/prefs&gt;&lt;/data&gt;</vt:lpwstr>
  </property>
</Properties>
</file>