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1FF1F" w14:textId="4CA87A96" w:rsidR="007166F3" w:rsidRPr="002A324D" w:rsidRDefault="00FA4299" w:rsidP="002C5B9F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Material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>7</w:t>
      </w:r>
      <w:r w:rsidR="002C5B9F"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r w:rsidR="00486C58"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>Additional results figures</w:t>
      </w:r>
    </w:p>
    <w:p w14:paraId="28CDF3D9" w14:textId="177F7A64" w:rsidR="00D3171E" w:rsidRPr="002C5B9F" w:rsidRDefault="00D55722" w:rsidP="002C5B9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pP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begin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REF _Ref198214868 \h </w:instrText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r>
      <w:r w:rsidR="002A324D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\* MERGEFORMAT </w:instrText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separate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Fig. 1</w:t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end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</w:t>
      </w:r>
      <w:r w:rsidR="00E82AC0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exemplifies </w:t>
      </w:r>
      <w:r w:rsidR="007F0D83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observed trends on different metabolites. </w:t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The eight metabolites in </w:t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begin"/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REF _Ref198214868 \h </w:instrText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r>
      <w:r w:rsidR="002A324D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\* MERGEFORMAT </w:instrText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separate"/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Fig. 1</w:t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end"/>
      </w:r>
      <w:r w:rsidR="00D3171E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were selected as representative examples spanning a range of chemical classes (e.g., amino acids, lipids) and signal intensities to illustrate the differences in relative signal intensity across the three concentrations and homogenization conditions.</w:t>
      </w:r>
      <w:r w:rsidR="005C5F6C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This figure is illustrative </w:t>
      </w:r>
      <w:r w:rsidR="00413FD8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as the </w:t>
      </w:r>
      <w:r w:rsidR="0037148B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untargeted analysis is based on the full feature set.</w:t>
      </w:r>
    </w:p>
    <w:p w14:paraId="2194C205" w14:textId="6BB2EBC2" w:rsidR="00782253" w:rsidRPr="002C5B9F" w:rsidRDefault="00782253" w:rsidP="002C5B9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pP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We categorized the samples as 'Blood-derived', which were features present across all blood-based matrices; 'Paper-associated', which are features significantly higher/unique to the paper-based devices (suggesting bleed-out from the matrix); 'Analytical background' features are present in blanks. 'Proportional features' are those whose signal intensity scales linearly with the sample concentration, while 'non-proportional features' do not, indicating a volume-dependent effect on recovery."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486C58" w:rsidRPr="002A324D" w14:paraId="2ACB1992" w14:textId="77777777" w:rsidTr="005577A0">
        <w:tc>
          <w:tcPr>
            <w:tcW w:w="9016" w:type="dxa"/>
          </w:tcPr>
          <w:p w14:paraId="7C4CD66D" w14:textId="77777777" w:rsidR="00486C58" w:rsidRPr="002A324D" w:rsidRDefault="00486C58" w:rsidP="006B549E">
            <w:pPr>
              <w:spacing w:line="276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2A324D">
              <w:rPr>
                <w:rFonts w:ascii="Times New Roman" w:hAnsi="Times New Roman" w:cs="Times New Roman"/>
                <w:noProof/>
                <w:kern w:val="0"/>
                <w:sz w:val="20"/>
                <w:szCs w:val="20"/>
                <w:lang w:val="en-US"/>
                <w14:ligatures w14:val="none"/>
              </w:rPr>
              <w:drawing>
                <wp:inline distT="0" distB="0" distL="0" distR="0" wp14:anchorId="4F064B69" wp14:editId="3F87E638">
                  <wp:extent cx="5707041" cy="4754916"/>
                  <wp:effectExtent l="0" t="0" r="8255" b="0"/>
                  <wp:docPr id="13290569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403" cy="47777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0C730" w14:textId="39AF83D5" w:rsidR="00486C58" w:rsidRPr="002A324D" w:rsidRDefault="00486C58" w:rsidP="00486C58">
      <w:pPr>
        <w:pStyle w:val="Caption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Ref198214868"/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Fig. </w:t>
      </w:r>
      <w:r w:rsidRPr="002A324D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Fig. \* ARABIC </w:instrText>
      </w:r>
      <w:r w:rsidRPr="002A324D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Pr="002A324D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t>1</w:t>
      </w:r>
      <w:r w:rsidRPr="002A324D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bookmarkEnd w:id="0"/>
      <w:r w:rsidRPr="002A324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A324D">
        <w:rPr>
          <w:rFonts w:ascii="Times New Roman" w:hAnsi="Times New Roman" w:cs="Times New Roman"/>
          <w:sz w:val="20"/>
          <w:szCs w:val="20"/>
          <w:lang w:val="en-US"/>
        </w:rPr>
        <w:t xml:space="preserve">Representative feature trends of eight metabolites across extraction techniques and sample concentrations.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US"/>
        </w:rPr>
        <w:t>(a)</w:t>
      </w:r>
      <w:r w:rsidRPr="002A324D">
        <w:rPr>
          <w:rFonts w:ascii="Times New Roman" w:hAnsi="Times New Roman" w:cs="Times New Roman"/>
          <w:sz w:val="20"/>
          <w:szCs w:val="20"/>
          <w:lang w:val="en-US"/>
        </w:rPr>
        <w:t xml:space="preserve"> Most sample features varied proportionally with concentration and were minimally affected by extraction techniques;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US"/>
        </w:rPr>
        <w:t>(b)</w:t>
      </w:r>
      <w:r w:rsidRPr="002A324D">
        <w:rPr>
          <w:rFonts w:ascii="Times New Roman" w:hAnsi="Times New Roman" w:cs="Times New Roman"/>
          <w:sz w:val="20"/>
          <w:szCs w:val="20"/>
          <w:lang w:val="en-US"/>
        </w:rPr>
        <w:t xml:space="preserve"> some features showed non-proportional trends.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US"/>
        </w:rPr>
        <w:t>(c)</w:t>
      </w:r>
      <w:r w:rsidRPr="002A324D">
        <w:rPr>
          <w:rFonts w:ascii="Times New Roman" w:hAnsi="Times New Roman" w:cs="Times New Roman"/>
          <w:sz w:val="20"/>
          <w:szCs w:val="20"/>
          <w:lang w:val="en-US"/>
        </w:rPr>
        <w:t xml:space="preserve"> Background features remained consistent across blanks and samples.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US"/>
        </w:rPr>
        <w:t>(d)</w:t>
      </w:r>
      <w:r w:rsidRPr="002A324D">
        <w:rPr>
          <w:rFonts w:ascii="Times New Roman" w:hAnsi="Times New Roman" w:cs="Times New Roman"/>
          <w:sz w:val="20"/>
          <w:szCs w:val="20"/>
          <w:lang w:val="en-US"/>
        </w:rPr>
        <w:t xml:space="preserve"> Paper-associated features in blanks increased with paper content. Sample codes are: A, ultrasound extraction at low concentration; D, homogenizer extraction at low concentration; G, shaker extraction at low concentration; B, ultrasound extraction at medium concentration; E, homogenizer extraction at medium concentration; H, shaker extraction at medium concentration; C, ultrasound extraction at high concentration; F, homogenizer extraction at high concentration; and I, shaker extraction at high concentration</w:t>
      </w:r>
      <w:r w:rsidR="00757454" w:rsidRPr="002A324D">
        <w:rPr>
          <w:rFonts w:ascii="Times New Roman" w:hAnsi="Times New Roman" w:cs="Times New Roman"/>
          <w:sz w:val="20"/>
          <w:szCs w:val="20"/>
          <w:lang w:val="en-US"/>
        </w:rPr>
        <w:t>. This figure is illustrative and not the basis for the untargeted statistical conclusions.</w:t>
      </w:r>
    </w:p>
    <w:p w14:paraId="1D872EFA" w14:textId="52D57E20" w:rsidR="00EB770A" w:rsidRPr="002C5B9F" w:rsidRDefault="00F7210F" w:rsidP="00EB770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pP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Fig. 2 </w:t>
      </w:r>
      <w:r w:rsidR="00753D48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shows the clustering of samples by matrix type.</w:t>
      </w:r>
      <w:r w:rsidR="000C5443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</w:t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In the hierarchical clustering model (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begin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REF _Ref198215006 \h  \* MERGEFORMAT </w:instrTex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separate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Fig. 2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end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a) plasma samples clustered separately, while whole blood samples aligned more closely with BµS devices</w:t>
      </w:r>
      <w:r w:rsidR="00710744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, as would have been expected by the presence of red blood cells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. Among devices, Mitra® (VAMS polymer-tips) was differentiated from Capitainer® and Whatman™ (paper-based DBS). Mitra® presented the highest overall </w:t>
      </w:r>
      <w:r w:rsidR="00573EF2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lastRenderedPageBreak/>
        <w:t>metabolite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abundances, while plasma, lacking red blood cells, presented the lowest (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begin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REF _Ref198215006 \h  \* MERGEFORMAT </w:instrTex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separate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Fig. 2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end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b). Despite the PEG interference, Capitainer® samples closely matched whole blood molecular feature abundances (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begin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instrText xml:space="preserve"> REF _Ref198215006 \h  \* MERGEFORMAT </w:instrTex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separate"/>
      </w: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Fig. 2</w:t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fldChar w:fldCharType="end"/>
      </w:r>
      <w:r w:rsidR="00EB770A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b).</w:t>
      </w:r>
    </w:p>
    <w:p w14:paraId="3E9FCFF3" w14:textId="5EC42568" w:rsidR="00E74146" w:rsidRPr="002C5B9F" w:rsidRDefault="00E74146" w:rsidP="00EB770A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</w:pPr>
      <w:r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>The hierarchical dendrogram was constructed using the complete set of high-quality features (16,553) that passed initial filtering and QC thresholds. The dendrogram uses Euclidean distance and Ward’s method to cluster the samples based on overall metabolomic similarity.</w:t>
      </w:r>
      <w:r w:rsidR="00AD46B1" w:rsidRPr="002C5B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n-FI"/>
          <w14:ligatures w14:val="none"/>
        </w:rPr>
        <w:t xml:space="preserve"> Data was centred and scaled for unit variance before computing the distance matrix.</w:t>
      </w:r>
    </w:p>
    <w:p w14:paraId="061C7181" w14:textId="77777777" w:rsidR="00F46732" w:rsidRPr="002A324D" w:rsidRDefault="00F46732" w:rsidP="00EB770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3EF99A83" w14:textId="77777777" w:rsidR="00EB770A" w:rsidRPr="002A324D" w:rsidRDefault="00EB770A" w:rsidP="00EB770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A324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6AD70E" wp14:editId="4EC92620">
            <wp:extent cx="5731510" cy="3696335"/>
            <wp:effectExtent l="0" t="0" r="2540" b="0"/>
            <wp:docPr id="1973374355" name="Picture 1" descr="A chart with colorful squar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74355" name="Picture 1" descr="A chart with colorful squares and number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9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B2525" w14:textId="223918E4" w:rsidR="00486C58" w:rsidRPr="002A324D" w:rsidRDefault="00EB770A" w:rsidP="009917D8">
      <w:pPr>
        <w:pStyle w:val="Caption"/>
        <w:jc w:val="center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bookmarkStart w:id="1" w:name="_Ref198215006"/>
      <w:bookmarkStart w:id="2" w:name="_Toc198206247"/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Fig.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begin"/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instrText xml:space="preserve"> SEQ Fig. \* ARABIC </w:instrTex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separate"/>
      </w:r>
      <w:r w:rsidR="00F7210F"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fldChar w:fldCharType="end"/>
      </w:r>
      <w:bookmarkEnd w:id="1"/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</w:t>
      </w:r>
      <w:bookmarkEnd w:id="2"/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(a) </w:t>
      </w:r>
      <w:r w:rsidRPr="002A324D">
        <w:rPr>
          <w:rFonts w:ascii="Times New Roman" w:hAnsi="Times New Roman" w:cs="Times New Roman"/>
          <w:sz w:val="20"/>
          <w:szCs w:val="20"/>
          <w:lang w:val="en-GB"/>
        </w:rPr>
        <w:t xml:space="preserve">Hierarchical dendrogram and </w:t>
      </w:r>
      <w:r w:rsidRPr="002A324D">
        <w:rPr>
          <w:rFonts w:ascii="Times New Roman" w:hAnsi="Times New Roman" w:cs="Times New Roman"/>
          <w:b/>
          <w:bCs/>
          <w:sz w:val="20"/>
          <w:szCs w:val="20"/>
          <w:lang w:val="en-GB"/>
        </w:rPr>
        <w:t>(b)</w:t>
      </w:r>
      <w:r w:rsidRPr="002A324D">
        <w:rPr>
          <w:rFonts w:ascii="Times New Roman" w:hAnsi="Times New Roman" w:cs="Times New Roman"/>
          <w:sz w:val="20"/>
          <w:szCs w:val="20"/>
          <w:lang w:val="en-GB"/>
        </w:rPr>
        <w:t xml:space="preserve"> sample abundance boxplots. Plasma clustered separately from cellular matrices and presented the lowest overall metabolite abundances; Mitra® presented the highest</w:t>
      </w:r>
    </w:p>
    <w:p w14:paraId="52277016" w14:textId="77777777" w:rsidR="00486C58" w:rsidRPr="002A324D" w:rsidRDefault="00486C58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486C58" w:rsidRPr="002A3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849"/>
    <w:rsid w:val="000C5443"/>
    <w:rsid w:val="00184804"/>
    <w:rsid w:val="002A324D"/>
    <w:rsid w:val="002C5B9F"/>
    <w:rsid w:val="002E2249"/>
    <w:rsid w:val="003152DC"/>
    <w:rsid w:val="00345849"/>
    <w:rsid w:val="0037148B"/>
    <w:rsid w:val="003B696E"/>
    <w:rsid w:val="003F31B6"/>
    <w:rsid w:val="004130BC"/>
    <w:rsid w:val="00413FD8"/>
    <w:rsid w:val="00414F79"/>
    <w:rsid w:val="0045756F"/>
    <w:rsid w:val="0047267B"/>
    <w:rsid w:val="00486C58"/>
    <w:rsid w:val="005577A0"/>
    <w:rsid w:val="00573EF2"/>
    <w:rsid w:val="005C5F6C"/>
    <w:rsid w:val="00642EF7"/>
    <w:rsid w:val="00660DF1"/>
    <w:rsid w:val="00682AE8"/>
    <w:rsid w:val="00691633"/>
    <w:rsid w:val="00710744"/>
    <w:rsid w:val="007166F3"/>
    <w:rsid w:val="00753D48"/>
    <w:rsid w:val="00757454"/>
    <w:rsid w:val="00782253"/>
    <w:rsid w:val="007F0D83"/>
    <w:rsid w:val="009917D8"/>
    <w:rsid w:val="009A3180"/>
    <w:rsid w:val="00A00DD0"/>
    <w:rsid w:val="00A7762C"/>
    <w:rsid w:val="00AA17F1"/>
    <w:rsid w:val="00AD46B1"/>
    <w:rsid w:val="00AE40C0"/>
    <w:rsid w:val="00B36E6D"/>
    <w:rsid w:val="00B72D41"/>
    <w:rsid w:val="00C617DA"/>
    <w:rsid w:val="00D111E2"/>
    <w:rsid w:val="00D27895"/>
    <w:rsid w:val="00D3171E"/>
    <w:rsid w:val="00D55722"/>
    <w:rsid w:val="00D6280B"/>
    <w:rsid w:val="00E4724A"/>
    <w:rsid w:val="00E74146"/>
    <w:rsid w:val="00E82AC0"/>
    <w:rsid w:val="00EB770A"/>
    <w:rsid w:val="00F46732"/>
    <w:rsid w:val="00F7210F"/>
    <w:rsid w:val="00FA4299"/>
    <w:rsid w:val="00FA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AC4C1"/>
  <w15:chartTrackingRefBased/>
  <w15:docId w15:val="{A479DF12-FAB5-409E-B5D0-FC581F02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84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86C58"/>
    <w:pPr>
      <w:spacing w:after="200" w:line="240" w:lineRule="auto"/>
    </w:pPr>
    <w:rPr>
      <w:i/>
      <w:iCs/>
      <w:color w:val="0E2841" w:themeColor="text2"/>
      <w:sz w:val="18"/>
      <w:szCs w:val="18"/>
      <w:lang w:val="fi-FI"/>
    </w:rPr>
  </w:style>
  <w:style w:type="table" w:styleId="TableGrid">
    <w:name w:val="Table Grid"/>
    <w:basedOn w:val="TableNormal"/>
    <w:uiPriority w:val="39"/>
    <w:rsid w:val="00486C58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3F3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34F0F-D090-4D4A-8CDD-F0EC969F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Dennisse Avella</dc:creator>
  <cp:keywords/>
  <dc:description/>
  <cp:lastModifiedBy>Dennisse Avella</cp:lastModifiedBy>
  <cp:revision>44</cp:revision>
  <dcterms:created xsi:type="dcterms:W3CDTF">2026-02-02T08:55:00Z</dcterms:created>
  <dcterms:modified xsi:type="dcterms:W3CDTF">2026-02-02T13:53:00Z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670309e6-edef-46e0-94d3-dfde6175fb3a</vt:lpwstr>
  </property>
</Properties>
</file>