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CBBEE" w14:textId="36B6448D" w:rsidR="00203F84" w:rsidRPr="004525E0" w:rsidRDefault="00203F84" w:rsidP="00203F84">
      <w:pPr>
        <w:pStyle w:val="BodyA"/>
        <w:spacing w:line="276" w:lineRule="auto"/>
        <w:rPr>
          <w:rFonts w:ascii="Arial" w:hAnsi="Arial" w:cs="Arial"/>
          <w:b/>
          <w:bCs/>
          <w:color w:val="auto"/>
          <w:sz w:val="36"/>
          <w:szCs w:val="36"/>
          <w:shd w:val="clear" w:color="auto" w:fill="FFFFFF"/>
        </w:rPr>
      </w:pPr>
      <w:r w:rsidRPr="004525E0">
        <w:rPr>
          <w:rStyle w:val="normaltextrun"/>
          <w:rFonts w:ascii="Arial" w:hAnsi="Arial" w:cs="Arial"/>
          <w:b/>
          <w:bCs/>
          <w:sz w:val="36"/>
          <w:szCs w:val="36"/>
          <w:shd w:val="clear" w:color="auto" w:fill="FFFFFF"/>
        </w:rPr>
        <w:t>Metabolic</w:t>
      </w:r>
      <w:r w:rsidRPr="004525E0">
        <w:rPr>
          <w:rFonts w:ascii="Arial" w:hAnsi="Arial" w:cs="Arial"/>
          <w:b/>
          <w:bCs/>
          <w:color w:val="FF0000"/>
          <w:sz w:val="36"/>
          <w:szCs w:val="36"/>
          <w:shd w:val="clear" w:color="auto" w:fill="FFFFFF"/>
        </w:rPr>
        <w:t xml:space="preserve"> </w:t>
      </w:r>
      <w:r w:rsidRPr="004525E0">
        <w:rPr>
          <w:rFonts w:ascii="Arial" w:hAnsi="Arial" w:cs="Arial"/>
          <w:b/>
          <w:bCs/>
          <w:color w:val="auto"/>
          <w:sz w:val="36"/>
          <w:szCs w:val="36"/>
          <w:shd w:val="clear" w:color="auto" w:fill="FFFFFF"/>
        </w:rPr>
        <w:t xml:space="preserve">and Lipidomic </w:t>
      </w:r>
      <w:r w:rsidR="00CA5E78">
        <w:rPr>
          <w:rFonts w:ascii="Arial" w:hAnsi="Arial" w:cs="Arial"/>
          <w:b/>
          <w:bCs/>
          <w:color w:val="auto"/>
          <w:sz w:val="36"/>
          <w:szCs w:val="36"/>
          <w:shd w:val="clear" w:color="auto" w:fill="FFFFFF"/>
        </w:rPr>
        <w:t>S</w:t>
      </w:r>
      <w:r w:rsidRPr="00D10510">
        <w:rPr>
          <w:rFonts w:ascii="Arial" w:hAnsi="Arial" w:cs="Arial"/>
          <w:b/>
          <w:bCs/>
          <w:color w:val="auto"/>
          <w:sz w:val="36"/>
          <w:szCs w:val="36"/>
          <w:shd w:val="clear" w:color="auto" w:fill="FFFFFF"/>
        </w:rPr>
        <w:t>tability</w:t>
      </w:r>
      <w:r w:rsidRPr="004525E0">
        <w:rPr>
          <w:rFonts w:ascii="Arial" w:hAnsi="Arial" w:cs="Arial"/>
          <w:b/>
          <w:bCs/>
          <w:color w:val="auto"/>
          <w:sz w:val="36"/>
          <w:szCs w:val="36"/>
          <w:shd w:val="clear" w:color="auto" w:fill="FFFFFF"/>
        </w:rPr>
        <w:t xml:space="preserve"> in EDTA Plasma from </w:t>
      </w:r>
      <w:r>
        <w:rPr>
          <w:rFonts w:ascii="Arial" w:hAnsi="Arial" w:cs="Arial"/>
          <w:b/>
          <w:bCs/>
          <w:color w:val="auto"/>
          <w:sz w:val="36"/>
          <w:szCs w:val="36"/>
          <w:shd w:val="clear" w:color="auto" w:fill="FFFFFF"/>
        </w:rPr>
        <w:t xml:space="preserve">Hospitalized </w:t>
      </w:r>
      <w:r w:rsidRPr="004525E0">
        <w:rPr>
          <w:rFonts w:ascii="Arial" w:hAnsi="Arial" w:cs="Arial"/>
          <w:b/>
          <w:bCs/>
          <w:color w:val="auto"/>
          <w:sz w:val="36"/>
          <w:szCs w:val="36"/>
          <w:shd w:val="clear" w:color="auto" w:fill="FFFFFF"/>
        </w:rPr>
        <w:t>Patients: Imp</w:t>
      </w:r>
      <w:r w:rsidRPr="004525E0">
        <w:rPr>
          <w:rFonts w:ascii="Arial" w:hAnsi="Arial" w:cs="Arial"/>
          <w:b/>
          <w:bCs/>
          <w:color w:val="auto"/>
          <w:sz w:val="36"/>
          <w:szCs w:val="36"/>
        </w:rPr>
        <w:t>act of Refrigerated Storage Time and Additional Freeze—thaw Cycle</w:t>
      </w:r>
    </w:p>
    <w:p w14:paraId="4B825328" w14:textId="77777777" w:rsidR="00203F84" w:rsidRPr="00317865" w:rsidRDefault="00203F84" w:rsidP="00203F84">
      <w:pPr>
        <w:pStyle w:val="BodyA"/>
        <w:spacing w:line="276" w:lineRule="auto"/>
        <w:rPr>
          <w:rFonts w:ascii="Arial" w:hAnsi="Arial" w:cs="Arial"/>
          <w:i/>
          <w:iCs/>
          <w:color w:val="auto"/>
          <w:vertAlign w:val="superscript"/>
        </w:rPr>
      </w:pPr>
      <w:r w:rsidRPr="004525E0">
        <w:rPr>
          <w:rFonts w:ascii="Arial" w:hAnsi="Arial" w:cs="Arial"/>
          <w:i/>
          <w:iCs/>
          <w:color w:val="auto"/>
        </w:rPr>
        <w:t>Sander Johannes Thorbjørnsen Guttorm</w:t>
      </w:r>
      <w:r w:rsidRPr="004525E0">
        <w:rPr>
          <w:rFonts w:ascii="Arial" w:hAnsi="Arial" w:cs="Arial"/>
          <w:i/>
          <w:iCs/>
          <w:color w:val="auto"/>
          <w:vertAlign w:val="superscript"/>
        </w:rPr>
        <w:t>a,b</w:t>
      </w:r>
      <w:r w:rsidRPr="004525E0">
        <w:rPr>
          <w:rFonts w:ascii="Arial" w:hAnsi="Arial" w:cs="Arial"/>
          <w:i/>
          <w:iCs/>
          <w:color w:val="auto"/>
        </w:rPr>
        <w:t>, Liana Gukasyan</w:t>
      </w:r>
      <w:r w:rsidRPr="004525E0">
        <w:rPr>
          <w:rFonts w:ascii="Arial" w:hAnsi="Arial" w:cs="Arial"/>
          <w:i/>
          <w:iCs/>
          <w:color w:val="auto"/>
          <w:vertAlign w:val="superscript"/>
        </w:rPr>
        <w:t>a,</w:t>
      </w:r>
      <w:r>
        <w:rPr>
          <w:rFonts w:ascii="Arial" w:hAnsi="Arial" w:cs="Arial"/>
          <w:i/>
          <w:iCs/>
          <w:color w:val="auto"/>
          <w:vertAlign w:val="superscript"/>
        </w:rPr>
        <w:t>c</w:t>
      </w:r>
      <w:r w:rsidRPr="004525E0">
        <w:rPr>
          <w:rFonts w:ascii="Arial" w:hAnsi="Arial" w:cs="Arial"/>
          <w:i/>
          <w:iCs/>
          <w:color w:val="auto"/>
        </w:rPr>
        <w:t>, Christian Prebensen</w:t>
      </w:r>
      <w:r>
        <w:rPr>
          <w:rFonts w:ascii="Arial" w:hAnsi="Arial" w:cs="Arial"/>
          <w:i/>
          <w:iCs/>
          <w:color w:val="auto"/>
          <w:vertAlign w:val="superscript"/>
        </w:rPr>
        <w:t>c,d</w:t>
      </w:r>
      <w:r w:rsidRPr="004525E0">
        <w:rPr>
          <w:rFonts w:ascii="Arial" w:hAnsi="Arial" w:cs="Arial"/>
          <w:i/>
          <w:iCs/>
          <w:color w:val="auto"/>
        </w:rPr>
        <w:t>, Niclas</w:t>
      </w:r>
      <w:r>
        <w:rPr>
          <w:rFonts w:ascii="Arial" w:hAnsi="Arial" w:cs="Arial"/>
          <w:i/>
          <w:iCs/>
          <w:color w:val="auto"/>
        </w:rPr>
        <w:t xml:space="preserve"> G.</w:t>
      </w:r>
      <w:r w:rsidRPr="004525E0">
        <w:rPr>
          <w:rFonts w:ascii="Arial" w:hAnsi="Arial" w:cs="Arial"/>
          <w:i/>
          <w:iCs/>
          <w:color w:val="auto"/>
        </w:rPr>
        <w:t xml:space="preserve"> Karlsson</w:t>
      </w:r>
      <w:r w:rsidRPr="004525E0">
        <w:rPr>
          <w:rFonts w:ascii="Arial" w:hAnsi="Arial" w:cs="Arial"/>
          <w:i/>
          <w:iCs/>
          <w:color w:val="auto"/>
          <w:vertAlign w:val="superscript"/>
        </w:rPr>
        <w:t>a</w:t>
      </w:r>
      <w:r w:rsidRPr="004525E0">
        <w:rPr>
          <w:rFonts w:ascii="Arial" w:hAnsi="Arial" w:cs="Arial"/>
          <w:i/>
          <w:iCs/>
          <w:color w:val="auto"/>
        </w:rPr>
        <w:t>, Aleksander Rygh Holten</w:t>
      </w:r>
      <w:r w:rsidRPr="00317865">
        <w:rPr>
          <w:rFonts w:ascii="Arial" w:hAnsi="Arial" w:cs="Arial"/>
          <w:i/>
          <w:iCs/>
          <w:color w:val="auto"/>
          <w:vertAlign w:val="superscript"/>
        </w:rPr>
        <w:t>d</w:t>
      </w:r>
      <w:r>
        <w:rPr>
          <w:rFonts w:ascii="Arial" w:hAnsi="Arial" w:cs="Arial"/>
          <w:i/>
          <w:iCs/>
          <w:color w:val="auto"/>
          <w:vertAlign w:val="superscript"/>
        </w:rPr>
        <w:t>,e</w:t>
      </w:r>
      <w:r w:rsidRPr="00317865">
        <w:rPr>
          <w:rFonts w:ascii="Arial" w:hAnsi="Arial" w:cs="Arial"/>
          <w:i/>
          <w:iCs/>
          <w:color w:val="auto"/>
        </w:rPr>
        <w:t>, Dag Kvale</w:t>
      </w:r>
      <w:r w:rsidRPr="00317865">
        <w:rPr>
          <w:rFonts w:ascii="Arial" w:hAnsi="Arial" w:cs="Arial"/>
          <w:i/>
          <w:iCs/>
          <w:color w:val="auto"/>
          <w:vertAlign w:val="superscript"/>
        </w:rPr>
        <w:t>c,</w:t>
      </w:r>
      <w:r>
        <w:rPr>
          <w:rFonts w:ascii="Arial" w:hAnsi="Arial" w:cs="Arial"/>
          <w:i/>
          <w:iCs/>
          <w:color w:val="auto"/>
          <w:vertAlign w:val="superscript"/>
        </w:rPr>
        <w:t>d</w:t>
      </w:r>
      <w:r w:rsidRPr="00317865">
        <w:rPr>
          <w:rFonts w:ascii="Arial" w:hAnsi="Arial" w:cs="Arial"/>
          <w:i/>
          <w:iCs/>
          <w:color w:val="auto"/>
        </w:rPr>
        <w:t>, Helge Rootwelt</w:t>
      </w:r>
      <w:r w:rsidRPr="00317865">
        <w:rPr>
          <w:rFonts w:ascii="Arial" w:hAnsi="Arial" w:cs="Arial"/>
          <w:i/>
          <w:iCs/>
          <w:color w:val="auto"/>
          <w:vertAlign w:val="superscript"/>
        </w:rPr>
        <w:t>b</w:t>
      </w:r>
      <w:r w:rsidRPr="00317865">
        <w:rPr>
          <w:rFonts w:ascii="Arial" w:hAnsi="Arial" w:cs="Arial"/>
          <w:i/>
          <w:iCs/>
          <w:color w:val="auto"/>
        </w:rPr>
        <w:t>, Katja Benedikte Prestø Elgstøen</w:t>
      </w:r>
      <w:r w:rsidRPr="00317865">
        <w:rPr>
          <w:rFonts w:ascii="Arial" w:hAnsi="Arial" w:cs="Arial"/>
          <w:i/>
          <w:iCs/>
          <w:color w:val="auto"/>
          <w:vertAlign w:val="superscript"/>
        </w:rPr>
        <w:t>b</w:t>
      </w:r>
      <w:r w:rsidRPr="00317865">
        <w:rPr>
          <w:rFonts w:ascii="Arial" w:hAnsi="Arial" w:cs="Arial"/>
          <w:i/>
          <w:iCs/>
          <w:color w:val="auto"/>
        </w:rPr>
        <w:t>, Erik Koldberg Amundsen</w:t>
      </w:r>
      <w:r w:rsidRPr="00317865">
        <w:rPr>
          <w:rFonts w:ascii="Arial" w:hAnsi="Arial" w:cs="Arial"/>
          <w:i/>
          <w:iCs/>
          <w:color w:val="auto"/>
          <w:vertAlign w:val="superscript"/>
        </w:rPr>
        <w:t>a,b</w:t>
      </w:r>
    </w:p>
    <w:p w14:paraId="61BCFA20" w14:textId="77777777" w:rsidR="00203F84" w:rsidRPr="004525E0" w:rsidRDefault="00203F84" w:rsidP="00203F84">
      <w:pPr>
        <w:pStyle w:val="Body"/>
        <w:spacing w:before="120" w:line="360" w:lineRule="auto"/>
        <w:rPr>
          <w:rFonts w:ascii="Arial" w:hAnsi="Arial" w:cs="Arial"/>
          <w:color w:val="auto"/>
        </w:rPr>
      </w:pPr>
      <w:r w:rsidRPr="004525E0">
        <w:rPr>
          <w:rFonts w:ascii="Arial" w:hAnsi="Arial" w:cs="Arial"/>
          <w:b/>
          <w:bCs/>
          <w:color w:val="auto"/>
          <w:sz w:val="28"/>
          <w:szCs w:val="28"/>
          <w:vertAlign w:val="superscript"/>
        </w:rPr>
        <w:t>a</w:t>
      </w:r>
      <w:r w:rsidRPr="004525E0">
        <w:rPr>
          <w:rFonts w:ascii="Arial" w:hAnsi="Arial" w:cs="Arial"/>
          <w:i/>
          <w:iCs/>
          <w:color w:val="auto"/>
        </w:rPr>
        <w:t>Faculty of Health Sciences, Department of Life Sciences and Health, Oslo Metropolitan University, Oslo, Norway</w:t>
      </w:r>
    </w:p>
    <w:p w14:paraId="29D47A3D" w14:textId="77777777" w:rsidR="00203F84" w:rsidRDefault="00203F84" w:rsidP="00203F84">
      <w:pPr>
        <w:pStyle w:val="Body"/>
        <w:spacing w:before="120" w:line="360" w:lineRule="auto"/>
        <w:rPr>
          <w:rFonts w:ascii="Arial" w:hAnsi="Arial" w:cs="Arial"/>
          <w:bCs/>
          <w:i/>
          <w:iCs/>
          <w:color w:val="auto"/>
        </w:rPr>
      </w:pPr>
      <w:r w:rsidRPr="004525E0">
        <w:rPr>
          <w:rFonts w:ascii="Arial" w:hAnsi="Arial" w:cs="Arial"/>
          <w:b/>
          <w:bCs/>
          <w:color w:val="auto"/>
          <w:vertAlign w:val="superscript"/>
        </w:rPr>
        <w:t>b</w:t>
      </w:r>
      <w:r w:rsidRPr="004525E0">
        <w:rPr>
          <w:rFonts w:ascii="Arial" w:hAnsi="Arial" w:cs="Arial"/>
          <w:bCs/>
          <w:i/>
          <w:iCs/>
          <w:color w:val="auto"/>
        </w:rPr>
        <w:t>Department of Medical Biochemistry, Oslo University Hospital, Oslo, Norway</w:t>
      </w:r>
    </w:p>
    <w:p w14:paraId="57623D1E" w14:textId="77777777" w:rsidR="00203F84" w:rsidRPr="004525E0" w:rsidRDefault="00203F84" w:rsidP="00203F84">
      <w:pPr>
        <w:pStyle w:val="Body"/>
        <w:spacing w:before="120" w:line="360" w:lineRule="auto"/>
        <w:rPr>
          <w:rFonts w:ascii="Arial" w:hAnsi="Arial" w:cs="Arial"/>
          <w:bCs/>
          <w:i/>
          <w:iCs/>
          <w:color w:val="auto"/>
        </w:rPr>
      </w:pPr>
      <w:r>
        <w:rPr>
          <w:rFonts w:ascii="Arial" w:hAnsi="Arial" w:cs="Arial"/>
          <w:i/>
          <w:iCs/>
          <w:color w:val="auto"/>
          <w:vertAlign w:val="superscript"/>
        </w:rPr>
        <w:t>c</w:t>
      </w:r>
      <w:r w:rsidRPr="004525E0">
        <w:rPr>
          <w:rFonts w:ascii="Arial" w:hAnsi="Arial" w:cs="Arial"/>
          <w:i/>
          <w:iCs/>
          <w:color w:val="auto"/>
        </w:rPr>
        <w:t>Department of Infectious Diseases, Oslo University Hospital, Oslo, Norway</w:t>
      </w:r>
    </w:p>
    <w:p w14:paraId="6ECF8242" w14:textId="77777777" w:rsidR="00203F84" w:rsidRPr="004525E0" w:rsidRDefault="00203F84" w:rsidP="00203F84">
      <w:pPr>
        <w:pStyle w:val="Body"/>
        <w:spacing w:before="120" w:line="360" w:lineRule="auto"/>
        <w:rPr>
          <w:rFonts w:ascii="Arial" w:hAnsi="Arial" w:cs="Arial"/>
          <w:bCs/>
          <w:i/>
          <w:iCs/>
          <w:color w:val="auto"/>
        </w:rPr>
      </w:pPr>
      <w:r>
        <w:rPr>
          <w:rFonts w:ascii="Arial" w:hAnsi="Arial" w:cs="Arial"/>
          <w:bCs/>
          <w:i/>
          <w:iCs/>
          <w:color w:val="auto"/>
          <w:vertAlign w:val="superscript"/>
        </w:rPr>
        <w:t>d</w:t>
      </w:r>
      <w:r>
        <w:rPr>
          <w:rFonts w:ascii="Arial" w:hAnsi="Arial" w:cs="Arial"/>
          <w:bCs/>
          <w:i/>
          <w:iCs/>
          <w:color w:val="auto"/>
        </w:rPr>
        <w:t>Institue of Clinical Medicine, Fa</w:t>
      </w:r>
      <w:r w:rsidRPr="004525E0">
        <w:rPr>
          <w:rFonts w:ascii="Arial" w:hAnsi="Arial" w:cs="Arial"/>
          <w:bCs/>
          <w:i/>
          <w:iCs/>
          <w:color w:val="auto"/>
        </w:rPr>
        <w:t>culty of Medicine, University of Oslo, Oslo, Norway</w:t>
      </w:r>
    </w:p>
    <w:p w14:paraId="29C5206E" w14:textId="77777777" w:rsidR="00203F84" w:rsidRPr="004525E0" w:rsidRDefault="00203F84" w:rsidP="00203F84">
      <w:pPr>
        <w:pStyle w:val="Body"/>
        <w:spacing w:before="120" w:line="360" w:lineRule="auto"/>
        <w:rPr>
          <w:rFonts w:ascii="Arial" w:hAnsi="Arial" w:cs="Arial"/>
          <w:i/>
          <w:iCs/>
          <w:color w:val="auto"/>
        </w:rPr>
      </w:pPr>
      <w:r>
        <w:rPr>
          <w:rFonts w:ascii="Arial" w:hAnsi="Arial" w:cs="Arial"/>
          <w:i/>
          <w:iCs/>
          <w:color w:val="auto"/>
          <w:vertAlign w:val="superscript"/>
        </w:rPr>
        <w:t>e</w:t>
      </w:r>
      <w:r w:rsidRPr="004525E0">
        <w:rPr>
          <w:rFonts w:ascii="Arial" w:hAnsi="Arial" w:cs="Arial"/>
          <w:i/>
          <w:iCs/>
          <w:color w:val="auto"/>
        </w:rPr>
        <w:t>Department of Acute Medicine, Oslo University Hospital, Oslo, Norway</w:t>
      </w:r>
    </w:p>
    <w:p w14:paraId="0A79D895" w14:textId="77777777" w:rsidR="00203F84" w:rsidRDefault="00203F84" w:rsidP="00203F84">
      <w:pPr>
        <w:pStyle w:val="Body"/>
        <w:spacing w:before="120" w:line="360" w:lineRule="auto"/>
        <w:rPr>
          <w:rFonts w:ascii="Arial" w:hAnsi="Arial" w:cs="Arial"/>
          <w:b/>
          <w:bCs/>
          <w:color w:val="auto"/>
        </w:rPr>
      </w:pPr>
      <w:r w:rsidRPr="004525E0">
        <w:rPr>
          <w:rFonts w:ascii="Arial" w:hAnsi="Arial" w:cs="Arial"/>
          <w:b/>
          <w:bCs/>
          <w:color w:val="auto"/>
        </w:rPr>
        <w:t>Corresponding Author</w:t>
      </w:r>
    </w:p>
    <w:p w14:paraId="7F767D94" w14:textId="77777777" w:rsidR="00203F84" w:rsidRDefault="00203F84" w:rsidP="00203F84">
      <w:pPr>
        <w:pStyle w:val="Body"/>
        <w:spacing w:before="120" w:line="360" w:lineRule="auto"/>
        <w:rPr>
          <w:rFonts w:ascii="Arial" w:hAnsi="Arial" w:cs="Arial"/>
          <w:color w:val="auto"/>
        </w:rPr>
      </w:pPr>
      <w:r w:rsidRPr="003331F6">
        <w:rPr>
          <w:rFonts w:ascii="Arial" w:hAnsi="Arial" w:cs="Arial"/>
          <w:color w:val="auto"/>
        </w:rPr>
        <w:t>Sander Johannes Thorbjørnsen Guttorm</w:t>
      </w:r>
    </w:p>
    <w:p w14:paraId="7FBC9278" w14:textId="77777777" w:rsidR="00203F84" w:rsidRPr="00777481" w:rsidRDefault="00203F84" w:rsidP="00203F84">
      <w:pPr>
        <w:pStyle w:val="Body"/>
        <w:spacing w:before="60"/>
        <w:rPr>
          <w:rFonts w:ascii="Arial" w:hAnsi="Arial" w:cs="Arial"/>
          <w:bCs/>
          <w:color w:val="auto"/>
        </w:rPr>
      </w:pPr>
      <w:r w:rsidRPr="00777481">
        <w:rPr>
          <w:rFonts w:ascii="Arial" w:hAnsi="Arial" w:cs="Arial"/>
          <w:bCs/>
          <w:color w:val="auto"/>
        </w:rPr>
        <w:t>Faculty of Health Sciences, Department of Life Sciences and Health, Oslo Metropolitan University, Oslo, Norway</w:t>
      </w:r>
    </w:p>
    <w:p w14:paraId="004C019B" w14:textId="77777777" w:rsidR="00203F84" w:rsidRPr="00777481" w:rsidRDefault="00203F84" w:rsidP="00203F84">
      <w:pPr>
        <w:pStyle w:val="Body"/>
        <w:spacing w:before="120" w:line="276" w:lineRule="auto"/>
        <w:rPr>
          <w:rFonts w:ascii="Arial" w:hAnsi="Arial" w:cs="Arial"/>
          <w:color w:val="auto"/>
        </w:rPr>
      </w:pPr>
      <w:r w:rsidRPr="00777481">
        <w:rPr>
          <w:rFonts w:ascii="Arial" w:hAnsi="Arial" w:cs="Arial"/>
          <w:color w:val="auto"/>
        </w:rPr>
        <w:t>Department of Medical Biochemistry, Oslo University Hospital - Rikshospitalet, Oslo, Norway</w:t>
      </w:r>
    </w:p>
    <w:p w14:paraId="04FA2CB1" w14:textId="078DE567" w:rsidR="008818D8" w:rsidRPr="00203F84" w:rsidRDefault="00203F84" w:rsidP="00203F84">
      <w:pPr>
        <w:pStyle w:val="Body"/>
        <w:spacing w:before="120" w:line="276" w:lineRule="auto"/>
        <w:rPr>
          <w:rFonts w:ascii="Arial" w:hAnsi="Arial" w:cs="Arial"/>
          <w:bCs/>
          <w:color w:val="0000FF"/>
          <w:u w:val="single"/>
        </w:rPr>
      </w:pPr>
      <w:r w:rsidRPr="00777481">
        <w:rPr>
          <w:rFonts w:ascii="Arial" w:hAnsi="Arial" w:cs="Arial"/>
          <w:bCs/>
          <w:color w:val="auto"/>
        </w:rPr>
        <w:t xml:space="preserve">Mail: </w:t>
      </w:r>
      <w:r>
        <w:rPr>
          <w:rFonts w:ascii="Arial" w:hAnsi="Arial" w:cs="Arial"/>
          <w:bCs/>
          <w:color w:val="0000FF"/>
          <w:u w:val="single"/>
        </w:rPr>
        <w:t>sajtho@ous-hf.no</w:t>
      </w:r>
    </w:p>
    <w:p w14:paraId="1F62C84C" w14:textId="77777777" w:rsidR="008818D8" w:rsidRPr="00617F84" w:rsidRDefault="008818D8" w:rsidP="008818D8">
      <w:pPr>
        <w:pStyle w:val="Body"/>
        <w:spacing w:before="120" w:line="360" w:lineRule="auto"/>
        <w:rPr>
          <w:rFonts w:asciiTheme="minorHAnsi" w:hAnsiTheme="minorHAnsi" w:cstheme="minorHAnsi"/>
          <w:b/>
          <w:bCs/>
          <w:color w:val="auto"/>
          <w:sz w:val="22"/>
          <w:szCs w:val="22"/>
        </w:rPr>
      </w:pPr>
    </w:p>
    <w:p w14:paraId="2BAAC5C1" w14:textId="77777777" w:rsidR="008818D8" w:rsidRPr="00617F84" w:rsidRDefault="008818D8" w:rsidP="008818D8">
      <w:pPr>
        <w:pStyle w:val="Body"/>
        <w:spacing w:before="120" w:line="360" w:lineRule="auto"/>
        <w:rPr>
          <w:rFonts w:asciiTheme="minorHAnsi" w:hAnsiTheme="minorHAnsi" w:cstheme="minorHAnsi"/>
          <w:b/>
          <w:bCs/>
          <w:color w:val="auto"/>
          <w:sz w:val="22"/>
          <w:szCs w:val="22"/>
        </w:rPr>
      </w:pPr>
    </w:p>
    <w:p w14:paraId="51715527" w14:textId="77777777" w:rsidR="008818D8" w:rsidRPr="00617F84" w:rsidRDefault="008818D8" w:rsidP="008818D8">
      <w:pPr>
        <w:pStyle w:val="Body"/>
        <w:spacing w:before="120" w:line="360" w:lineRule="auto"/>
        <w:rPr>
          <w:rFonts w:asciiTheme="minorHAnsi" w:hAnsiTheme="minorHAnsi" w:cstheme="minorHAnsi"/>
          <w:b/>
          <w:bCs/>
          <w:color w:val="auto"/>
          <w:sz w:val="22"/>
          <w:szCs w:val="22"/>
        </w:rPr>
      </w:pPr>
    </w:p>
    <w:p w14:paraId="6306FBD0" w14:textId="77777777" w:rsidR="009C4440" w:rsidRDefault="009C4440"/>
    <w:p w14:paraId="66852211" w14:textId="0B7CFB43" w:rsidR="00C42194" w:rsidRPr="001358F0" w:rsidRDefault="009C4440">
      <w:pPr>
        <w:rPr>
          <w:b/>
          <w:bCs/>
        </w:rPr>
      </w:pPr>
      <w:r>
        <w:br w:type="page"/>
      </w:r>
      <w:r w:rsidR="005B184B" w:rsidRPr="001358F0">
        <w:rPr>
          <w:b/>
          <w:bCs/>
        </w:rPr>
        <w:lastRenderedPageBreak/>
        <w:t>Cress-Checklist:</w:t>
      </w:r>
    </w:p>
    <w:tbl>
      <w:tblPr>
        <w:tblW w:w="13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1"/>
        <w:gridCol w:w="1137"/>
        <w:gridCol w:w="5702"/>
        <w:gridCol w:w="4860"/>
      </w:tblGrid>
      <w:tr w:rsidR="004A2B57" w:rsidRPr="00527948" w14:paraId="3C0F9240" w14:textId="668E9299" w:rsidTr="004A2B57">
        <w:trPr>
          <w:trHeight w:val="290"/>
          <w:jc w:val="center"/>
        </w:trPr>
        <w:tc>
          <w:tcPr>
            <w:tcW w:w="1981" w:type="dxa"/>
            <w:noWrap/>
            <w:hideMark/>
          </w:tcPr>
          <w:p w14:paraId="06360F6D" w14:textId="07547519" w:rsidR="004A2B57" w:rsidRPr="00527948" w:rsidRDefault="004A2B57" w:rsidP="002E1466">
            <w:pPr>
              <w:spacing w:after="0" w:line="240" w:lineRule="auto"/>
              <w:rPr>
                <w:rFonts w:ascii="Calibri" w:eastAsia="Times New Roman" w:hAnsi="Calibri" w:cs="Calibri"/>
                <w:b/>
                <w:bCs/>
                <w:color w:val="000000"/>
                <w:kern w:val="0"/>
                <w:sz w:val="22"/>
                <w:szCs w:val="22"/>
                <w14:ligatures w14:val="none"/>
              </w:rPr>
            </w:pPr>
            <w:r>
              <w:rPr>
                <w:rFonts w:ascii="Calibri" w:eastAsia="Times New Roman" w:hAnsi="Calibri" w:cs="Calibri"/>
                <w:b/>
                <w:bCs/>
                <w:color w:val="000000"/>
                <w:kern w:val="0"/>
                <w:sz w:val="22"/>
                <w:szCs w:val="22"/>
                <w14:ligatures w14:val="none"/>
              </w:rPr>
              <w:t>Section</w:t>
            </w:r>
          </w:p>
        </w:tc>
        <w:tc>
          <w:tcPr>
            <w:tcW w:w="1137" w:type="dxa"/>
          </w:tcPr>
          <w:p w14:paraId="6B6AC279" w14:textId="2B19367A" w:rsidR="004A2B57" w:rsidRPr="00527948" w:rsidRDefault="004A2B57" w:rsidP="002E1466">
            <w:pPr>
              <w:spacing w:after="0" w:line="240" w:lineRule="auto"/>
              <w:rPr>
                <w:rFonts w:ascii="Calibri" w:eastAsia="Times New Roman" w:hAnsi="Calibri" w:cs="Calibri"/>
                <w:b/>
                <w:bCs/>
                <w:color w:val="000000"/>
                <w:kern w:val="0"/>
                <w:sz w:val="22"/>
                <w:szCs w:val="22"/>
                <w14:ligatures w14:val="none"/>
              </w:rPr>
            </w:pPr>
            <w:r>
              <w:rPr>
                <w:rFonts w:ascii="Calibri" w:eastAsia="Times New Roman" w:hAnsi="Calibri" w:cs="Calibri"/>
                <w:b/>
                <w:bCs/>
                <w:color w:val="000000"/>
                <w:kern w:val="0"/>
                <w:sz w:val="22"/>
                <w:szCs w:val="22"/>
                <w14:ligatures w14:val="none"/>
              </w:rPr>
              <w:t>Number</w:t>
            </w:r>
          </w:p>
        </w:tc>
        <w:tc>
          <w:tcPr>
            <w:tcW w:w="5702" w:type="dxa"/>
          </w:tcPr>
          <w:p w14:paraId="57174263" w14:textId="0469CBBD" w:rsidR="004A2B57" w:rsidRPr="00527948" w:rsidRDefault="004A2B57" w:rsidP="002E1466">
            <w:pPr>
              <w:spacing w:after="0" w:line="240" w:lineRule="auto"/>
              <w:rPr>
                <w:rFonts w:ascii="Calibri" w:eastAsia="Times New Roman" w:hAnsi="Calibri" w:cs="Calibri"/>
                <w:b/>
                <w:bCs/>
                <w:color w:val="000000"/>
                <w:kern w:val="0"/>
                <w:sz w:val="22"/>
                <w:szCs w:val="22"/>
                <w14:ligatures w14:val="none"/>
              </w:rPr>
            </w:pPr>
            <w:r>
              <w:rPr>
                <w:rFonts w:ascii="Calibri" w:eastAsia="Times New Roman" w:hAnsi="Calibri" w:cs="Calibri"/>
                <w:b/>
                <w:bCs/>
                <w:color w:val="000000"/>
                <w:kern w:val="0"/>
                <w:sz w:val="22"/>
                <w:szCs w:val="22"/>
                <w14:ligatures w14:val="none"/>
              </w:rPr>
              <w:t>Item</w:t>
            </w:r>
          </w:p>
        </w:tc>
        <w:tc>
          <w:tcPr>
            <w:tcW w:w="4860" w:type="dxa"/>
            <w:noWrap/>
            <w:hideMark/>
          </w:tcPr>
          <w:p w14:paraId="62FA6C09" w14:textId="067524F3" w:rsidR="004A2B57" w:rsidRPr="00527948" w:rsidRDefault="004A2B57" w:rsidP="002E1466">
            <w:pPr>
              <w:spacing w:after="0" w:line="240" w:lineRule="auto"/>
              <w:rPr>
                <w:rFonts w:ascii="Calibri" w:eastAsia="Times New Roman" w:hAnsi="Calibri" w:cs="Calibri"/>
                <w:b/>
                <w:bCs/>
                <w:color w:val="000000"/>
                <w:kern w:val="0"/>
                <w:sz w:val="22"/>
                <w:szCs w:val="22"/>
                <w14:ligatures w14:val="none"/>
              </w:rPr>
            </w:pPr>
            <w:r w:rsidRPr="00527948">
              <w:rPr>
                <w:rFonts w:ascii="Calibri" w:eastAsia="Times New Roman" w:hAnsi="Calibri" w:cs="Calibri"/>
                <w:b/>
                <w:bCs/>
                <w:color w:val="000000"/>
                <w:kern w:val="0"/>
                <w:sz w:val="22"/>
                <w:szCs w:val="22"/>
                <w14:ligatures w14:val="none"/>
              </w:rPr>
              <w:t>Response</w:t>
            </w:r>
          </w:p>
        </w:tc>
      </w:tr>
      <w:tr w:rsidR="004A2B57" w:rsidRPr="00527948" w14:paraId="002B3640" w14:textId="593EF628" w:rsidTr="004A2B57">
        <w:trPr>
          <w:trHeight w:val="290"/>
          <w:jc w:val="center"/>
        </w:trPr>
        <w:tc>
          <w:tcPr>
            <w:tcW w:w="1981" w:type="dxa"/>
            <w:noWrap/>
            <w:hideMark/>
          </w:tcPr>
          <w:p w14:paraId="3C6A7A31" w14:textId="648426BD"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sidRPr="00527948">
              <w:rPr>
                <w:rFonts w:ascii="Calibri" w:eastAsia="Times New Roman" w:hAnsi="Calibri" w:cs="Calibri"/>
                <w:color w:val="000000"/>
                <w:kern w:val="0"/>
                <w:sz w:val="22"/>
                <w:szCs w:val="22"/>
                <w14:ligatures w14:val="none"/>
              </w:rPr>
              <w:t>Title</w:t>
            </w:r>
            <w:r>
              <w:rPr>
                <w:rFonts w:ascii="Calibri" w:eastAsia="Times New Roman" w:hAnsi="Calibri" w:cs="Calibri"/>
                <w:color w:val="000000"/>
                <w:kern w:val="0"/>
                <w:sz w:val="22"/>
                <w:szCs w:val="22"/>
                <w14:ligatures w14:val="none"/>
              </w:rPr>
              <w:t>/Keywords</w:t>
            </w:r>
          </w:p>
        </w:tc>
        <w:tc>
          <w:tcPr>
            <w:tcW w:w="1137" w:type="dxa"/>
          </w:tcPr>
          <w:p w14:paraId="432A42E9" w14:textId="1D4F8E0B"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1</w:t>
            </w:r>
          </w:p>
        </w:tc>
        <w:tc>
          <w:tcPr>
            <w:tcW w:w="5702" w:type="dxa"/>
          </w:tcPr>
          <w:p w14:paraId="3C6813D3" w14:textId="77777777" w:rsidR="004A2B57" w:rsidRPr="00951F64" w:rsidRDefault="004A2B57" w:rsidP="002E1466">
            <w:pPr>
              <w:numPr>
                <w:ilvl w:val="0"/>
                <w:numId w:val="1"/>
              </w:numPr>
              <w:spacing w:after="0" w:line="240" w:lineRule="auto"/>
              <w:rPr>
                <w:rFonts w:ascii="Calibri" w:eastAsia="Times New Roman" w:hAnsi="Calibri" w:cs="Calibri"/>
                <w:color w:val="000000"/>
                <w:kern w:val="0"/>
                <w:sz w:val="22"/>
                <w:szCs w:val="22"/>
                <w14:ligatures w14:val="none"/>
              </w:rPr>
            </w:pPr>
            <w:r w:rsidRPr="00951F64">
              <w:rPr>
                <w:rFonts w:ascii="Calibri" w:eastAsia="Times New Roman" w:hAnsi="Calibri" w:cs="Calibri"/>
                <w:color w:val="000000"/>
                <w:kern w:val="0"/>
                <w:sz w:val="22"/>
                <w:szCs w:val="22"/>
                <w14:ligatures w14:val="none"/>
              </w:rPr>
              <w:t>Clearly indicate in the title that content is a stability study,</w:t>
            </w:r>
          </w:p>
          <w:p w14:paraId="7FCD6BED" w14:textId="77777777" w:rsidR="004A2B57" w:rsidRPr="00951F64" w:rsidRDefault="004A2B57" w:rsidP="002E1466">
            <w:pPr>
              <w:numPr>
                <w:ilvl w:val="0"/>
                <w:numId w:val="1"/>
              </w:numPr>
              <w:spacing w:after="0" w:line="240" w:lineRule="auto"/>
              <w:rPr>
                <w:rFonts w:ascii="Calibri" w:eastAsia="Times New Roman" w:hAnsi="Calibri" w:cs="Calibri"/>
                <w:color w:val="000000"/>
                <w:kern w:val="0"/>
                <w:sz w:val="22"/>
                <w:szCs w:val="22"/>
                <w14:ligatures w14:val="none"/>
              </w:rPr>
            </w:pPr>
            <w:r w:rsidRPr="00951F64">
              <w:rPr>
                <w:rFonts w:ascii="Calibri" w:eastAsia="Times New Roman" w:hAnsi="Calibri" w:cs="Calibri"/>
                <w:color w:val="000000"/>
                <w:kern w:val="0"/>
                <w:sz w:val="22"/>
                <w:szCs w:val="22"/>
                <w14:ligatures w14:val="none"/>
              </w:rPr>
              <w:t>Define in the title what analytes are being evaluated in what matrix, at which temperature, over what period of time,</w:t>
            </w:r>
          </w:p>
          <w:p w14:paraId="7F63582D" w14:textId="2EFA3415" w:rsidR="004A2B57" w:rsidRPr="00951F64" w:rsidRDefault="004A2B57" w:rsidP="002E1466">
            <w:pPr>
              <w:numPr>
                <w:ilvl w:val="0"/>
                <w:numId w:val="1"/>
              </w:numPr>
              <w:spacing w:after="0" w:line="240" w:lineRule="auto"/>
              <w:rPr>
                <w:rFonts w:ascii="Calibri" w:eastAsia="Times New Roman" w:hAnsi="Calibri" w:cs="Calibri"/>
                <w:color w:val="000000"/>
                <w:kern w:val="0"/>
                <w:sz w:val="22"/>
                <w:szCs w:val="22"/>
                <w14:ligatures w14:val="none"/>
              </w:rPr>
            </w:pPr>
            <w:r w:rsidRPr="00951F64">
              <w:rPr>
                <w:rFonts w:ascii="Calibri" w:eastAsia="Times New Roman" w:hAnsi="Calibri" w:cs="Calibri"/>
                <w:color w:val="000000"/>
                <w:kern w:val="0"/>
                <w:sz w:val="22"/>
                <w:szCs w:val="22"/>
                <w14:ligatures w14:val="none"/>
              </w:rPr>
              <w:t>Use recommended keywords: stability, the name of the analyte(s) if &lt;3 analytes, preanalytical and sample type (we recommend that all of them are used to properly identify a stability study).</w:t>
            </w:r>
          </w:p>
        </w:tc>
        <w:tc>
          <w:tcPr>
            <w:tcW w:w="4860" w:type="dxa"/>
            <w:noWrap/>
            <w:hideMark/>
          </w:tcPr>
          <w:p w14:paraId="5BDE7494" w14:textId="389493EC"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sidRPr="00527948">
              <w:rPr>
                <w:rFonts w:ascii="Calibri" w:eastAsia="Times New Roman" w:hAnsi="Calibri" w:cs="Calibri"/>
                <w:color w:val="000000"/>
                <w:kern w:val="0"/>
                <w:sz w:val="22"/>
                <w:szCs w:val="22"/>
                <w14:ligatures w14:val="none"/>
              </w:rPr>
              <w:t xml:space="preserve">The title “Metabolic and Lipidomic </w:t>
            </w:r>
            <w:r w:rsidR="00CA5E78">
              <w:rPr>
                <w:rFonts w:ascii="Calibri" w:eastAsia="Times New Roman" w:hAnsi="Calibri" w:cs="Calibri"/>
                <w:color w:val="000000"/>
                <w:kern w:val="0"/>
                <w:sz w:val="22"/>
                <w:szCs w:val="22"/>
                <w14:ligatures w14:val="none"/>
              </w:rPr>
              <w:t>S</w:t>
            </w:r>
            <w:r w:rsidRPr="00527948">
              <w:rPr>
                <w:rFonts w:ascii="Calibri" w:eastAsia="Times New Roman" w:hAnsi="Calibri" w:cs="Calibri"/>
                <w:color w:val="000000"/>
                <w:kern w:val="0"/>
                <w:sz w:val="22"/>
                <w:szCs w:val="22"/>
                <w14:ligatures w14:val="none"/>
              </w:rPr>
              <w:t xml:space="preserve">tability in EDTA Plasma from </w:t>
            </w:r>
            <w:r w:rsidR="00CA5E78">
              <w:rPr>
                <w:rFonts w:ascii="Calibri" w:eastAsia="Times New Roman" w:hAnsi="Calibri" w:cs="Calibri"/>
                <w:color w:val="000000"/>
                <w:kern w:val="0"/>
                <w:sz w:val="22"/>
                <w:szCs w:val="22"/>
                <w14:ligatures w14:val="none"/>
              </w:rPr>
              <w:t>Hospitalized</w:t>
            </w:r>
            <w:r w:rsidRPr="00527948">
              <w:rPr>
                <w:rFonts w:ascii="Calibri" w:eastAsia="Times New Roman" w:hAnsi="Calibri" w:cs="Calibri"/>
                <w:color w:val="000000"/>
                <w:kern w:val="0"/>
                <w:sz w:val="22"/>
                <w:szCs w:val="22"/>
                <w14:ligatures w14:val="none"/>
              </w:rPr>
              <w:t xml:space="preserve"> Patients: Impact of Refrigerated Storage Time and a Single Additional Freeze-thaw Cycle” clearly reflects the study's focus on pre-analytical stability in EDTA plasma from </w:t>
            </w:r>
            <w:r>
              <w:rPr>
                <w:rFonts w:ascii="Calibri" w:eastAsia="Times New Roman" w:hAnsi="Calibri" w:cs="Calibri"/>
                <w:color w:val="000000"/>
                <w:kern w:val="0"/>
                <w:sz w:val="22"/>
                <w:szCs w:val="22"/>
                <w14:ligatures w14:val="none"/>
              </w:rPr>
              <w:t>medical ward</w:t>
            </w:r>
            <w:r w:rsidRPr="00527948">
              <w:rPr>
                <w:rFonts w:ascii="Calibri" w:eastAsia="Times New Roman" w:hAnsi="Calibri" w:cs="Calibri"/>
                <w:color w:val="000000"/>
                <w:kern w:val="0"/>
                <w:sz w:val="22"/>
                <w:szCs w:val="22"/>
                <w14:ligatures w14:val="none"/>
              </w:rPr>
              <w:t xml:space="preserve"> patients. </w:t>
            </w:r>
            <w:r>
              <w:rPr>
                <w:rFonts w:ascii="Calibri" w:eastAsia="Times New Roman" w:hAnsi="Calibri" w:cs="Calibri"/>
                <w:color w:val="000000"/>
                <w:kern w:val="0"/>
                <w:sz w:val="22"/>
                <w:szCs w:val="22"/>
                <w14:ligatures w14:val="none"/>
              </w:rPr>
              <w:t xml:space="preserve">The title also defines that the evaluated analytes are the metabolome and lipidome. In addition the temperature is also clearly stated. Key-words include pre-analytical stability, metabolome, lipidome and sample type. </w:t>
            </w:r>
          </w:p>
        </w:tc>
      </w:tr>
      <w:tr w:rsidR="004A2B57" w:rsidRPr="00527948" w14:paraId="63DA83E2" w14:textId="77777777" w:rsidTr="004A2B57">
        <w:trPr>
          <w:trHeight w:val="290"/>
          <w:jc w:val="center"/>
        </w:trPr>
        <w:tc>
          <w:tcPr>
            <w:tcW w:w="1981" w:type="dxa"/>
            <w:noWrap/>
          </w:tcPr>
          <w:p w14:paraId="75FCBB99" w14:textId="4BCE0A11"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Abstract</w:t>
            </w:r>
          </w:p>
        </w:tc>
        <w:tc>
          <w:tcPr>
            <w:tcW w:w="1137" w:type="dxa"/>
          </w:tcPr>
          <w:p w14:paraId="7BB5C0C2" w14:textId="0DBBD3FC"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2</w:t>
            </w:r>
          </w:p>
        </w:tc>
        <w:tc>
          <w:tcPr>
            <w:tcW w:w="5702" w:type="dxa"/>
          </w:tcPr>
          <w:p w14:paraId="4090BBE9" w14:textId="77777777" w:rsidR="004A2B57" w:rsidRPr="00631E61" w:rsidRDefault="004A2B57" w:rsidP="002E1466">
            <w:pPr>
              <w:numPr>
                <w:ilvl w:val="0"/>
                <w:numId w:val="2"/>
              </w:numPr>
              <w:spacing w:after="0" w:line="240" w:lineRule="auto"/>
              <w:rPr>
                <w:rFonts w:ascii="Calibri" w:eastAsia="Times New Roman" w:hAnsi="Calibri" w:cs="Calibri"/>
                <w:color w:val="000000"/>
                <w:kern w:val="0"/>
                <w:sz w:val="22"/>
                <w:szCs w:val="22"/>
                <w14:ligatures w14:val="none"/>
              </w:rPr>
            </w:pPr>
            <w:r w:rsidRPr="00631E61">
              <w:rPr>
                <w:rFonts w:ascii="Calibri" w:eastAsia="Times New Roman" w:hAnsi="Calibri" w:cs="Calibri"/>
                <w:color w:val="000000"/>
                <w:kern w:val="0"/>
                <w:sz w:val="22"/>
                <w:szCs w:val="22"/>
                <w14:ligatures w14:val="none"/>
              </w:rPr>
              <w:t>State that the study is a stability study,</w:t>
            </w:r>
          </w:p>
          <w:p w14:paraId="0B85B55C" w14:textId="77777777" w:rsidR="004A2B57" w:rsidRPr="00631E61" w:rsidRDefault="004A2B57" w:rsidP="002E1466">
            <w:pPr>
              <w:numPr>
                <w:ilvl w:val="0"/>
                <w:numId w:val="2"/>
              </w:numPr>
              <w:spacing w:after="0" w:line="240" w:lineRule="auto"/>
              <w:rPr>
                <w:rFonts w:ascii="Calibri" w:eastAsia="Times New Roman" w:hAnsi="Calibri" w:cs="Calibri"/>
                <w:color w:val="000000"/>
                <w:kern w:val="0"/>
                <w:sz w:val="22"/>
                <w:szCs w:val="22"/>
                <w14:ligatures w14:val="none"/>
              </w:rPr>
            </w:pPr>
            <w:r w:rsidRPr="00631E61">
              <w:rPr>
                <w:rFonts w:ascii="Calibri" w:eastAsia="Times New Roman" w:hAnsi="Calibri" w:cs="Calibri"/>
                <w:color w:val="000000"/>
                <w:kern w:val="0"/>
                <w:sz w:val="22"/>
                <w:szCs w:val="22"/>
                <w14:ligatures w14:val="none"/>
              </w:rPr>
              <w:t>Clearly define what the aims of the study are,</w:t>
            </w:r>
          </w:p>
          <w:p w14:paraId="238B4A7D" w14:textId="77777777" w:rsidR="004A2B57" w:rsidRPr="00631E61" w:rsidRDefault="004A2B57" w:rsidP="002E1466">
            <w:pPr>
              <w:numPr>
                <w:ilvl w:val="0"/>
                <w:numId w:val="2"/>
              </w:numPr>
              <w:spacing w:after="0" w:line="240" w:lineRule="auto"/>
              <w:rPr>
                <w:rFonts w:ascii="Calibri" w:eastAsia="Times New Roman" w:hAnsi="Calibri" w:cs="Calibri"/>
                <w:color w:val="000000"/>
                <w:kern w:val="0"/>
                <w:sz w:val="22"/>
                <w:szCs w:val="22"/>
                <w14:ligatures w14:val="none"/>
              </w:rPr>
            </w:pPr>
            <w:r w:rsidRPr="00631E61">
              <w:rPr>
                <w:rFonts w:ascii="Calibri" w:eastAsia="Times New Roman" w:hAnsi="Calibri" w:cs="Calibri"/>
                <w:color w:val="000000"/>
                <w:kern w:val="0"/>
                <w:sz w:val="22"/>
                <w:szCs w:val="22"/>
                <w14:ligatures w14:val="none"/>
              </w:rPr>
              <w:t>Include an overview of the study design,</w:t>
            </w:r>
          </w:p>
          <w:p w14:paraId="31B55C80" w14:textId="77777777" w:rsidR="004A2B57" w:rsidRPr="00631E61" w:rsidRDefault="004A2B57" w:rsidP="002E1466">
            <w:pPr>
              <w:numPr>
                <w:ilvl w:val="0"/>
                <w:numId w:val="2"/>
              </w:numPr>
              <w:spacing w:after="0" w:line="240" w:lineRule="auto"/>
              <w:rPr>
                <w:rFonts w:ascii="Calibri" w:eastAsia="Times New Roman" w:hAnsi="Calibri" w:cs="Calibri"/>
                <w:color w:val="000000"/>
                <w:kern w:val="0"/>
                <w:sz w:val="22"/>
                <w:szCs w:val="22"/>
                <w14:ligatures w14:val="none"/>
              </w:rPr>
            </w:pPr>
            <w:r w:rsidRPr="00631E61">
              <w:rPr>
                <w:rFonts w:ascii="Calibri" w:eastAsia="Times New Roman" w:hAnsi="Calibri" w:cs="Calibri"/>
                <w:color w:val="000000"/>
                <w:kern w:val="0"/>
                <w:sz w:val="22"/>
                <w:szCs w:val="22"/>
                <w14:ligatures w14:val="none"/>
              </w:rPr>
              <w:t>Define which analytes are being examined, in which matrices, in which tube types, at which temperature and over what period of time, as a minimum,</w:t>
            </w:r>
          </w:p>
          <w:p w14:paraId="15AA7218" w14:textId="77777777" w:rsidR="004A2B57" w:rsidRPr="00631E61" w:rsidRDefault="004A2B57" w:rsidP="002E1466">
            <w:pPr>
              <w:numPr>
                <w:ilvl w:val="0"/>
                <w:numId w:val="2"/>
              </w:numPr>
              <w:spacing w:after="0" w:line="240" w:lineRule="auto"/>
              <w:rPr>
                <w:rFonts w:ascii="Calibri" w:eastAsia="Times New Roman" w:hAnsi="Calibri" w:cs="Calibri"/>
                <w:color w:val="000000"/>
                <w:kern w:val="0"/>
                <w:sz w:val="22"/>
                <w:szCs w:val="22"/>
                <w14:ligatures w14:val="none"/>
              </w:rPr>
            </w:pPr>
            <w:r w:rsidRPr="00631E61">
              <w:rPr>
                <w:rFonts w:ascii="Calibri" w:eastAsia="Times New Roman" w:hAnsi="Calibri" w:cs="Calibri"/>
                <w:color w:val="000000"/>
                <w:kern w:val="0"/>
                <w:sz w:val="22"/>
                <w:szCs w:val="22"/>
                <w14:ligatures w14:val="none"/>
              </w:rPr>
              <w:t>Cover headline results and the key findings of the study, as a minimum,</w:t>
            </w:r>
          </w:p>
          <w:p w14:paraId="06B0CD23" w14:textId="19A719F2" w:rsidR="004A2B57" w:rsidRPr="005E5C28" w:rsidRDefault="004A2B57" w:rsidP="002E1466">
            <w:pPr>
              <w:numPr>
                <w:ilvl w:val="0"/>
                <w:numId w:val="2"/>
              </w:numPr>
              <w:spacing w:after="0" w:line="240" w:lineRule="auto"/>
              <w:rPr>
                <w:rFonts w:ascii="Calibri" w:eastAsia="Times New Roman" w:hAnsi="Calibri" w:cs="Calibri"/>
                <w:color w:val="000000"/>
                <w:kern w:val="0"/>
                <w:sz w:val="22"/>
                <w:szCs w:val="22"/>
                <w14:ligatures w14:val="none"/>
              </w:rPr>
            </w:pPr>
            <w:r w:rsidRPr="00631E61">
              <w:rPr>
                <w:rFonts w:ascii="Calibri" w:eastAsia="Times New Roman" w:hAnsi="Calibri" w:cs="Calibri"/>
                <w:color w:val="000000"/>
                <w:kern w:val="0"/>
                <w:sz w:val="22"/>
                <w:szCs w:val="22"/>
                <w14:ligatures w14:val="none"/>
              </w:rPr>
              <w:t>Draw appropriate conclusions; do not generalize beyond the study results.</w:t>
            </w:r>
          </w:p>
        </w:tc>
        <w:tc>
          <w:tcPr>
            <w:tcW w:w="4860" w:type="dxa"/>
            <w:noWrap/>
          </w:tcPr>
          <w:p w14:paraId="47BA7887" w14:textId="24056ADE"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sidRPr="00C9082B">
              <w:rPr>
                <w:rFonts w:ascii="Calibri" w:eastAsia="Times New Roman" w:hAnsi="Calibri" w:cs="Calibri"/>
                <w:color w:val="000000"/>
                <w:kern w:val="0"/>
                <w:sz w:val="22"/>
                <w:szCs w:val="22"/>
                <w14:ligatures w14:val="none"/>
              </w:rPr>
              <w:t>The abstract clearly states this is a stability study, defines aims, describes design, analytes (metabolome and lipidome), matrix (EDTA plasma), temperature (4°C), and time points (0, 24, 72h).</w:t>
            </w:r>
            <w:r>
              <w:rPr>
                <w:rFonts w:ascii="Calibri" w:eastAsia="Times New Roman" w:hAnsi="Calibri" w:cs="Calibri"/>
                <w:color w:val="000000"/>
                <w:kern w:val="0"/>
                <w:sz w:val="22"/>
                <w:szCs w:val="22"/>
                <w14:ligatures w14:val="none"/>
              </w:rPr>
              <w:t xml:space="preserve"> Key findings and a appropriate conclusion is also provided. </w:t>
            </w:r>
          </w:p>
        </w:tc>
      </w:tr>
      <w:tr w:rsidR="004A2B57" w:rsidRPr="00527948" w14:paraId="1A2BB8CA" w14:textId="6903438C" w:rsidTr="004A2B57">
        <w:trPr>
          <w:trHeight w:val="290"/>
          <w:jc w:val="center"/>
        </w:trPr>
        <w:tc>
          <w:tcPr>
            <w:tcW w:w="1981" w:type="dxa"/>
            <w:noWrap/>
            <w:hideMark/>
          </w:tcPr>
          <w:p w14:paraId="14CCD89E" w14:textId="0884E735"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Introduction</w:t>
            </w:r>
          </w:p>
        </w:tc>
        <w:tc>
          <w:tcPr>
            <w:tcW w:w="1137" w:type="dxa"/>
          </w:tcPr>
          <w:p w14:paraId="5FD61258" w14:textId="296D3453"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3</w:t>
            </w:r>
          </w:p>
        </w:tc>
        <w:tc>
          <w:tcPr>
            <w:tcW w:w="5702" w:type="dxa"/>
          </w:tcPr>
          <w:p w14:paraId="5555886D" w14:textId="77777777" w:rsidR="004A2B57" w:rsidRPr="00631E61" w:rsidRDefault="004A2B57" w:rsidP="002E1466">
            <w:pPr>
              <w:numPr>
                <w:ilvl w:val="0"/>
                <w:numId w:val="3"/>
              </w:numPr>
              <w:spacing w:after="0" w:line="240" w:lineRule="auto"/>
              <w:rPr>
                <w:rFonts w:ascii="Calibri" w:eastAsia="Times New Roman" w:hAnsi="Calibri" w:cs="Calibri"/>
                <w:color w:val="000000"/>
                <w:kern w:val="0"/>
                <w:sz w:val="22"/>
                <w:szCs w:val="22"/>
                <w14:ligatures w14:val="none"/>
              </w:rPr>
            </w:pPr>
            <w:r w:rsidRPr="00631E61">
              <w:rPr>
                <w:rFonts w:ascii="Calibri" w:eastAsia="Times New Roman" w:hAnsi="Calibri" w:cs="Calibri"/>
                <w:color w:val="000000"/>
                <w:kern w:val="0"/>
                <w:sz w:val="22"/>
                <w:szCs w:val="22"/>
                <w14:ligatures w14:val="none"/>
              </w:rPr>
              <w:t>Discuss the importance of sample stability,</w:t>
            </w:r>
          </w:p>
          <w:p w14:paraId="4D5F93C4" w14:textId="77777777" w:rsidR="004A2B57" w:rsidRPr="00631E61" w:rsidRDefault="004A2B57" w:rsidP="002E1466">
            <w:pPr>
              <w:numPr>
                <w:ilvl w:val="0"/>
                <w:numId w:val="3"/>
              </w:numPr>
              <w:spacing w:after="0" w:line="240" w:lineRule="auto"/>
              <w:rPr>
                <w:rFonts w:ascii="Calibri" w:eastAsia="Times New Roman" w:hAnsi="Calibri" w:cs="Calibri"/>
                <w:color w:val="000000"/>
                <w:kern w:val="0"/>
                <w:sz w:val="22"/>
                <w:szCs w:val="22"/>
                <w14:ligatures w14:val="none"/>
              </w:rPr>
            </w:pPr>
            <w:r w:rsidRPr="00631E61">
              <w:rPr>
                <w:rFonts w:ascii="Calibri" w:eastAsia="Times New Roman" w:hAnsi="Calibri" w:cs="Calibri"/>
                <w:color w:val="000000"/>
                <w:kern w:val="0"/>
                <w:sz w:val="22"/>
                <w:szCs w:val="22"/>
                <w14:ligatures w14:val="none"/>
              </w:rPr>
              <w:t>Provide a thorough overview of the current position and existing studies,</w:t>
            </w:r>
          </w:p>
          <w:p w14:paraId="11442DED" w14:textId="3EB3147C" w:rsidR="004A2B57" w:rsidRPr="005E5C28" w:rsidRDefault="004A2B57" w:rsidP="002E1466">
            <w:pPr>
              <w:numPr>
                <w:ilvl w:val="0"/>
                <w:numId w:val="3"/>
              </w:numPr>
              <w:spacing w:after="0" w:line="240" w:lineRule="auto"/>
              <w:rPr>
                <w:rFonts w:ascii="Calibri" w:eastAsia="Times New Roman" w:hAnsi="Calibri" w:cs="Calibri"/>
                <w:color w:val="000000"/>
                <w:kern w:val="0"/>
                <w:sz w:val="22"/>
                <w:szCs w:val="22"/>
                <w14:ligatures w14:val="none"/>
              </w:rPr>
            </w:pPr>
            <w:r w:rsidRPr="00631E61">
              <w:rPr>
                <w:rFonts w:ascii="Calibri" w:eastAsia="Times New Roman" w:hAnsi="Calibri" w:cs="Calibri"/>
                <w:color w:val="000000"/>
                <w:kern w:val="0"/>
                <w:sz w:val="22"/>
                <w:szCs w:val="22"/>
                <w14:ligatures w14:val="none"/>
              </w:rPr>
              <w:t>State the knowledge gap being filled.</w:t>
            </w:r>
          </w:p>
        </w:tc>
        <w:tc>
          <w:tcPr>
            <w:tcW w:w="4860" w:type="dxa"/>
            <w:noWrap/>
            <w:hideMark/>
          </w:tcPr>
          <w:p w14:paraId="119EF50D" w14:textId="0849C62C"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sidRPr="00527948">
              <w:rPr>
                <w:rFonts w:ascii="Calibri" w:eastAsia="Times New Roman" w:hAnsi="Calibri" w:cs="Calibri"/>
                <w:color w:val="000000"/>
                <w:kern w:val="0"/>
                <w:sz w:val="22"/>
                <w:szCs w:val="22"/>
                <w14:ligatures w14:val="none"/>
              </w:rPr>
              <w:t>The introduction provides a strong rationale for studying pre-analytical variability in patients. It highlights the gap in knowledge compared to healthy cohorts.</w:t>
            </w:r>
          </w:p>
        </w:tc>
      </w:tr>
      <w:tr w:rsidR="004A2B57" w:rsidRPr="00527948" w14:paraId="0CEAE333" w14:textId="6119C4D3" w:rsidTr="004A2B57">
        <w:trPr>
          <w:trHeight w:val="290"/>
          <w:jc w:val="center"/>
        </w:trPr>
        <w:tc>
          <w:tcPr>
            <w:tcW w:w="1981" w:type="dxa"/>
            <w:noWrap/>
            <w:hideMark/>
          </w:tcPr>
          <w:p w14:paraId="1A5CEAD8" w14:textId="4716A90A"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Aim</w:t>
            </w:r>
          </w:p>
        </w:tc>
        <w:tc>
          <w:tcPr>
            <w:tcW w:w="1137" w:type="dxa"/>
          </w:tcPr>
          <w:p w14:paraId="6DC0936A" w14:textId="4B5FCB95"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4</w:t>
            </w:r>
          </w:p>
        </w:tc>
        <w:tc>
          <w:tcPr>
            <w:tcW w:w="5702" w:type="dxa"/>
          </w:tcPr>
          <w:p w14:paraId="41B0246E" w14:textId="77777777" w:rsidR="004A2B57" w:rsidRPr="00BB045B" w:rsidRDefault="004A2B57" w:rsidP="002E1466">
            <w:pPr>
              <w:numPr>
                <w:ilvl w:val="0"/>
                <w:numId w:val="4"/>
              </w:numPr>
              <w:spacing w:after="0" w:line="240" w:lineRule="auto"/>
              <w:rPr>
                <w:rFonts w:ascii="Calibri" w:eastAsia="Times New Roman" w:hAnsi="Calibri" w:cs="Calibri"/>
                <w:color w:val="000000"/>
                <w:kern w:val="0"/>
                <w:sz w:val="22"/>
                <w:szCs w:val="22"/>
                <w14:ligatures w14:val="none"/>
              </w:rPr>
            </w:pPr>
            <w:r w:rsidRPr="00BB045B">
              <w:rPr>
                <w:rFonts w:ascii="Calibri" w:eastAsia="Times New Roman" w:hAnsi="Calibri" w:cs="Calibri"/>
                <w:color w:val="000000"/>
                <w:kern w:val="0"/>
                <w:sz w:val="22"/>
                <w:szCs w:val="22"/>
                <w14:ligatures w14:val="none"/>
              </w:rPr>
              <w:t>Clearly define the aims of the study</w:t>
            </w:r>
          </w:p>
          <w:p w14:paraId="1D726562" w14:textId="77777777" w:rsidR="004A2B57" w:rsidRPr="00BB045B" w:rsidRDefault="004A2B57" w:rsidP="002E1466">
            <w:pPr>
              <w:numPr>
                <w:ilvl w:val="0"/>
                <w:numId w:val="4"/>
              </w:numPr>
              <w:spacing w:after="0" w:line="240" w:lineRule="auto"/>
              <w:rPr>
                <w:rFonts w:ascii="Calibri" w:eastAsia="Times New Roman" w:hAnsi="Calibri" w:cs="Calibri"/>
                <w:color w:val="000000"/>
                <w:kern w:val="0"/>
                <w:sz w:val="22"/>
                <w:szCs w:val="22"/>
                <w14:ligatures w14:val="none"/>
              </w:rPr>
            </w:pPr>
            <w:r w:rsidRPr="00BB045B">
              <w:rPr>
                <w:rFonts w:ascii="Calibri" w:eastAsia="Times New Roman" w:hAnsi="Calibri" w:cs="Calibri"/>
                <w:color w:val="000000"/>
                <w:kern w:val="0"/>
                <w:sz w:val="22"/>
                <w:szCs w:val="22"/>
                <w14:ligatures w14:val="none"/>
              </w:rPr>
              <w:t>Provide in details how the study will address these aims,</w:t>
            </w:r>
          </w:p>
          <w:p w14:paraId="48A816C6" w14:textId="77777777" w:rsidR="004A2B57" w:rsidRPr="00BB045B" w:rsidRDefault="004A2B57" w:rsidP="002E1466">
            <w:pPr>
              <w:numPr>
                <w:ilvl w:val="0"/>
                <w:numId w:val="4"/>
              </w:numPr>
              <w:spacing w:after="0" w:line="240" w:lineRule="auto"/>
              <w:rPr>
                <w:rFonts w:ascii="Calibri" w:eastAsia="Times New Roman" w:hAnsi="Calibri" w:cs="Calibri"/>
                <w:color w:val="000000"/>
                <w:kern w:val="0"/>
                <w:sz w:val="22"/>
                <w:szCs w:val="22"/>
                <w14:ligatures w14:val="none"/>
              </w:rPr>
            </w:pPr>
            <w:r w:rsidRPr="00BB045B">
              <w:rPr>
                <w:rFonts w:ascii="Calibri" w:eastAsia="Times New Roman" w:hAnsi="Calibri" w:cs="Calibri"/>
                <w:color w:val="000000"/>
                <w:kern w:val="0"/>
                <w:sz w:val="22"/>
                <w:szCs w:val="22"/>
                <w14:ligatures w14:val="none"/>
              </w:rPr>
              <w:t>State the analytes, matrix, temperature and period of time involved.</w:t>
            </w:r>
          </w:p>
          <w:p w14:paraId="29270315" w14:textId="77777777"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p>
        </w:tc>
        <w:tc>
          <w:tcPr>
            <w:tcW w:w="4860" w:type="dxa"/>
            <w:noWrap/>
            <w:hideMark/>
          </w:tcPr>
          <w:p w14:paraId="79AA14BF" w14:textId="2E50E0B1"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sidRPr="00527948">
              <w:rPr>
                <w:rFonts w:ascii="Calibri" w:eastAsia="Times New Roman" w:hAnsi="Calibri" w:cs="Calibri"/>
                <w:color w:val="000000"/>
                <w:kern w:val="0"/>
                <w:sz w:val="22"/>
                <w:szCs w:val="22"/>
                <w14:ligatures w14:val="none"/>
              </w:rPr>
              <w:t>The study aims to evaluate the impact of post-centrifugation storage time</w:t>
            </w:r>
            <w:r>
              <w:rPr>
                <w:rFonts w:ascii="Calibri" w:eastAsia="Times New Roman" w:hAnsi="Calibri" w:cs="Calibri"/>
                <w:color w:val="000000"/>
                <w:kern w:val="0"/>
                <w:sz w:val="22"/>
                <w:szCs w:val="22"/>
                <w14:ligatures w14:val="none"/>
              </w:rPr>
              <w:t xml:space="preserve"> (up to 72 hours)</w:t>
            </w:r>
            <w:r w:rsidRPr="00527948">
              <w:rPr>
                <w:rFonts w:ascii="Calibri" w:eastAsia="Times New Roman" w:hAnsi="Calibri" w:cs="Calibri"/>
                <w:color w:val="000000"/>
                <w:kern w:val="0"/>
                <w:sz w:val="22"/>
                <w:szCs w:val="22"/>
                <w14:ligatures w14:val="none"/>
              </w:rPr>
              <w:t xml:space="preserve"> and a single freeze–thaw cycle on the EDTA plasma metabolome and lipidome in </w:t>
            </w:r>
            <w:r>
              <w:rPr>
                <w:rFonts w:ascii="Calibri" w:eastAsia="Times New Roman" w:hAnsi="Calibri" w:cs="Calibri"/>
                <w:color w:val="000000"/>
                <w:kern w:val="0"/>
                <w:sz w:val="22"/>
                <w:szCs w:val="22"/>
                <w14:ligatures w14:val="none"/>
              </w:rPr>
              <w:t>medical ward</w:t>
            </w:r>
            <w:r w:rsidRPr="00527948">
              <w:rPr>
                <w:rFonts w:ascii="Calibri" w:eastAsia="Times New Roman" w:hAnsi="Calibri" w:cs="Calibri"/>
                <w:color w:val="000000"/>
                <w:kern w:val="0"/>
                <w:sz w:val="22"/>
                <w:szCs w:val="22"/>
                <w14:ligatures w14:val="none"/>
              </w:rPr>
              <w:t xml:space="preserve"> patients.</w:t>
            </w:r>
          </w:p>
        </w:tc>
      </w:tr>
      <w:tr w:rsidR="004A2B57" w:rsidRPr="00527948" w14:paraId="6D73D4D0" w14:textId="2178A8D2" w:rsidTr="004A2B57">
        <w:trPr>
          <w:trHeight w:val="290"/>
          <w:jc w:val="center"/>
        </w:trPr>
        <w:tc>
          <w:tcPr>
            <w:tcW w:w="1981" w:type="dxa"/>
            <w:noWrap/>
            <w:hideMark/>
          </w:tcPr>
          <w:p w14:paraId="555CD78A" w14:textId="3BAD1177"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lastRenderedPageBreak/>
              <w:t>Materials and Methods</w:t>
            </w:r>
          </w:p>
        </w:tc>
        <w:tc>
          <w:tcPr>
            <w:tcW w:w="1137" w:type="dxa"/>
          </w:tcPr>
          <w:p w14:paraId="7DDBE090" w14:textId="7983CFB4"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5</w:t>
            </w:r>
          </w:p>
        </w:tc>
        <w:tc>
          <w:tcPr>
            <w:tcW w:w="5702" w:type="dxa"/>
          </w:tcPr>
          <w:p w14:paraId="201B2D4C" w14:textId="77777777" w:rsidR="004A2B57" w:rsidRPr="00F40865" w:rsidRDefault="004A2B57" w:rsidP="002E1466">
            <w:pPr>
              <w:numPr>
                <w:ilvl w:val="0"/>
                <w:numId w:val="7"/>
              </w:numPr>
              <w:spacing w:after="0" w:line="240" w:lineRule="auto"/>
              <w:rPr>
                <w:rFonts w:ascii="Calibri" w:eastAsia="Times New Roman" w:hAnsi="Calibri" w:cs="Calibri"/>
                <w:color w:val="000000"/>
                <w:kern w:val="0"/>
                <w:sz w:val="22"/>
                <w:szCs w:val="22"/>
                <w14:ligatures w14:val="none"/>
              </w:rPr>
            </w:pPr>
            <w:r w:rsidRPr="00F40865">
              <w:rPr>
                <w:rFonts w:ascii="Calibri" w:eastAsia="Times New Roman" w:hAnsi="Calibri" w:cs="Calibri"/>
                <w:color w:val="000000"/>
                <w:kern w:val="0"/>
                <w:sz w:val="22"/>
                <w:szCs w:val="22"/>
                <w14:ligatures w14:val="none"/>
              </w:rPr>
              <w:t>State where the study was done,</w:t>
            </w:r>
          </w:p>
          <w:p w14:paraId="4DA5836B" w14:textId="77777777" w:rsidR="004A2B57" w:rsidRPr="00F40865" w:rsidRDefault="004A2B57" w:rsidP="002E1466">
            <w:pPr>
              <w:numPr>
                <w:ilvl w:val="0"/>
                <w:numId w:val="7"/>
              </w:numPr>
              <w:spacing w:after="0" w:line="240" w:lineRule="auto"/>
              <w:rPr>
                <w:rFonts w:ascii="Calibri" w:eastAsia="Times New Roman" w:hAnsi="Calibri" w:cs="Calibri"/>
                <w:color w:val="000000"/>
                <w:kern w:val="0"/>
                <w:sz w:val="22"/>
                <w:szCs w:val="22"/>
                <w14:ligatures w14:val="none"/>
              </w:rPr>
            </w:pPr>
            <w:r w:rsidRPr="00F40865">
              <w:rPr>
                <w:rFonts w:ascii="Calibri" w:eastAsia="Times New Roman" w:hAnsi="Calibri" w:cs="Calibri"/>
                <w:color w:val="000000"/>
                <w:kern w:val="0"/>
                <w:sz w:val="22"/>
                <w:szCs w:val="22"/>
                <w14:ligatures w14:val="none"/>
              </w:rPr>
              <w:t>State the start date and the end date of the study</w:t>
            </w:r>
          </w:p>
          <w:p w14:paraId="61AF6C4C" w14:textId="77777777" w:rsidR="004A2B57" w:rsidRPr="00F40865" w:rsidRDefault="004A2B57" w:rsidP="002E1466">
            <w:pPr>
              <w:numPr>
                <w:ilvl w:val="0"/>
                <w:numId w:val="7"/>
              </w:numPr>
              <w:spacing w:after="0" w:line="240" w:lineRule="auto"/>
              <w:rPr>
                <w:rFonts w:ascii="Calibri" w:eastAsia="Times New Roman" w:hAnsi="Calibri" w:cs="Calibri"/>
                <w:color w:val="000000"/>
                <w:kern w:val="0"/>
                <w:sz w:val="22"/>
                <w:szCs w:val="22"/>
                <w14:ligatures w14:val="none"/>
              </w:rPr>
            </w:pPr>
            <w:r w:rsidRPr="00F40865">
              <w:rPr>
                <w:rFonts w:ascii="Calibri" w:eastAsia="Times New Roman" w:hAnsi="Calibri" w:cs="Calibri"/>
                <w:color w:val="000000"/>
                <w:kern w:val="0"/>
                <w:sz w:val="22"/>
                <w:szCs w:val="22"/>
                <w14:ligatures w14:val="none"/>
              </w:rPr>
              <w:t>Thoroughly describe materials and methods to a depth that allows the study to be replicated,</w:t>
            </w:r>
          </w:p>
          <w:p w14:paraId="1F8450EF" w14:textId="49A35ADD" w:rsidR="004A2B57" w:rsidRPr="009A4AEA" w:rsidRDefault="004A2B57" w:rsidP="002E1466">
            <w:pPr>
              <w:numPr>
                <w:ilvl w:val="0"/>
                <w:numId w:val="7"/>
              </w:numPr>
              <w:spacing w:after="0" w:line="240" w:lineRule="auto"/>
              <w:rPr>
                <w:rFonts w:ascii="Calibri" w:eastAsia="Times New Roman" w:hAnsi="Calibri" w:cs="Calibri"/>
                <w:color w:val="000000"/>
                <w:kern w:val="0"/>
                <w:sz w:val="22"/>
                <w:szCs w:val="22"/>
                <w14:ligatures w14:val="none"/>
              </w:rPr>
            </w:pPr>
            <w:r w:rsidRPr="00F40865">
              <w:rPr>
                <w:rFonts w:ascii="Calibri" w:eastAsia="Times New Roman" w:hAnsi="Calibri" w:cs="Calibri"/>
                <w:color w:val="000000"/>
                <w:kern w:val="0"/>
                <w:sz w:val="22"/>
                <w:szCs w:val="22"/>
                <w14:ligatures w14:val="none"/>
              </w:rPr>
              <w:t>Provide sufficient detail to allow transferability to different healthcare settings.</w:t>
            </w:r>
          </w:p>
        </w:tc>
        <w:tc>
          <w:tcPr>
            <w:tcW w:w="4860" w:type="dxa"/>
            <w:noWrap/>
            <w:hideMark/>
          </w:tcPr>
          <w:p w14:paraId="65C5B9C0" w14:textId="645E0050"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 xml:space="preserve">Sample location is clearly stated “The study was conducted at Oslo university hospital”. Samples were collected from </w:t>
            </w:r>
            <w:r w:rsidRPr="00527948">
              <w:rPr>
                <w:rFonts w:ascii="Calibri" w:eastAsia="Times New Roman" w:hAnsi="Calibri" w:cs="Calibri"/>
                <w:color w:val="000000"/>
                <w:kern w:val="0"/>
                <w:sz w:val="22"/>
                <w:szCs w:val="22"/>
                <w14:ligatures w14:val="none"/>
              </w:rPr>
              <w:t>Three K2EDTA plasma tubes with gel (</w:t>
            </w:r>
            <w:r>
              <w:rPr>
                <w:rFonts w:ascii="Calibri" w:eastAsia="Times New Roman" w:hAnsi="Calibri" w:cs="Calibri"/>
                <w:color w:val="000000"/>
                <w:kern w:val="0"/>
                <w:sz w:val="22"/>
                <w:szCs w:val="22"/>
                <w14:ligatures w14:val="none"/>
              </w:rPr>
              <w:t>Greiner Bio-One</w:t>
            </w:r>
            <w:r w:rsidRPr="00527948">
              <w:rPr>
                <w:rFonts w:ascii="Calibri" w:eastAsia="Times New Roman" w:hAnsi="Calibri" w:cs="Calibri"/>
                <w:color w:val="000000"/>
                <w:kern w:val="0"/>
                <w:sz w:val="22"/>
                <w:szCs w:val="22"/>
                <w14:ligatures w14:val="none"/>
              </w:rPr>
              <w:t xml:space="preserve">, </w:t>
            </w:r>
            <w:r>
              <w:rPr>
                <w:rFonts w:ascii="Calibri" w:eastAsia="Times New Roman" w:hAnsi="Calibri" w:cs="Calibri"/>
                <w:color w:val="000000"/>
                <w:kern w:val="0"/>
                <w:sz w:val="22"/>
                <w:szCs w:val="22"/>
                <w14:ligatures w14:val="none"/>
              </w:rPr>
              <w:t>5 ml</w:t>
            </w:r>
            <w:r w:rsidRPr="00527948">
              <w:rPr>
                <w:rFonts w:ascii="Calibri" w:eastAsia="Times New Roman" w:hAnsi="Calibri" w:cs="Calibri"/>
                <w:color w:val="000000"/>
                <w:kern w:val="0"/>
                <w:sz w:val="22"/>
                <w:szCs w:val="22"/>
                <w14:ligatures w14:val="none"/>
              </w:rPr>
              <w:t>) were collected per patient. Samples were centrifuged (centrifugation conditions) and aliquoted under controlled conditions.</w:t>
            </w:r>
          </w:p>
        </w:tc>
      </w:tr>
      <w:tr w:rsidR="004A2B57" w:rsidRPr="00527948" w14:paraId="14AEFB15" w14:textId="77777777" w:rsidTr="004A2B57">
        <w:trPr>
          <w:trHeight w:val="290"/>
          <w:jc w:val="center"/>
        </w:trPr>
        <w:tc>
          <w:tcPr>
            <w:tcW w:w="1981" w:type="dxa"/>
            <w:noWrap/>
          </w:tcPr>
          <w:p w14:paraId="0C1D23E4" w14:textId="78BE2802"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Mesurand/Analytes</w:t>
            </w:r>
          </w:p>
        </w:tc>
        <w:tc>
          <w:tcPr>
            <w:tcW w:w="1137" w:type="dxa"/>
          </w:tcPr>
          <w:p w14:paraId="54F6977A" w14:textId="3211D60E"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6</w:t>
            </w:r>
          </w:p>
        </w:tc>
        <w:tc>
          <w:tcPr>
            <w:tcW w:w="5702" w:type="dxa"/>
          </w:tcPr>
          <w:p w14:paraId="131DFF43" w14:textId="0CC57D5E" w:rsidR="004A2B57" w:rsidRPr="00ED5D37" w:rsidRDefault="004A2B57" w:rsidP="002E1466">
            <w:pPr>
              <w:numPr>
                <w:ilvl w:val="0"/>
                <w:numId w:val="8"/>
              </w:numPr>
              <w:spacing w:after="0" w:line="240" w:lineRule="auto"/>
              <w:rPr>
                <w:rFonts w:ascii="Calibri" w:eastAsia="Times New Roman" w:hAnsi="Calibri" w:cs="Calibri"/>
                <w:color w:val="000000"/>
                <w:kern w:val="0"/>
                <w:sz w:val="22"/>
                <w:szCs w:val="22"/>
                <w14:ligatures w14:val="none"/>
              </w:rPr>
            </w:pPr>
            <w:r w:rsidRPr="00ED5D37">
              <w:rPr>
                <w:rFonts w:ascii="Calibri" w:eastAsia="Times New Roman" w:hAnsi="Calibri" w:cs="Calibri"/>
                <w:color w:val="000000"/>
                <w:kern w:val="0"/>
                <w:sz w:val="22"/>
                <w:szCs w:val="22"/>
                <w14:ligatures w14:val="none"/>
              </w:rPr>
              <w:t>Define the analyte(s) involved in the study.</w:t>
            </w:r>
          </w:p>
        </w:tc>
        <w:tc>
          <w:tcPr>
            <w:tcW w:w="4860" w:type="dxa"/>
            <w:noWrap/>
          </w:tcPr>
          <w:p w14:paraId="00D65BF3" w14:textId="3C676B37"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Analytes include m</w:t>
            </w:r>
            <w:r w:rsidRPr="002A6AFE">
              <w:rPr>
                <w:rFonts w:ascii="Calibri" w:eastAsia="Times New Roman" w:hAnsi="Calibri" w:cs="Calibri"/>
                <w:color w:val="000000"/>
                <w:kern w:val="0"/>
                <w:sz w:val="22"/>
                <w:szCs w:val="22"/>
                <w14:ligatures w14:val="none"/>
              </w:rPr>
              <w:t>etabolites and lipids detected via global LC–MS metabolomics and lipidomics</w:t>
            </w:r>
            <w:r>
              <w:rPr>
                <w:rFonts w:ascii="Calibri" w:eastAsia="Times New Roman" w:hAnsi="Calibri" w:cs="Calibri"/>
                <w:color w:val="000000"/>
                <w:kern w:val="0"/>
                <w:sz w:val="22"/>
                <w:szCs w:val="22"/>
                <w14:ligatures w14:val="none"/>
              </w:rPr>
              <w:t>, clearly stated throughout the manuscript.</w:t>
            </w:r>
          </w:p>
        </w:tc>
      </w:tr>
      <w:tr w:rsidR="004A2B57" w:rsidRPr="00527948" w14:paraId="4DE32B07" w14:textId="20792EBF" w:rsidTr="004A2B57">
        <w:trPr>
          <w:trHeight w:val="290"/>
          <w:jc w:val="center"/>
        </w:trPr>
        <w:tc>
          <w:tcPr>
            <w:tcW w:w="1981" w:type="dxa"/>
            <w:noWrap/>
            <w:hideMark/>
          </w:tcPr>
          <w:p w14:paraId="0FB81625" w14:textId="3170B49B"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Samples</w:t>
            </w:r>
          </w:p>
        </w:tc>
        <w:tc>
          <w:tcPr>
            <w:tcW w:w="1137" w:type="dxa"/>
          </w:tcPr>
          <w:p w14:paraId="1CA7791C" w14:textId="4BCD6C29"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7</w:t>
            </w:r>
          </w:p>
        </w:tc>
        <w:tc>
          <w:tcPr>
            <w:tcW w:w="5702" w:type="dxa"/>
          </w:tcPr>
          <w:p w14:paraId="31B6D1F4" w14:textId="77777777" w:rsidR="004A2B57" w:rsidRPr="00ED5D37" w:rsidRDefault="004A2B57" w:rsidP="002E1466">
            <w:pPr>
              <w:numPr>
                <w:ilvl w:val="0"/>
                <w:numId w:val="9"/>
              </w:numPr>
              <w:spacing w:after="0" w:line="240" w:lineRule="auto"/>
              <w:rPr>
                <w:rFonts w:ascii="Calibri" w:eastAsia="Times New Roman" w:hAnsi="Calibri" w:cs="Calibri"/>
                <w:color w:val="000000"/>
                <w:kern w:val="0"/>
                <w:sz w:val="22"/>
                <w:szCs w:val="22"/>
                <w14:ligatures w14:val="none"/>
              </w:rPr>
            </w:pPr>
            <w:r w:rsidRPr="00ED5D37">
              <w:rPr>
                <w:rFonts w:ascii="Calibri" w:eastAsia="Times New Roman" w:hAnsi="Calibri" w:cs="Calibri"/>
                <w:color w:val="000000"/>
                <w:kern w:val="0"/>
                <w:sz w:val="22"/>
                <w:szCs w:val="22"/>
                <w14:ligatures w14:val="none"/>
              </w:rPr>
              <w:t>Define the tube type, manufacturer and additive,</w:t>
            </w:r>
          </w:p>
          <w:p w14:paraId="4DA13C0E" w14:textId="77777777" w:rsidR="004A2B57" w:rsidRPr="00ED5D37" w:rsidRDefault="004A2B57" w:rsidP="002E1466">
            <w:pPr>
              <w:numPr>
                <w:ilvl w:val="0"/>
                <w:numId w:val="9"/>
              </w:numPr>
              <w:spacing w:after="0" w:line="240" w:lineRule="auto"/>
              <w:rPr>
                <w:rFonts w:ascii="Calibri" w:eastAsia="Times New Roman" w:hAnsi="Calibri" w:cs="Calibri"/>
                <w:color w:val="000000"/>
                <w:kern w:val="0"/>
                <w:sz w:val="22"/>
                <w:szCs w:val="22"/>
                <w14:ligatures w14:val="none"/>
              </w:rPr>
            </w:pPr>
            <w:r w:rsidRPr="00ED5D37">
              <w:rPr>
                <w:rFonts w:ascii="Calibri" w:eastAsia="Times New Roman" w:hAnsi="Calibri" w:cs="Calibri"/>
                <w:color w:val="000000"/>
                <w:kern w:val="0"/>
                <w:sz w:val="22"/>
                <w:szCs w:val="22"/>
                <w14:ligatures w14:val="none"/>
              </w:rPr>
              <w:t>Define the sample matrix (e.g. whole blood, serum, plasma, urine, faeces, saliva, cerebrospinal fluid etc),</w:t>
            </w:r>
          </w:p>
          <w:p w14:paraId="3D89CAB0" w14:textId="77777777" w:rsidR="004A2B57" w:rsidRPr="00ED5D37" w:rsidRDefault="004A2B57" w:rsidP="002E1466">
            <w:pPr>
              <w:numPr>
                <w:ilvl w:val="0"/>
                <w:numId w:val="9"/>
              </w:numPr>
              <w:spacing w:after="0" w:line="240" w:lineRule="auto"/>
              <w:rPr>
                <w:rFonts w:ascii="Calibri" w:eastAsia="Times New Roman" w:hAnsi="Calibri" w:cs="Calibri"/>
                <w:color w:val="000000"/>
                <w:kern w:val="0"/>
                <w:sz w:val="22"/>
                <w:szCs w:val="22"/>
                <w14:ligatures w14:val="none"/>
              </w:rPr>
            </w:pPr>
            <w:r w:rsidRPr="00ED5D37">
              <w:rPr>
                <w:rFonts w:ascii="Calibri" w:eastAsia="Times New Roman" w:hAnsi="Calibri" w:cs="Calibri"/>
                <w:color w:val="000000"/>
                <w:kern w:val="0"/>
                <w:sz w:val="22"/>
                <w:szCs w:val="22"/>
                <w14:ligatures w14:val="none"/>
              </w:rPr>
              <w:t>Define sample volume,</w:t>
            </w:r>
          </w:p>
          <w:p w14:paraId="6A31A777" w14:textId="77777777" w:rsidR="004A2B57" w:rsidRPr="00ED5D37" w:rsidRDefault="004A2B57" w:rsidP="002E1466">
            <w:pPr>
              <w:numPr>
                <w:ilvl w:val="0"/>
                <w:numId w:val="9"/>
              </w:numPr>
              <w:spacing w:after="0" w:line="240" w:lineRule="auto"/>
              <w:rPr>
                <w:rFonts w:ascii="Calibri" w:eastAsia="Times New Roman" w:hAnsi="Calibri" w:cs="Calibri"/>
                <w:color w:val="000000"/>
                <w:kern w:val="0"/>
                <w:sz w:val="22"/>
                <w:szCs w:val="22"/>
                <w14:ligatures w14:val="none"/>
              </w:rPr>
            </w:pPr>
            <w:r w:rsidRPr="00ED5D37">
              <w:rPr>
                <w:rFonts w:ascii="Calibri" w:eastAsia="Times New Roman" w:hAnsi="Calibri" w:cs="Calibri"/>
                <w:color w:val="000000"/>
                <w:kern w:val="0"/>
                <w:sz w:val="22"/>
                <w:szCs w:val="22"/>
                <w14:ligatures w14:val="none"/>
              </w:rPr>
              <w:t>State if samples were specifically collected for the study or leftover samples have been used,</w:t>
            </w:r>
          </w:p>
          <w:p w14:paraId="0DF25ECB" w14:textId="77777777" w:rsidR="004A2B57" w:rsidRPr="00ED5D37" w:rsidRDefault="004A2B57" w:rsidP="002E1466">
            <w:pPr>
              <w:numPr>
                <w:ilvl w:val="0"/>
                <w:numId w:val="9"/>
              </w:numPr>
              <w:spacing w:after="0" w:line="240" w:lineRule="auto"/>
              <w:rPr>
                <w:rFonts w:ascii="Calibri" w:eastAsia="Times New Roman" w:hAnsi="Calibri" w:cs="Calibri"/>
                <w:color w:val="000000"/>
                <w:kern w:val="0"/>
                <w:sz w:val="22"/>
                <w:szCs w:val="22"/>
                <w14:ligatures w14:val="none"/>
              </w:rPr>
            </w:pPr>
            <w:r w:rsidRPr="00ED5D37">
              <w:rPr>
                <w:rFonts w:ascii="Calibri" w:eastAsia="Times New Roman" w:hAnsi="Calibri" w:cs="Calibri"/>
                <w:color w:val="000000"/>
                <w:kern w:val="0"/>
                <w:sz w:val="22"/>
                <w:szCs w:val="22"/>
                <w14:ligatures w14:val="none"/>
              </w:rPr>
              <w:t>State whether individual participants or pools were used,</w:t>
            </w:r>
          </w:p>
          <w:p w14:paraId="4ADAFEA2" w14:textId="419DFEF8" w:rsidR="004A2B57" w:rsidRPr="00ED5D37" w:rsidRDefault="004A2B57" w:rsidP="002E1466">
            <w:pPr>
              <w:numPr>
                <w:ilvl w:val="0"/>
                <w:numId w:val="9"/>
              </w:numPr>
              <w:spacing w:after="0" w:line="240" w:lineRule="auto"/>
              <w:rPr>
                <w:rFonts w:ascii="Calibri" w:eastAsia="Times New Roman" w:hAnsi="Calibri" w:cs="Calibri"/>
                <w:color w:val="000000"/>
                <w:kern w:val="0"/>
                <w:sz w:val="22"/>
                <w:szCs w:val="22"/>
                <w14:ligatures w14:val="none"/>
              </w:rPr>
            </w:pPr>
            <w:r w:rsidRPr="00ED5D37">
              <w:rPr>
                <w:rFonts w:ascii="Calibri" w:eastAsia="Times New Roman" w:hAnsi="Calibri" w:cs="Calibri"/>
                <w:color w:val="000000"/>
                <w:kern w:val="0"/>
                <w:sz w:val="22"/>
                <w:szCs w:val="22"/>
                <w14:ligatures w14:val="none"/>
              </w:rPr>
              <w:t>If pools have been used, provide the protocol and appropriate reference, according to which pool has been prepared.</w:t>
            </w:r>
          </w:p>
        </w:tc>
        <w:tc>
          <w:tcPr>
            <w:tcW w:w="4860" w:type="dxa"/>
            <w:noWrap/>
            <w:hideMark/>
          </w:tcPr>
          <w:p w14:paraId="2436302E" w14:textId="2EA5D851"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 xml:space="preserve">Tube type, manufacturer, volume and additative is clearly stated. The sample matrix was EDTA-plasma. Samples were specifically collected for this study. We used samples from 20 individual patients. </w:t>
            </w:r>
            <w:r w:rsidRPr="00527948">
              <w:rPr>
                <w:rFonts w:ascii="Calibri" w:eastAsia="Times New Roman" w:hAnsi="Calibri" w:cs="Calibri"/>
                <w:color w:val="000000"/>
                <w:kern w:val="0"/>
                <w:sz w:val="22"/>
                <w:szCs w:val="22"/>
                <w14:ligatures w14:val="none"/>
              </w:rPr>
              <w:t>Aliquots were stored at –80°C after defined storage durations. Freeze–thaw effects were assessed by thawing samples after refreezing. Sample preparation included protein precipitation and</w:t>
            </w:r>
            <w:r>
              <w:rPr>
                <w:rFonts w:ascii="Calibri" w:eastAsia="Times New Roman" w:hAnsi="Calibri" w:cs="Calibri"/>
                <w:color w:val="000000"/>
                <w:kern w:val="0"/>
                <w:sz w:val="22"/>
                <w:szCs w:val="22"/>
                <w14:ligatures w14:val="none"/>
              </w:rPr>
              <w:t xml:space="preserve"> pooling of supernatant aliquotes to create the pooled quality control. </w:t>
            </w:r>
          </w:p>
        </w:tc>
      </w:tr>
      <w:tr w:rsidR="004A2B57" w:rsidRPr="00527948" w14:paraId="76F6136D" w14:textId="77777777" w:rsidTr="004A2B57">
        <w:trPr>
          <w:trHeight w:val="290"/>
          <w:jc w:val="center"/>
        </w:trPr>
        <w:tc>
          <w:tcPr>
            <w:tcW w:w="1981" w:type="dxa"/>
            <w:noWrap/>
          </w:tcPr>
          <w:p w14:paraId="4EBB038A" w14:textId="330B4ABA" w:rsidR="004A2B57"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Participants</w:t>
            </w:r>
          </w:p>
        </w:tc>
        <w:tc>
          <w:tcPr>
            <w:tcW w:w="1137" w:type="dxa"/>
          </w:tcPr>
          <w:p w14:paraId="7783AB42" w14:textId="1EB34CE7" w:rsidR="004A2B57"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8</w:t>
            </w:r>
          </w:p>
        </w:tc>
        <w:tc>
          <w:tcPr>
            <w:tcW w:w="5702" w:type="dxa"/>
          </w:tcPr>
          <w:p w14:paraId="6D014E97" w14:textId="77777777" w:rsidR="004A2B57" w:rsidRPr="00ED5D37" w:rsidRDefault="004A2B57" w:rsidP="002E1466">
            <w:pPr>
              <w:numPr>
                <w:ilvl w:val="0"/>
                <w:numId w:val="10"/>
              </w:numPr>
              <w:spacing w:after="0" w:line="240" w:lineRule="auto"/>
              <w:rPr>
                <w:rFonts w:ascii="Calibri" w:eastAsia="Times New Roman" w:hAnsi="Calibri" w:cs="Calibri"/>
                <w:color w:val="000000"/>
                <w:kern w:val="0"/>
                <w:sz w:val="22"/>
                <w:szCs w:val="22"/>
                <w14:ligatures w14:val="none"/>
              </w:rPr>
            </w:pPr>
            <w:r w:rsidRPr="00ED5D37">
              <w:rPr>
                <w:rFonts w:ascii="Calibri" w:eastAsia="Times New Roman" w:hAnsi="Calibri" w:cs="Calibri"/>
                <w:color w:val="000000"/>
                <w:kern w:val="0"/>
                <w:sz w:val="22"/>
                <w:szCs w:val="22"/>
                <w14:ligatures w14:val="none"/>
              </w:rPr>
              <w:t>Define the patient population used including gender, age, geographical location, comorbidities, relevant medication, health status and ethnicity as a minimum.</w:t>
            </w:r>
          </w:p>
          <w:p w14:paraId="114DF2EC" w14:textId="68CE0023" w:rsidR="004A2B57" w:rsidRPr="00ED5D37" w:rsidRDefault="004A2B57" w:rsidP="002E1466">
            <w:pPr>
              <w:numPr>
                <w:ilvl w:val="0"/>
                <w:numId w:val="10"/>
              </w:numPr>
              <w:spacing w:after="0" w:line="240" w:lineRule="auto"/>
              <w:rPr>
                <w:rFonts w:ascii="Calibri" w:eastAsia="Times New Roman" w:hAnsi="Calibri" w:cs="Calibri"/>
                <w:color w:val="000000"/>
                <w:kern w:val="0"/>
                <w:sz w:val="22"/>
                <w:szCs w:val="22"/>
                <w14:ligatures w14:val="none"/>
              </w:rPr>
            </w:pPr>
            <w:r w:rsidRPr="00ED5D37">
              <w:rPr>
                <w:rFonts w:ascii="Calibri" w:eastAsia="Times New Roman" w:hAnsi="Calibri" w:cs="Calibri"/>
                <w:color w:val="000000"/>
                <w:kern w:val="0"/>
                <w:sz w:val="22"/>
                <w:szCs w:val="22"/>
                <w14:ligatures w14:val="none"/>
              </w:rPr>
              <w:t>State how this information was obtained and verified</w:t>
            </w:r>
          </w:p>
        </w:tc>
        <w:tc>
          <w:tcPr>
            <w:tcW w:w="4860" w:type="dxa"/>
            <w:noWrap/>
          </w:tcPr>
          <w:p w14:paraId="766D0998" w14:textId="2A4F967B"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 xml:space="preserve">The cohort included </w:t>
            </w:r>
            <w:r w:rsidRPr="00E73FA0">
              <w:rPr>
                <w:rFonts w:ascii="Calibri" w:eastAsia="Times New Roman" w:hAnsi="Calibri" w:cs="Calibri"/>
                <w:color w:val="000000"/>
                <w:kern w:val="0"/>
                <w:sz w:val="22"/>
                <w:szCs w:val="22"/>
                <w14:ligatures w14:val="none"/>
              </w:rPr>
              <w:t xml:space="preserve">20 patients, age 48–92 (median 79), admitted to medical ward at Oslo University Hospital. Inclusion criteria: </w:t>
            </w:r>
            <w:r>
              <w:rPr>
                <w:rFonts w:ascii="Calibri" w:eastAsia="Times New Roman" w:hAnsi="Calibri" w:cs="Calibri"/>
                <w:color w:val="000000"/>
                <w:kern w:val="0"/>
                <w:sz w:val="22"/>
                <w:szCs w:val="22"/>
                <w14:ligatures w14:val="none"/>
              </w:rPr>
              <w:t xml:space="preserve">adult, </w:t>
            </w:r>
            <w:r w:rsidRPr="00E73FA0">
              <w:rPr>
                <w:rFonts w:ascii="Calibri" w:eastAsia="Times New Roman" w:hAnsi="Calibri" w:cs="Calibri"/>
                <w:color w:val="000000"/>
                <w:kern w:val="0"/>
                <w:sz w:val="22"/>
                <w:szCs w:val="22"/>
                <w14:ligatures w14:val="none"/>
              </w:rPr>
              <w:t>medical ward admission. See Supplementary for more details</w:t>
            </w:r>
            <w:r>
              <w:rPr>
                <w:rFonts w:ascii="Calibri" w:eastAsia="Times New Roman" w:hAnsi="Calibri" w:cs="Calibri"/>
                <w:color w:val="000000"/>
                <w:kern w:val="0"/>
                <w:sz w:val="22"/>
                <w:szCs w:val="22"/>
                <w14:ligatures w14:val="none"/>
              </w:rPr>
              <w:t xml:space="preserve"> regarding comorbidities for each patient, days after admission the samples were collected and NEWS2 score at sampling time point. This information was verified post-hoc by a specialist in infection medicine.</w:t>
            </w:r>
          </w:p>
        </w:tc>
      </w:tr>
      <w:tr w:rsidR="004A2B57" w:rsidRPr="00527948" w14:paraId="1C795BA7" w14:textId="77777777" w:rsidTr="004A2B57">
        <w:trPr>
          <w:trHeight w:val="290"/>
          <w:jc w:val="center"/>
        </w:trPr>
        <w:tc>
          <w:tcPr>
            <w:tcW w:w="1981" w:type="dxa"/>
            <w:noWrap/>
          </w:tcPr>
          <w:p w14:paraId="6B83B7DB" w14:textId="3BCA60D5" w:rsidR="004A2B57"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Pre-analytical conditions</w:t>
            </w:r>
          </w:p>
        </w:tc>
        <w:tc>
          <w:tcPr>
            <w:tcW w:w="1137" w:type="dxa"/>
          </w:tcPr>
          <w:p w14:paraId="37312DD1" w14:textId="5DF1AAE9" w:rsidR="004A2B57"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9</w:t>
            </w:r>
          </w:p>
        </w:tc>
        <w:tc>
          <w:tcPr>
            <w:tcW w:w="5702" w:type="dxa"/>
          </w:tcPr>
          <w:p w14:paraId="07ABF108" w14:textId="77777777" w:rsidR="004A2B57" w:rsidRPr="004C68AF" w:rsidRDefault="004A2B57" w:rsidP="002E1466">
            <w:pPr>
              <w:numPr>
                <w:ilvl w:val="0"/>
                <w:numId w:val="11"/>
              </w:numPr>
              <w:spacing w:after="0" w:line="240" w:lineRule="auto"/>
              <w:rPr>
                <w:rFonts w:ascii="Calibri" w:eastAsia="Times New Roman" w:hAnsi="Calibri" w:cs="Calibri"/>
                <w:color w:val="000000"/>
                <w:kern w:val="0"/>
                <w:sz w:val="22"/>
                <w:szCs w:val="22"/>
                <w14:ligatures w14:val="none"/>
              </w:rPr>
            </w:pPr>
            <w:r w:rsidRPr="004C68AF">
              <w:rPr>
                <w:rFonts w:ascii="Calibri" w:eastAsia="Times New Roman" w:hAnsi="Calibri" w:cs="Calibri"/>
                <w:color w:val="000000"/>
                <w:kern w:val="0"/>
                <w:sz w:val="22"/>
                <w:szCs w:val="22"/>
                <w14:ligatures w14:val="none"/>
              </w:rPr>
              <w:t>State how samples were collected (i.e. method of phlebotomy),</w:t>
            </w:r>
          </w:p>
          <w:p w14:paraId="6A4A6AD7" w14:textId="77777777" w:rsidR="004A2B57" w:rsidRPr="004C68AF" w:rsidRDefault="004A2B57" w:rsidP="002E1466">
            <w:pPr>
              <w:numPr>
                <w:ilvl w:val="0"/>
                <w:numId w:val="11"/>
              </w:numPr>
              <w:spacing w:after="0" w:line="240" w:lineRule="auto"/>
              <w:rPr>
                <w:rFonts w:ascii="Calibri" w:eastAsia="Times New Roman" w:hAnsi="Calibri" w:cs="Calibri"/>
                <w:color w:val="000000"/>
                <w:kern w:val="0"/>
                <w:sz w:val="22"/>
                <w:szCs w:val="22"/>
                <w14:ligatures w14:val="none"/>
              </w:rPr>
            </w:pPr>
            <w:r w:rsidRPr="004C68AF">
              <w:rPr>
                <w:rFonts w:ascii="Calibri" w:eastAsia="Times New Roman" w:hAnsi="Calibri" w:cs="Calibri"/>
                <w:color w:val="000000"/>
                <w:kern w:val="0"/>
                <w:sz w:val="22"/>
                <w:szCs w:val="22"/>
                <w14:ligatures w14:val="none"/>
              </w:rPr>
              <w:t>State how tubes were mixed,</w:t>
            </w:r>
          </w:p>
          <w:p w14:paraId="43F19704" w14:textId="77777777" w:rsidR="004A2B57" w:rsidRPr="004C68AF" w:rsidRDefault="004A2B57" w:rsidP="002E1466">
            <w:pPr>
              <w:numPr>
                <w:ilvl w:val="0"/>
                <w:numId w:val="11"/>
              </w:numPr>
              <w:spacing w:after="0" w:line="240" w:lineRule="auto"/>
              <w:rPr>
                <w:rFonts w:ascii="Calibri" w:eastAsia="Times New Roman" w:hAnsi="Calibri" w:cs="Calibri"/>
                <w:color w:val="000000"/>
                <w:kern w:val="0"/>
                <w:sz w:val="22"/>
                <w:szCs w:val="22"/>
                <w14:ligatures w14:val="none"/>
              </w:rPr>
            </w:pPr>
            <w:r w:rsidRPr="004C68AF">
              <w:rPr>
                <w:rFonts w:ascii="Calibri" w:eastAsia="Times New Roman" w:hAnsi="Calibri" w:cs="Calibri"/>
                <w:color w:val="000000"/>
                <w:kern w:val="0"/>
                <w:sz w:val="22"/>
                <w:szCs w:val="22"/>
                <w14:ligatures w14:val="none"/>
              </w:rPr>
              <w:lastRenderedPageBreak/>
              <w:t>State sample transport conditions (mode of transport, temperature, time),</w:t>
            </w:r>
          </w:p>
          <w:p w14:paraId="263B5749" w14:textId="77777777" w:rsidR="004A2B57" w:rsidRPr="004C68AF" w:rsidRDefault="004A2B57" w:rsidP="002E1466">
            <w:pPr>
              <w:numPr>
                <w:ilvl w:val="0"/>
                <w:numId w:val="11"/>
              </w:numPr>
              <w:spacing w:after="0" w:line="240" w:lineRule="auto"/>
              <w:rPr>
                <w:rFonts w:ascii="Calibri" w:eastAsia="Times New Roman" w:hAnsi="Calibri" w:cs="Calibri"/>
                <w:color w:val="000000"/>
                <w:kern w:val="0"/>
                <w:sz w:val="22"/>
                <w:szCs w:val="22"/>
                <w14:ligatures w14:val="none"/>
              </w:rPr>
            </w:pPr>
            <w:r w:rsidRPr="004C68AF">
              <w:rPr>
                <w:rFonts w:ascii="Calibri" w:eastAsia="Times New Roman" w:hAnsi="Calibri" w:cs="Calibri"/>
                <w:color w:val="000000"/>
                <w:kern w:val="0"/>
                <w:sz w:val="22"/>
                <w:szCs w:val="22"/>
                <w14:ligatures w14:val="none"/>
              </w:rPr>
              <w:t>Specify the exact time and all relevant conditions (temperature, centrifuge conditions, mechanical forces, etc.) the sample was exposed to from the sample collection to the first time point (time zero) of the stability experiment:</w:t>
            </w:r>
          </w:p>
          <w:p w14:paraId="4D905566" w14:textId="77777777" w:rsidR="004A2B57" w:rsidRPr="004C68AF" w:rsidRDefault="004A2B57" w:rsidP="002E1466">
            <w:pPr>
              <w:numPr>
                <w:ilvl w:val="0"/>
                <w:numId w:val="11"/>
              </w:numPr>
              <w:spacing w:after="0" w:line="240" w:lineRule="auto"/>
              <w:rPr>
                <w:rFonts w:ascii="Calibri" w:eastAsia="Times New Roman" w:hAnsi="Calibri" w:cs="Calibri"/>
                <w:color w:val="000000"/>
                <w:kern w:val="0"/>
                <w:sz w:val="22"/>
                <w:szCs w:val="22"/>
                <w14:ligatures w14:val="none"/>
              </w:rPr>
            </w:pPr>
            <w:r w:rsidRPr="004C68AF">
              <w:rPr>
                <w:rFonts w:ascii="Calibri" w:eastAsia="Times New Roman" w:hAnsi="Calibri" w:cs="Calibri"/>
                <w:color w:val="000000"/>
                <w:kern w:val="0"/>
                <w:sz w:val="22"/>
                <w:szCs w:val="22"/>
                <w14:ligatures w14:val="none"/>
              </w:rPr>
              <w:t>Specify time elapsed from the sample collection to the time of separation of the serum or plasma from cells,</w:t>
            </w:r>
          </w:p>
          <w:p w14:paraId="352907A4" w14:textId="77777777" w:rsidR="004A2B57" w:rsidRPr="004C68AF" w:rsidRDefault="004A2B57" w:rsidP="002E1466">
            <w:pPr>
              <w:numPr>
                <w:ilvl w:val="0"/>
                <w:numId w:val="11"/>
              </w:numPr>
              <w:spacing w:after="0" w:line="240" w:lineRule="auto"/>
              <w:rPr>
                <w:rFonts w:ascii="Calibri" w:eastAsia="Times New Roman" w:hAnsi="Calibri" w:cs="Calibri"/>
                <w:color w:val="000000"/>
                <w:kern w:val="0"/>
                <w:sz w:val="22"/>
                <w:szCs w:val="22"/>
                <w14:ligatures w14:val="none"/>
              </w:rPr>
            </w:pPr>
            <w:r w:rsidRPr="004C68AF">
              <w:rPr>
                <w:rFonts w:ascii="Calibri" w:eastAsia="Times New Roman" w:hAnsi="Calibri" w:cs="Calibri"/>
                <w:color w:val="000000"/>
                <w:kern w:val="0"/>
                <w:sz w:val="22"/>
                <w:szCs w:val="22"/>
                <w14:ligatures w14:val="none"/>
              </w:rPr>
              <w:t>If samples were stored prior to time zero, specify sample storage conditions,</w:t>
            </w:r>
          </w:p>
          <w:p w14:paraId="3C86FBFD" w14:textId="77777777" w:rsidR="004A2B57" w:rsidRDefault="004A2B57" w:rsidP="002E1466">
            <w:pPr>
              <w:numPr>
                <w:ilvl w:val="0"/>
                <w:numId w:val="11"/>
              </w:numPr>
              <w:spacing w:after="0" w:line="240" w:lineRule="auto"/>
              <w:rPr>
                <w:rFonts w:ascii="Calibri" w:eastAsia="Times New Roman" w:hAnsi="Calibri" w:cs="Calibri"/>
                <w:color w:val="000000"/>
                <w:kern w:val="0"/>
                <w:sz w:val="22"/>
                <w:szCs w:val="22"/>
                <w14:ligatures w14:val="none"/>
              </w:rPr>
            </w:pPr>
            <w:r w:rsidRPr="004C68AF">
              <w:rPr>
                <w:rFonts w:ascii="Calibri" w:eastAsia="Times New Roman" w:hAnsi="Calibri" w:cs="Calibri"/>
                <w:color w:val="000000"/>
                <w:kern w:val="0"/>
                <w:sz w:val="22"/>
                <w:szCs w:val="22"/>
                <w14:ligatures w14:val="none"/>
              </w:rPr>
              <w:t>If samples were frozen, please state how samples were thawed,</w:t>
            </w:r>
          </w:p>
          <w:p w14:paraId="77E43742" w14:textId="77777777" w:rsidR="004A2B57" w:rsidRPr="004F02E8" w:rsidRDefault="004A2B57" w:rsidP="002E1466">
            <w:pPr>
              <w:numPr>
                <w:ilvl w:val="0"/>
                <w:numId w:val="11"/>
              </w:numPr>
              <w:spacing w:after="0" w:line="240" w:lineRule="auto"/>
              <w:rPr>
                <w:rFonts w:ascii="Calibri" w:eastAsia="Times New Roman" w:hAnsi="Calibri" w:cs="Calibri"/>
                <w:color w:val="000000"/>
                <w:kern w:val="0"/>
                <w:sz w:val="22"/>
                <w:szCs w:val="22"/>
                <w14:ligatures w14:val="none"/>
              </w:rPr>
            </w:pPr>
            <w:r w:rsidRPr="004F02E8">
              <w:rPr>
                <w:rFonts w:ascii="Calibri" w:eastAsia="Times New Roman" w:hAnsi="Calibri" w:cs="Calibri"/>
                <w:color w:val="000000"/>
                <w:kern w:val="0"/>
                <w:sz w:val="22"/>
                <w:szCs w:val="22"/>
                <w14:ligatures w14:val="none"/>
              </w:rPr>
              <w:t>State how temperatures were monitored throughout the process (measurement device, measurement method, measurement time points, device calibration status, etc.),</w:t>
            </w:r>
          </w:p>
          <w:p w14:paraId="0928C419" w14:textId="77777777" w:rsidR="004A2B57" w:rsidRPr="004F02E8" w:rsidRDefault="004A2B57" w:rsidP="002E1466">
            <w:pPr>
              <w:numPr>
                <w:ilvl w:val="0"/>
                <w:numId w:val="11"/>
              </w:numPr>
              <w:spacing w:after="0" w:line="240" w:lineRule="auto"/>
              <w:rPr>
                <w:rFonts w:ascii="Calibri" w:eastAsia="Times New Roman" w:hAnsi="Calibri" w:cs="Calibri"/>
                <w:color w:val="000000"/>
                <w:kern w:val="0"/>
                <w:sz w:val="22"/>
                <w:szCs w:val="22"/>
                <w14:ligatures w14:val="none"/>
              </w:rPr>
            </w:pPr>
            <w:r w:rsidRPr="004F02E8">
              <w:rPr>
                <w:rFonts w:ascii="Calibri" w:eastAsia="Times New Roman" w:hAnsi="Calibri" w:cs="Calibri"/>
                <w:color w:val="000000"/>
                <w:kern w:val="0"/>
                <w:sz w:val="22"/>
                <w:szCs w:val="22"/>
                <w14:ligatures w14:val="none"/>
              </w:rPr>
              <w:t>State any additional preanalytical sources of biases that may have been introduced.</w:t>
            </w:r>
          </w:p>
          <w:p w14:paraId="74B77C12" w14:textId="627047FF" w:rsidR="004A2B57" w:rsidRPr="004C68AF" w:rsidRDefault="004A2B57" w:rsidP="002E1466">
            <w:pPr>
              <w:spacing w:after="0" w:line="240" w:lineRule="auto"/>
              <w:ind w:left="720"/>
              <w:rPr>
                <w:rFonts w:ascii="Calibri" w:eastAsia="Times New Roman" w:hAnsi="Calibri" w:cs="Calibri"/>
                <w:color w:val="000000"/>
                <w:kern w:val="0"/>
                <w:sz w:val="22"/>
                <w:szCs w:val="22"/>
                <w14:ligatures w14:val="none"/>
              </w:rPr>
            </w:pPr>
          </w:p>
        </w:tc>
        <w:tc>
          <w:tcPr>
            <w:tcW w:w="4860" w:type="dxa"/>
            <w:noWrap/>
          </w:tcPr>
          <w:p w14:paraId="3E1FB3E1" w14:textId="3B343510"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lastRenderedPageBreak/>
              <w:t>Venous b</w:t>
            </w:r>
            <w:r w:rsidRPr="006A446A">
              <w:rPr>
                <w:rFonts w:ascii="Calibri" w:eastAsia="Times New Roman" w:hAnsi="Calibri" w:cs="Calibri"/>
                <w:color w:val="000000"/>
                <w:kern w:val="0"/>
                <w:sz w:val="22"/>
                <w:szCs w:val="22"/>
                <w14:ligatures w14:val="none"/>
              </w:rPr>
              <w:t>lood</w:t>
            </w:r>
            <w:r>
              <w:rPr>
                <w:rFonts w:ascii="Calibri" w:eastAsia="Times New Roman" w:hAnsi="Calibri" w:cs="Calibri"/>
                <w:color w:val="000000"/>
                <w:kern w:val="0"/>
                <w:sz w:val="22"/>
                <w:szCs w:val="22"/>
                <w14:ligatures w14:val="none"/>
              </w:rPr>
              <w:t xml:space="preserve"> was</w:t>
            </w:r>
            <w:r w:rsidRPr="006A446A">
              <w:rPr>
                <w:rFonts w:ascii="Calibri" w:eastAsia="Times New Roman" w:hAnsi="Calibri" w:cs="Calibri"/>
                <w:color w:val="000000"/>
                <w:kern w:val="0"/>
                <w:sz w:val="22"/>
                <w:szCs w:val="22"/>
                <w14:ligatures w14:val="none"/>
              </w:rPr>
              <w:t xml:space="preserve"> collected in K2EDTA tubes, centrifuged within 30 min</w:t>
            </w:r>
            <w:r>
              <w:rPr>
                <w:rFonts w:ascii="Calibri" w:eastAsia="Times New Roman" w:hAnsi="Calibri" w:cs="Calibri"/>
                <w:color w:val="000000"/>
                <w:kern w:val="0"/>
                <w:sz w:val="22"/>
                <w:szCs w:val="22"/>
                <w14:ligatures w14:val="none"/>
              </w:rPr>
              <w:t xml:space="preserve"> of collection</w:t>
            </w:r>
            <w:r w:rsidRPr="006A446A">
              <w:rPr>
                <w:rFonts w:ascii="Calibri" w:eastAsia="Times New Roman" w:hAnsi="Calibri" w:cs="Calibri"/>
                <w:color w:val="000000"/>
                <w:kern w:val="0"/>
                <w:sz w:val="22"/>
                <w:szCs w:val="22"/>
                <w14:ligatures w14:val="none"/>
              </w:rPr>
              <w:t xml:space="preserve"> (2200 g, 10 min),</w:t>
            </w:r>
            <w:r>
              <w:rPr>
                <w:rFonts w:ascii="Calibri" w:eastAsia="Times New Roman" w:hAnsi="Calibri" w:cs="Calibri"/>
                <w:color w:val="000000"/>
                <w:kern w:val="0"/>
                <w:sz w:val="22"/>
                <w:szCs w:val="22"/>
                <w14:ligatures w14:val="none"/>
              </w:rPr>
              <w:t xml:space="preserve"> to separate plasma from blood cells. Then</w:t>
            </w:r>
            <w:r w:rsidRPr="006A446A">
              <w:rPr>
                <w:rFonts w:ascii="Calibri" w:eastAsia="Times New Roman" w:hAnsi="Calibri" w:cs="Calibri"/>
                <w:color w:val="000000"/>
                <w:kern w:val="0"/>
                <w:sz w:val="22"/>
                <w:szCs w:val="22"/>
                <w14:ligatures w14:val="none"/>
              </w:rPr>
              <w:t xml:space="preserve"> stored at 4°C for 0, 24, 72h, then aliquoted and </w:t>
            </w:r>
            <w:r w:rsidRPr="006A446A">
              <w:rPr>
                <w:rFonts w:ascii="Calibri" w:eastAsia="Times New Roman" w:hAnsi="Calibri" w:cs="Calibri"/>
                <w:color w:val="000000"/>
                <w:kern w:val="0"/>
                <w:sz w:val="22"/>
                <w:szCs w:val="22"/>
                <w14:ligatures w14:val="none"/>
              </w:rPr>
              <w:lastRenderedPageBreak/>
              <w:t xml:space="preserve">frozen at –80°C. </w:t>
            </w:r>
            <w:r>
              <w:rPr>
                <w:rFonts w:ascii="Calibri" w:eastAsia="Times New Roman" w:hAnsi="Calibri" w:cs="Calibri"/>
                <w:color w:val="000000"/>
                <w:kern w:val="0"/>
                <w:sz w:val="22"/>
                <w:szCs w:val="22"/>
                <w14:ligatures w14:val="none"/>
              </w:rPr>
              <w:t>Samples were then transferred to another lab for analysis on dry ice (30 minutes). Samples were stored in -80 before analysis. Storage t</w:t>
            </w:r>
            <w:r w:rsidRPr="006A446A">
              <w:rPr>
                <w:rFonts w:ascii="Calibri" w:eastAsia="Times New Roman" w:hAnsi="Calibri" w:cs="Calibri"/>
                <w:color w:val="000000"/>
                <w:kern w:val="0"/>
                <w:sz w:val="22"/>
                <w:szCs w:val="22"/>
                <w14:ligatures w14:val="none"/>
              </w:rPr>
              <w:t xml:space="preserve">emperature </w:t>
            </w:r>
            <w:r>
              <w:rPr>
                <w:rFonts w:ascii="Calibri" w:eastAsia="Times New Roman" w:hAnsi="Calibri" w:cs="Calibri"/>
                <w:color w:val="000000"/>
                <w:kern w:val="0"/>
                <w:sz w:val="22"/>
                <w:szCs w:val="22"/>
                <w14:ligatures w14:val="none"/>
              </w:rPr>
              <w:t xml:space="preserve">was </w:t>
            </w:r>
            <w:r w:rsidRPr="006A446A">
              <w:rPr>
                <w:rFonts w:ascii="Calibri" w:eastAsia="Times New Roman" w:hAnsi="Calibri" w:cs="Calibri"/>
                <w:color w:val="000000"/>
                <w:kern w:val="0"/>
                <w:sz w:val="22"/>
                <w:szCs w:val="22"/>
                <w14:ligatures w14:val="none"/>
              </w:rPr>
              <w:t>monitored</w:t>
            </w:r>
            <w:r>
              <w:rPr>
                <w:rFonts w:ascii="Calibri" w:eastAsia="Times New Roman" w:hAnsi="Calibri" w:cs="Calibri"/>
                <w:color w:val="000000"/>
                <w:kern w:val="0"/>
                <w:sz w:val="22"/>
                <w:szCs w:val="22"/>
                <w14:ligatures w14:val="none"/>
              </w:rPr>
              <w:t xml:space="preserve"> throughout the study</w:t>
            </w:r>
            <w:r w:rsidRPr="006A446A">
              <w:rPr>
                <w:rFonts w:ascii="Calibri" w:eastAsia="Times New Roman" w:hAnsi="Calibri" w:cs="Calibri"/>
                <w:color w:val="000000"/>
                <w:kern w:val="0"/>
                <w:sz w:val="22"/>
                <w:szCs w:val="22"/>
                <w14:ligatures w14:val="none"/>
              </w:rPr>
              <w:t xml:space="preserve">. </w:t>
            </w:r>
            <w:r>
              <w:rPr>
                <w:rFonts w:ascii="Calibri" w:eastAsia="Times New Roman" w:hAnsi="Calibri" w:cs="Calibri"/>
                <w:color w:val="000000"/>
                <w:kern w:val="0"/>
                <w:sz w:val="22"/>
                <w:szCs w:val="22"/>
                <w14:ligatures w14:val="none"/>
              </w:rPr>
              <w:t>Samples were t</w:t>
            </w:r>
            <w:r w:rsidRPr="006A446A">
              <w:rPr>
                <w:rFonts w:ascii="Calibri" w:eastAsia="Times New Roman" w:hAnsi="Calibri" w:cs="Calibri"/>
                <w:color w:val="000000"/>
                <w:kern w:val="0"/>
                <w:sz w:val="22"/>
                <w:szCs w:val="22"/>
                <w14:ligatures w14:val="none"/>
              </w:rPr>
              <w:t>hawed at RT for 1 hour before analysis.</w:t>
            </w:r>
          </w:p>
        </w:tc>
      </w:tr>
      <w:tr w:rsidR="004A2B57" w:rsidRPr="00527948" w14:paraId="3D8D46A6" w14:textId="3AA38C96" w:rsidTr="004A2B57">
        <w:trPr>
          <w:trHeight w:val="290"/>
          <w:jc w:val="center"/>
        </w:trPr>
        <w:tc>
          <w:tcPr>
            <w:tcW w:w="1981" w:type="dxa"/>
            <w:noWrap/>
            <w:hideMark/>
          </w:tcPr>
          <w:p w14:paraId="3720808B" w14:textId="213404EB"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lastRenderedPageBreak/>
              <w:t>Analytical procedure</w:t>
            </w:r>
          </w:p>
        </w:tc>
        <w:tc>
          <w:tcPr>
            <w:tcW w:w="1137" w:type="dxa"/>
          </w:tcPr>
          <w:p w14:paraId="2A9A749E" w14:textId="10260172"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10</w:t>
            </w:r>
          </w:p>
        </w:tc>
        <w:tc>
          <w:tcPr>
            <w:tcW w:w="5702" w:type="dxa"/>
          </w:tcPr>
          <w:p w14:paraId="1ED1B0AD" w14:textId="242803D8" w:rsidR="004A2B57" w:rsidRPr="00B0431A" w:rsidRDefault="004A2B57" w:rsidP="002E1466">
            <w:pPr>
              <w:pStyle w:val="ListParagraph"/>
              <w:numPr>
                <w:ilvl w:val="0"/>
                <w:numId w:val="20"/>
              </w:numPr>
              <w:rPr>
                <w:rFonts w:ascii="Calibri" w:eastAsia="Times New Roman" w:hAnsi="Calibri" w:cs="Calibri"/>
                <w:color w:val="000000"/>
                <w:kern w:val="0"/>
                <w:sz w:val="22"/>
                <w:szCs w:val="22"/>
                <w14:ligatures w14:val="none"/>
              </w:rPr>
            </w:pPr>
            <w:r w:rsidRPr="00B0431A">
              <w:rPr>
                <w:rFonts w:ascii="Calibri" w:eastAsia="Times New Roman" w:hAnsi="Calibri" w:cs="Calibri"/>
                <w:color w:val="000000"/>
                <w:kern w:val="0"/>
                <w:sz w:val="22"/>
                <w:szCs w:val="22"/>
                <w14:ligatures w14:val="none"/>
              </w:rPr>
              <w:t>State the method of analysis, analytical platform, relevant details of the reaction including any deviations from manufacturers recommendations,</w:t>
            </w:r>
          </w:p>
          <w:p w14:paraId="4B672E05" w14:textId="48988922" w:rsidR="004A2B57" w:rsidRPr="00B0431A" w:rsidRDefault="004A2B57" w:rsidP="002E1466">
            <w:pPr>
              <w:numPr>
                <w:ilvl w:val="0"/>
                <w:numId w:val="20"/>
              </w:numPr>
              <w:spacing w:after="0" w:line="240" w:lineRule="auto"/>
              <w:rPr>
                <w:rFonts w:ascii="Calibri" w:eastAsia="Times New Roman" w:hAnsi="Calibri" w:cs="Calibri"/>
                <w:color w:val="000000"/>
                <w:kern w:val="0"/>
                <w:sz w:val="22"/>
                <w:szCs w:val="22"/>
                <w14:ligatures w14:val="none"/>
              </w:rPr>
            </w:pPr>
            <w:r w:rsidRPr="00B0431A">
              <w:rPr>
                <w:rFonts w:ascii="Calibri" w:eastAsia="Times New Roman" w:hAnsi="Calibri" w:cs="Calibri"/>
                <w:color w:val="000000"/>
                <w:kern w:val="0"/>
                <w:sz w:val="22"/>
                <w:szCs w:val="22"/>
                <w14:ligatures w14:val="none"/>
              </w:rPr>
              <w:t>Define assay traceability to international standards,</w:t>
            </w:r>
          </w:p>
          <w:p w14:paraId="505D63A9" w14:textId="77777777" w:rsidR="004A2B57" w:rsidRPr="00B0431A" w:rsidRDefault="004A2B57" w:rsidP="002E1466">
            <w:pPr>
              <w:numPr>
                <w:ilvl w:val="0"/>
                <w:numId w:val="20"/>
              </w:numPr>
              <w:spacing w:after="0" w:line="240" w:lineRule="auto"/>
              <w:rPr>
                <w:rFonts w:ascii="Calibri" w:eastAsia="Times New Roman" w:hAnsi="Calibri" w:cs="Calibri"/>
                <w:color w:val="000000"/>
                <w:kern w:val="0"/>
                <w:sz w:val="22"/>
                <w:szCs w:val="22"/>
                <w14:ligatures w14:val="none"/>
              </w:rPr>
            </w:pPr>
            <w:r w:rsidRPr="00B0431A">
              <w:rPr>
                <w:rFonts w:ascii="Calibri" w:eastAsia="Times New Roman" w:hAnsi="Calibri" w:cs="Calibri"/>
                <w:color w:val="000000"/>
                <w:kern w:val="0"/>
                <w:sz w:val="22"/>
                <w:szCs w:val="22"/>
                <w14:ligatures w14:val="none"/>
              </w:rPr>
              <w:t>State the number of replicate analyses,</w:t>
            </w:r>
          </w:p>
          <w:p w14:paraId="29C52F2D" w14:textId="77777777" w:rsidR="004A2B57" w:rsidRPr="00B0431A" w:rsidRDefault="004A2B57" w:rsidP="002E1466">
            <w:pPr>
              <w:numPr>
                <w:ilvl w:val="0"/>
                <w:numId w:val="20"/>
              </w:numPr>
              <w:spacing w:after="0" w:line="240" w:lineRule="auto"/>
              <w:rPr>
                <w:rFonts w:ascii="Calibri" w:eastAsia="Times New Roman" w:hAnsi="Calibri" w:cs="Calibri"/>
                <w:color w:val="000000"/>
                <w:kern w:val="0"/>
                <w:sz w:val="22"/>
                <w:szCs w:val="22"/>
                <w14:ligatures w14:val="none"/>
              </w:rPr>
            </w:pPr>
            <w:r w:rsidRPr="00B0431A">
              <w:rPr>
                <w:rFonts w:ascii="Calibri" w:eastAsia="Times New Roman" w:hAnsi="Calibri" w:cs="Calibri"/>
                <w:color w:val="000000"/>
                <w:kern w:val="0"/>
                <w:sz w:val="22"/>
                <w:szCs w:val="22"/>
                <w14:ligatures w14:val="none"/>
              </w:rPr>
              <w:t>State within and between batch variation (CVA%) at the concentration level close to concentrations studied in the stability experiment (state if data are from the manufacturer or from in-house verification study),</w:t>
            </w:r>
          </w:p>
          <w:p w14:paraId="0CAF9097" w14:textId="77777777" w:rsidR="004A2B57" w:rsidRPr="00B0431A" w:rsidRDefault="004A2B57" w:rsidP="002E1466">
            <w:pPr>
              <w:numPr>
                <w:ilvl w:val="0"/>
                <w:numId w:val="20"/>
              </w:numPr>
              <w:spacing w:after="0" w:line="240" w:lineRule="auto"/>
              <w:rPr>
                <w:rFonts w:ascii="Calibri" w:eastAsia="Times New Roman" w:hAnsi="Calibri" w:cs="Calibri"/>
                <w:color w:val="000000"/>
                <w:kern w:val="0"/>
                <w:sz w:val="22"/>
                <w:szCs w:val="22"/>
                <w14:ligatures w14:val="none"/>
              </w:rPr>
            </w:pPr>
            <w:r w:rsidRPr="00B0431A">
              <w:rPr>
                <w:rFonts w:ascii="Calibri" w:eastAsia="Times New Roman" w:hAnsi="Calibri" w:cs="Calibri"/>
                <w:color w:val="000000"/>
                <w:kern w:val="0"/>
                <w:sz w:val="22"/>
                <w:szCs w:val="22"/>
                <w14:ligatures w14:val="none"/>
              </w:rPr>
              <w:lastRenderedPageBreak/>
              <w:t>State a protocol (provide a reference) according to which CVA (%) was obtained (if in-house data are provided),</w:t>
            </w:r>
          </w:p>
          <w:p w14:paraId="464AB005" w14:textId="77777777" w:rsidR="004A2B57" w:rsidRPr="00B0431A" w:rsidRDefault="004A2B57" w:rsidP="002E1466">
            <w:pPr>
              <w:numPr>
                <w:ilvl w:val="0"/>
                <w:numId w:val="20"/>
              </w:numPr>
              <w:spacing w:after="0" w:line="240" w:lineRule="auto"/>
              <w:rPr>
                <w:rFonts w:ascii="Calibri" w:eastAsia="Times New Roman" w:hAnsi="Calibri" w:cs="Calibri"/>
                <w:color w:val="000000"/>
                <w:kern w:val="0"/>
                <w:sz w:val="22"/>
                <w:szCs w:val="22"/>
                <w14:ligatures w14:val="none"/>
              </w:rPr>
            </w:pPr>
            <w:r w:rsidRPr="00B0431A">
              <w:rPr>
                <w:rFonts w:ascii="Calibri" w:eastAsia="Times New Roman" w:hAnsi="Calibri" w:cs="Calibri"/>
                <w:color w:val="000000"/>
                <w:kern w:val="0"/>
                <w:sz w:val="22"/>
                <w:szCs w:val="22"/>
                <w14:ligatures w14:val="none"/>
              </w:rPr>
              <w:t>Define whether analysis was done as a single batch or multiple batches</w:t>
            </w:r>
          </w:p>
          <w:p w14:paraId="39BADC9C" w14:textId="14883651" w:rsidR="004A2B57" w:rsidRPr="00B0431A" w:rsidRDefault="004A2B57" w:rsidP="002E1466">
            <w:pPr>
              <w:numPr>
                <w:ilvl w:val="0"/>
                <w:numId w:val="20"/>
              </w:numPr>
              <w:spacing w:after="0" w:line="240" w:lineRule="auto"/>
              <w:rPr>
                <w:rFonts w:ascii="Calibri" w:eastAsia="Times New Roman" w:hAnsi="Calibri" w:cs="Calibri"/>
                <w:color w:val="000000"/>
                <w:kern w:val="0"/>
                <w:sz w:val="22"/>
                <w:szCs w:val="22"/>
                <w14:ligatures w14:val="none"/>
              </w:rPr>
            </w:pPr>
            <w:r w:rsidRPr="00B0431A">
              <w:rPr>
                <w:rFonts w:ascii="Calibri" w:eastAsia="Times New Roman" w:hAnsi="Calibri" w:cs="Calibri"/>
                <w:color w:val="000000"/>
                <w:kern w:val="0"/>
                <w:sz w:val="22"/>
                <w:szCs w:val="22"/>
                <w14:ligatures w14:val="none"/>
              </w:rPr>
              <w:t>If samples were run in multiple batches, state relevant conditions between batches and how bias between batches was controlled.</w:t>
            </w:r>
          </w:p>
        </w:tc>
        <w:tc>
          <w:tcPr>
            <w:tcW w:w="4860" w:type="dxa"/>
            <w:noWrap/>
            <w:hideMark/>
          </w:tcPr>
          <w:p w14:paraId="74F030CE" w14:textId="753C8BBA"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sidRPr="00527948">
              <w:rPr>
                <w:rFonts w:ascii="Calibri" w:eastAsia="Times New Roman" w:hAnsi="Calibri" w:cs="Calibri"/>
                <w:color w:val="000000"/>
                <w:kern w:val="0"/>
                <w:sz w:val="22"/>
                <w:szCs w:val="22"/>
                <w14:ligatures w14:val="none"/>
              </w:rPr>
              <w:lastRenderedPageBreak/>
              <w:t>Global LC–MS metabolomics and lipidomics were performed using validated platforms. Instrumentation, ionization modes, and column types are described</w:t>
            </w:r>
            <w:r>
              <w:rPr>
                <w:rFonts w:ascii="Calibri" w:eastAsia="Times New Roman" w:hAnsi="Calibri" w:cs="Calibri"/>
                <w:color w:val="000000"/>
                <w:kern w:val="0"/>
                <w:sz w:val="22"/>
                <w:szCs w:val="22"/>
                <w14:ligatures w14:val="none"/>
              </w:rPr>
              <w:t xml:space="preserve"> in the supplementary information</w:t>
            </w:r>
            <w:r w:rsidRPr="00527948">
              <w:rPr>
                <w:rFonts w:ascii="Calibri" w:eastAsia="Times New Roman" w:hAnsi="Calibri" w:cs="Calibri"/>
                <w:color w:val="000000"/>
                <w:kern w:val="0"/>
                <w:sz w:val="22"/>
                <w:szCs w:val="22"/>
                <w14:ligatures w14:val="none"/>
              </w:rPr>
              <w:t xml:space="preserve">. </w:t>
            </w:r>
            <w:r>
              <w:rPr>
                <w:rFonts w:ascii="Calibri" w:eastAsia="Times New Roman" w:hAnsi="Calibri" w:cs="Calibri"/>
                <w:color w:val="000000"/>
                <w:kern w:val="0"/>
                <w:sz w:val="22"/>
                <w:szCs w:val="22"/>
                <w14:ligatures w14:val="none"/>
              </w:rPr>
              <w:t xml:space="preserve">Internal standards were not used in sample preparation, but it is included in our system suitability test which we use to quality assure the instrumentation before each analysis. </w:t>
            </w:r>
            <w:r w:rsidRPr="00527948">
              <w:rPr>
                <w:rFonts w:ascii="Calibri" w:eastAsia="Times New Roman" w:hAnsi="Calibri" w:cs="Calibri"/>
                <w:color w:val="000000"/>
                <w:kern w:val="0"/>
                <w:sz w:val="22"/>
                <w:szCs w:val="22"/>
                <w14:ligatures w14:val="none"/>
              </w:rPr>
              <w:t>P</w:t>
            </w:r>
            <w:r>
              <w:rPr>
                <w:rFonts w:ascii="Calibri" w:eastAsia="Times New Roman" w:hAnsi="Calibri" w:cs="Calibri"/>
                <w:color w:val="000000"/>
                <w:kern w:val="0"/>
                <w:sz w:val="22"/>
                <w:szCs w:val="22"/>
                <w14:ligatures w14:val="none"/>
              </w:rPr>
              <w:t>ooled quality controls,</w:t>
            </w:r>
            <w:r w:rsidRPr="00527948">
              <w:rPr>
                <w:rFonts w:ascii="Calibri" w:eastAsia="Times New Roman" w:hAnsi="Calibri" w:cs="Calibri"/>
                <w:color w:val="000000"/>
                <w:kern w:val="0"/>
                <w:sz w:val="22"/>
                <w:szCs w:val="22"/>
                <w14:ligatures w14:val="none"/>
              </w:rPr>
              <w:t xml:space="preserve"> extraction blanks, solvent blanks and were </w:t>
            </w:r>
            <w:r>
              <w:rPr>
                <w:rFonts w:ascii="Calibri" w:eastAsia="Times New Roman" w:hAnsi="Calibri" w:cs="Calibri"/>
                <w:color w:val="000000"/>
                <w:kern w:val="0"/>
                <w:sz w:val="22"/>
                <w:szCs w:val="22"/>
                <w14:ligatures w14:val="none"/>
              </w:rPr>
              <w:t xml:space="preserve">also </w:t>
            </w:r>
            <w:r w:rsidRPr="00527948">
              <w:rPr>
                <w:rFonts w:ascii="Calibri" w:eastAsia="Times New Roman" w:hAnsi="Calibri" w:cs="Calibri"/>
                <w:color w:val="000000"/>
                <w:kern w:val="0"/>
                <w:sz w:val="22"/>
                <w:szCs w:val="22"/>
                <w14:ligatures w14:val="none"/>
              </w:rPr>
              <w:t>included.</w:t>
            </w:r>
            <w:r>
              <w:rPr>
                <w:rFonts w:ascii="Calibri" w:eastAsia="Times New Roman" w:hAnsi="Calibri" w:cs="Calibri"/>
                <w:color w:val="000000"/>
                <w:kern w:val="0"/>
                <w:sz w:val="22"/>
                <w:szCs w:val="22"/>
                <w14:ligatures w14:val="none"/>
              </w:rPr>
              <w:t xml:space="preserve"> Within batch variation is included in the supplementary information. As global metabolomics and lipidomics are hypothesis generating approaches, concentrations can not be </w:t>
            </w:r>
            <w:r>
              <w:rPr>
                <w:rFonts w:ascii="Calibri" w:eastAsia="Times New Roman" w:hAnsi="Calibri" w:cs="Calibri"/>
                <w:color w:val="000000"/>
                <w:kern w:val="0"/>
                <w:sz w:val="22"/>
                <w:szCs w:val="22"/>
                <w14:ligatures w14:val="none"/>
              </w:rPr>
              <w:lastRenderedPageBreak/>
              <w:t xml:space="preserve">given out. Instead we have added all the peak areas for each feature in each sample in the supplementary information. </w:t>
            </w:r>
          </w:p>
        </w:tc>
      </w:tr>
      <w:tr w:rsidR="004A2B57" w:rsidRPr="00527948" w14:paraId="48758FE9" w14:textId="77777777" w:rsidTr="004A2B57">
        <w:trPr>
          <w:trHeight w:val="290"/>
          <w:jc w:val="center"/>
        </w:trPr>
        <w:tc>
          <w:tcPr>
            <w:tcW w:w="1981" w:type="dxa"/>
            <w:noWrap/>
          </w:tcPr>
          <w:p w14:paraId="053733AC" w14:textId="25967307" w:rsidR="004A2B57"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lastRenderedPageBreak/>
              <w:t>Spiking studies</w:t>
            </w:r>
          </w:p>
        </w:tc>
        <w:tc>
          <w:tcPr>
            <w:tcW w:w="1137" w:type="dxa"/>
          </w:tcPr>
          <w:p w14:paraId="31C608C1" w14:textId="60A9ED69" w:rsidR="004A2B57"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11</w:t>
            </w:r>
          </w:p>
        </w:tc>
        <w:tc>
          <w:tcPr>
            <w:tcW w:w="5702" w:type="dxa"/>
          </w:tcPr>
          <w:p w14:paraId="154AA198" w14:textId="3D7FB86E" w:rsidR="004A2B57" w:rsidRPr="00AB4181" w:rsidRDefault="004A2B57" w:rsidP="002E1466">
            <w:pPr>
              <w:numPr>
                <w:ilvl w:val="0"/>
                <w:numId w:val="12"/>
              </w:numPr>
              <w:spacing w:after="0" w:line="240" w:lineRule="auto"/>
              <w:rPr>
                <w:rFonts w:ascii="Calibri" w:eastAsia="Times New Roman" w:hAnsi="Calibri" w:cs="Calibri"/>
                <w:color w:val="000000"/>
                <w:kern w:val="0"/>
                <w:sz w:val="22"/>
                <w:szCs w:val="22"/>
                <w14:ligatures w14:val="none"/>
              </w:rPr>
            </w:pPr>
            <w:r w:rsidRPr="00AB4181">
              <w:rPr>
                <w:rFonts w:ascii="Calibri" w:eastAsia="Times New Roman" w:hAnsi="Calibri" w:cs="Calibri"/>
                <w:color w:val="000000"/>
                <w:kern w:val="0"/>
                <w:sz w:val="22"/>
                <w:szCs w:val="22"/>
                <w14:ligatures w14:val="none"/>
              </w:rPr>
              <w:t>Define how (if any) spiking studies were performed.</w:t>
            </w:r>
          </w:p>
        </w:tc>
        <w:tc>
          <w:tcPr>
            <w:tcW w:w="4860" w:type="dxa"/>
            <w:noWrap/>
          </w:tcPr>
          <w:p w14:paraId="6B25F0A6" w14:textId="0137DB29"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sidRPr="006A446A">
              <w:rPr>
                <w:rFonts w:ascii="Calibri" w:eastAsia="Times New Roman" w:hAnsi="Calibri" w:cs="Calibri"/>
                <w:color w:val="000000"/>
                <w:kern w:val="0"/>
                <w:sz w:val="22"/>
                <w:szCs w:val="22"/>
                <w14:ligatures w14:val="none"/>
              </w:rPr>
              <w:t>No spiking studies were performed.</w:t>
            </w:r>
          </w:p>
        </w:tc>
      </w:tr>
      <w:tr w:rsidR="004A2B57" w:rsidRPr="00527948" w14:paraId="1FBC5885" w14:textId="77777777" w:rsidTr="004A2B57">
        <w:trPr>
          <w:trHeight w:val="290"/>
          <w:jc w:val="center"/>
        </w:trPr>
        <w:tc>
          <w:tcPr>
            <w:tcW w:w="1981" w:type="dxa"/>
            <w:noWrap/>
          </w:tcPr>
          <w:p w14:paraId="0833A5C7" w14:textId="61F60E2E" w:rsidR="004A2B57"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Length of study</w:t>
            </w:r>
          </w:p>
        </w:tc>
        <w:tc>
          <w:tcPr>
            <w:tcW w:w="1137" w:type="dxa"/>
          </w:tcPr>
          <w:p w14:paraId="406B7C77" w14:textId="65D4E233" w:rsidR="004A2B57"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12</w:t>
            </w:r>
          </w:p>
        </w:tc>
        <w:tc>
          <w:tcPr>
            <w:tcW w:w="5702" w:type="dxa"/>
          </w:tcPr>
          <w:p w14:paraId="7692AB68" w14:textId="57C39BB9" w:rsidR="004A2B57" w:rsidRPr="00AF0D8C" w:rsidRDefault="004A2B57" w:rsidP="002E1466">
            <w:pPr>
              <w:numPr>
                <w:ilvl w:val="0"/>
                <w:numId w:val="13"/>
              </w:numPr>
              <w:spacing w:after="0" w:line="240" w:lineRule="auto"/>
              <w:rPr>
                <w:rFonts w:ascii="Calibri" w:eastAsia="Times New Roman" w:hAnsi="Calibri" w:cs="Calibri"/>
                <w:color w:val="000000"/>
                <w:kern w:val="0"/>
                <w:sz w:val="22"/>
                <w:szCs w:val="22"/>
                <w14:ligatures w14:val="none"/>
              </w:rPr>
            </w:pPr>
            <w:r w:rsidRPr="00AF0D8C">
              <w:rPr>
                <w:rFonts w:ascii="Calibri" w:eastAsia="Times New Roman" w:hAnsi="Calibri" w:cs="Calibri"/>
                <w:color w:val="000000"/>
                <w:kern w:val="0"/>
                <w:sz w:val="22"/>
                <w:szCs w:val="22"/>
                <w14:ligatures w14:val="none"/>
              </w:rPr>
              <w:t>State the duration over which stability of the analytes in each sample will be measured in the study and the frequency of time points</w:t>
            </w:r>
          </w:p>
        </w:tc>
        <w:tc>
          <w:tcPr>
            <w:tcW w:w="4860" w:type="dxa"/>
            <w:noWrap/>
          </w:tcPr>
          <w:p w14:paraId="73C6AE3D" w14:textId="2809E197"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sidRPr="00B231F1">
              <w:rPr>
                <w:rFonts w:ascii="Calibri" w:eastAsia="Times New Roman" w:hAnsi="Calibri" w:cs="Calibri"/>
                <w:color w:val="000000"/>
                <w:kern w:val="0"/>
                <w:sz w:val="22"/>
                <w:szCs w:val="22"/>
                <w14:ligatures w14:val="none"/>
              </w:rPr>
              <w:t>Stability assessed at 0, 24, and 72 hours post-centrifugation. Freeze–thaw cycle assessed after 3 months.</w:t>
            </w:r>
          </w:p>
        </w:tc>
      </w:tr>
      <w:tr w:rsidR="004A2B57" w:rsidRPr="00527948" w14:paraId="08201CB1" w14:textId="77777777" w:rsidTr="004A2B57">
        <w:trPr>
          <w:trHeight w:val="290"/>
          <w:jc w:val="center"/>
        </w:trPr>
        <w:tc>
          <w:tcPr>
            <w:tcW w:w="1981" w:type="dxa"/>
            <w:noWrap/>
          </w:tcPr>
          <w:p w14:paraId="6B9A74E1" w14:textId="3F5DDECA" w:rsidR="004A2B57"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Storage conditions</w:t>
            </w:r>
          </w:p>
        </w:tc>
        <w:tc>
          <w:tcPr>
            <w:tcW w:w="1137" w:type="dxa"/>
          </w:tcPr>
          <w:p w14:paraId="1F82CBE9" w14:textId="0FFE6CDD" w:rsidR="004A2B57"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13</w:t>
            </w:r>
          </w:p>
        </w:tc>
        <w:tc>
          <w:tcPr>
            <w:tcW w:w="5702" w:type="dxa"/>
          </w:tcPr>
          <w:p w14:paraId="2DAC86DB" w14:textId="77777777" w:rsidR="004A2B57" w:rsidRPr="00AF0D8C" w:rsidRDefault="004A2B57" w:rsidP="002E1466">
            <w:pPr>
              <w:numPr>
                <w:ilvl w:val="0"/>
                <w:numId w:val="14"/>
              </w:numPr>
              <w:spacing w:after="0" w:line="240" w:lineRule="auto"/>
              <w:rPr>
                <w:rFonts w:ascii="Calibri" w:eastAsia="Times New Roman" w:hAnsi="Calibri" w:cs="Calibri"/>
                <w:color w:val="000000"/>
                <w:kern w:val="0"/>
                <w:sz w:val="22"/>
                <w:szCs w:val="22"/>
                <w14:ligatures w14:val="none"/>
              </w:rPr>
            </w:pPr>
            <w:r w:rsidRPr="00AF0D8C">
              <w:rPr>
                <w:rFonts w:ascii="Calibri" w:eastAsia="Times New Roman" w:hAnsi="Calibri" w:cs="Calibri"/>
                <w:color w:val="000000"/>
                <w:kern w:val="0"/>
                <w:sz w:val="22"/>
                <w:szCs w:val="22"/>
                <w14:ligatures w14:val="none"/>
              </w:rPr>
              <w:t>Clearly define the storage conditions during the experiment and how they were recorded and controlled,</w:t>
            </w:r>
          </w:p>
          <w:p w14:paraId="77D559F8" w14:textId="4864846C" w:rsidR="004A2B57" w:rsidRPr="00AF0D8C" w:rsidRDefault="004A2B57" w:rsidP="002E1466">
            <w:pPr>
              <w:numPr>
                <w:ilvl w:val="0"/>
                <w:numId w:val="14"/>
              </w:numPr>
              <w:spacing w:after="0" w:line="240" w:lineRule="auto"/>
              <w:rPr>
                <w:rFonts w:ascii="Calibri" w:eastAsia="Times New Roman" w:hAnsi="Calibri" w:cs="Calibri"/>
                <w:color w:val="000000"/>
                <w:kern w:val="0"/>
                <w:sz w:val="22"/>
                <w:szCs w:val="22"/>
                <w14:ligatures w14:val="none"/>
              </w:rPr>
            </w:pPr>
            <w:r w:rsidRPr="00AF0D8C">
              <w:rPr>
                <w:rFonts w:ascii="Calibri" w:eastAsia="Times New Roman" w:hAnsi="Calibri" w:cs="Calibri"/>
                <w:color w:val="000000"/>
                <w:kern w:val="0"/>
                <w:sz w:val="22"/>
                <w:szCs w:val="22"/>
                <w14:ligatures w14:val="none"/>
              </w:rPr>
              <w:t>State all relevant variables described in detail under Sections 7 and 9.</w:t>
            </w:r>
          </w:p>
        </w:tc>
        <w:tc>
          <w:tcPr>
            <w:tcW w:w="4860" w:type="dxa"/>
            <w:noWrap/>
          </w:tcPr>
          <w:p w14:paraId="4EE9855D" w14:textId="59DB08A7"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sidRPr="00527948">
              <w:rPr>
                <w:rFonts w:ascii="Calibri" w:eastAsia="Times New Roman" w:hAnsi="Calibri" w:cs="Calibri"/>
                <w:color w:val="000000"/>
                <w:kern w:val="0"/>
                <w:sz w:val="22"/>
                <w:szCs w:val="22"/>
                <w14:ligatures w14:val="none"/>
              </w:rPr>
              <w:t xml:space="preserve">Samples were stored at 4°C for 0, 24, and 72 hours post-centrifugation. </w:t>
            </w:r>
            <w:r>
              <w:rPr>
                <w:rFonts w:ascii="Calibri" w:eastAsia="Times New Roman" w:hAnsi="Calibri" w:cs="Calibri"/>
                <w:color w:val="000000"/>
                <w:kern w:val="0"/>
                <w:sz w:val="22"/>
                <w:szCs w:val="22"/>
                <w14:ligatures w14:val="none"/>
              </w:rPr>
              <w:t xml:space="preserve">Temperature was monitored throughout the study. </w:t>
            </w:r>
            <w:r w:rsidRPr="00527948">
              <w:rPr>
                <w:rFonts w:ascii="Calibri" w:eastAsia="Times New Roman" w:hAnsi="Calibri" w:cs="Calibri"/>
                <w:color w:val="000000"/>
                <w:kern w:val="0"/>
                <w:sz w:val="22"/>
                <w:szCs w:val="22"/>
                <w14:ligatures w14:val="none"/>
              </w:rPr>
              <w:t>Long-term storage was at –80°C. Freeze–thaw cycles were documented.</w:t>
            </w:r>
          </w:p>
        </w:tc>
      </w:tr>
      <w:tr w:rsidR="004A2B57" w:rsidRPr="00527948" w14:paraId="7CF4B23B" w14:textId="1CC8B1F8" w:rsidTr="004A2B57">
        <w:trPr>
          <w:trHeight w:val="290"/>
          <w:jc w:val="center"/>
        </w:trPr>
        <w:tc>
          <w:tcPr>
            <w:tcW w:w="1981" w:type="dxa"/>
            <w:noWrap/>
            <w:hideMark/>
          </w:tcPr>
          <w:p w14:paraId="2EB2B27B" w14:textId="2BCEC5E0"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Statistical analysis</w:t>
            </w:r>
          </w:p>
        </w:tc>
        <w:tc>
          <w:tcPr>
            <w:tcW w:w="1137" w:type="dxa"/>
          </w:tcPr>
          <w:p w14:paraId="296B9ABD" w14:textId="623F6DF5"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14</w:t>
            </w:r>
          </w:p>
        </w:tc>
        <w:tc>
          <w:tcPr>
            <w:tcW w:w="5702" w:type="dxa"/>
          </w:tcPr>
          <w:p w14:paraId="5F511382" w14:textId="77777777" w:rsidR="004A2B57" w:rsidRPr="00AF0D8C" w:rsidRDefault="004A2B57" w:rsidP="002E1466">
            <w:pPr>
              <w:numPr>
                <w:ilvl w:val="0"/>
                <w:numId w:val="15"/>
              </w:numPr>
              <w:spacing w:after="0" w:line="240" w:lineRule="auto"/>
              <w:rPr>
                <w:rFonts w:ascii="Calibri" w:eastAsia="Times New Roman" w:hAnsi="Calibri" w:cs="Calibri"/>
                <w:color w:val="000000"/>
                <w:kern w:val="0"/>
                <w:sz w:val="22"/>
                <w:szCs w:val="22"/>
                <w14:ligatures w14:val="none"/>
              </w:rPr>
            </w:pPr>
            <w:r w:rsidRPr="00AF0D8C">
              <w:rPr>
                <w:rFonts w:ascii="Calibri" w:eastAsia="Times New Roman" w:hAnsi="Calibri" w:cs="Calibri"/>
                <w:color w:val="000000"/>
                <w:kern w:val="0"/>
                <w:sz w:val="22"/>
                <w:szCs w:val="22"/>
                <w14:ligatures w14:val="none"/>
              </w:rPr>
              <w:t>Include details of how the sample size and the number of replicates required was justified and how this minimizes the effect of analytical imprecision,</w:t>
            </w:r>
          </w:p>
          <w:p w14:paraId="446645CE" w14:textId="77777777" w:rsidR="004A2B57" w:rsidRPr="00AF0D8C" w:rsidRDefault="004A2B57" w:rsidP="002E1466">
            <w:pPr>
              <w:numPr>
                <w:ilvl w:val="0"/>
                <w:numId w:val="15"/>
              </w:numPr>
              <w:spacing w:after="0" w:line="240" w:lineRule="auto"/>
              <w:rPr>
                <w:rFonts w:ascii="Calibri" w:eastAsia="Times New Roman" w:hAnsi="Calibri" w:cs="Calibri"/>
                <w:color w:val="000000"/>
                <w:kern w:val="0"/>
                <w:sz w:val="22"/>
                <w:szCs w:val="22"/>
                <w14:ligatures w14:val="none"/>
              </w:rPr>
            </w:pPr>
            <w:r w:rsidRPr="00AF0D8C">
              <w:rPr>
                <w:rFonts w:ascii="Calibri" w:eastAsia="Times New Roman" w:hAnsi="Calibri" w:cs="Calibri"/>
                <w:color w:val="000000"/>
                <w:kern w:val="0"/>
                <w:sz w:val="22"/>
                <w:szCs w:val="22"/>
                <w14:ligatures w14:val="none"/>
              </w:rPr>
              <w:t>State whether the mean or median of replicate samples was used,</w:t>
            </w:r>
          </w:p>
          <w:p w14:paraId="2290D90A" w14:textId="77777777" w:rsidR="004A2B57" w:rsidRPr="00AF0D8C" w:rsidRDefault="004A2B57" w:rsidP="002E1466">
            <w:pPr>
              <w:numPr>
                <w:ilvl w:val="0"/>
                <w:numId w:val="15"/>
              </w:numPr>
              <w:spacing w:after="0" w:line="240" w:lineRule="auto"/>
              <w:rPr>
                <w:rFonts w:ascii="Calibri" w:eastAsia="Times New Roman" w:hAnsi="Calibri" w:cs="Calibri"/>
                <w:color w:val="000000"/>
                <w:kern w:val="0"/>
                <w:sz w:val="22"/>
                <w:szCs w:val="22"/>
                <w14:ligatures w14:val="none"/>
              </w:rPr>
            </w:pPr>
            <w:r w:rsidRPr="00AF0D8C">
              <w:rPr>
                <w:rFonts w:ascii="Calibri" w:eastAsia="Times New Roman" w:hAnsi="Calibri" w:cs="Calibri"/>
                <w:color w:val="000000"/>
                <w:kern w:val="0"/>
                <w:sz w:val="22"/>
                <w:szCs w:val="22"/>
                <w14:ligatures w14:val="none"/>
              </w:rPr>
              <w:t>Define the instability equation,</w:t>
            </w:r>
          </w:p>
          <w:p w14:paraId="2DFE83C3" w14:textId="484D2B9E" w:rsidR="004A2B57" w:rsidRPr="00AF0D8C" w:rsidRDefault="004A2B57" w:rsidP="002E1466">
            <w:pPr>
              <w:numPr>
                <w:ilvl w:val="0"/>
                <w:numId w:val="15"/>
              </w:numPr>
              <w:spacing w:after="0" w:line="240" w:lineRule="auto"/>
              <w:rPr>
                <w:rFonts w:ascii="Calibri" w:eastAsia="Times New Roman" w:hAnsi="Calibri" w:cs="Calibri"/>
                <w:color w:val="000000"/>
                <w:kern w:val="0"/>
                <w:sz w:val="22"/>
                <w:szCs w:val="22"/>
                <w14:ligatures w14:val="none"/>
              </w:rPr>
            </w:pPr>
            <w:r w:rsidRPr="00AF0D8C">
              <w:rPr>
                <w:rFonts w:ascii="Calibri" w:eastAsia="Times New Roman" w:hAnsi="Calibri" w:cs="Calibri"/>
                <w:color w:val="000000"/>
                <w:kern w:val="0"/>
                <w:sz w:val="22"/>
                <w:szCs w:val="22"/>
                <w14:ligatures w14:val="none"/>
              </w:rPr>
              <w:t>State what statistical tools were and rationale behind their use.</w:t>
            </w:r>
          </w:p>
        </w:tc>
        <w:tc>
          <w:tcPr>
            <w:tcW w:w="4860" w:type="dxa"/>
            <w:noWrap/>
            <w:hideMark/>
          </w:tcPr>
          <w:p w14:paraId="1875DEE5" w14:textId="70B7992F"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 xml:space="preserve">To have all analysis within one batch we opted for sampling 20 patients, 3 samples per patient, bringing the total number of samples to 60. This was done to reduce the batch-to-batch variation which often occurs and can be a difficult challenge in global metabolomics and lipidomics. Having only 60 samples also made sure that the instrumental drift within one batch would be minimized as the samples would be analyzed quicker compared to having more samples. </w:t>
            </w:r>
            <w:r w:rsidRPr="00527948">
              <w:rPr>
                <w:rFonts w:ascii="Calibri" w:eastAsia="Times New Roman" w:hAnsi="Calibri" w:cs="Calibri"/>
                <w:color w:val="000000"/>
                <w:kern w:val="0"/>
                <w:sz w:val="22"/>
                <w:szCs w:val="22"/>
                <w14:ligatures w14:val="none"/>
              </w:rPr>
              <w:t>Data were processed using Compound Discoverer with SERRF QC correction. Statistical tests included ANOVA, t-test and Cohen’s d for effect size. PCA was used for global assessing variation.</w:t>
            </w:r>
            <w:r>
              <w:rPr>
                <w:rFonts w:ascii="Calibri" w:eastAsia="Times New Roman" w:hAnsi="Calibri" w:cs="Calibri"/>
                <w:color w:val="000000"/>
                <w:kern w:val="0"/>
                <w:sz w:val="22"/>
                <w:szCs w:val="22"/>
                <w14:ligatures w14:val="none"/>
              </w:rPr>
              <w:t xml:space="preserve"> Compond Discoverer is a commercial software designed for processing global metabolomics and lipidomics data, we added software version and data workflow used to the </w:t>
            </w:r>
            <w:r>
              <w:rPr>
                <w:rFonts w:ascii="Calibri" w:eastAsia="Times New Roman" w:hAnsi="Calibri" w:cs="Calibri"/>
                <w:color w:val="000000"/>
                <w:kern w:val="0"/>
                <w:sz w:val="22"/>
                <w:szCs w:val="22"/>
                <w14:ligatures w14:val="none"/>
              </w:rPr>
              <w:lastRenderedPageBreak/>
              <w:t xml:space="preserve">manuscript to ensure that it is repeatable for others. R studio was used due to the ease of use to do statistical calculations and possibility to create figures. </w:t>
            </w:r>
          </w:p>
        </w:tc>
      </w:tr>
      <w:tr w:rsidR="004A2B57" w:rsidRPr="00527948" w14:paraId="30CE2A45" w14:textId="77777777" w:rsidTr="004A2B57">
        <w:trPr>
          <w:trHeight w:val="290"/>
          <w:jc w:val="center"/>
        </w:trPr>
        <w:tc>
          <w:tcPr>
            <w:tcW w:w="1981" w:type="dxa"/>
            <w:noWrap/>
          </w:tcPr>
          <w:p w14:paraId="3D1DC57E" w14:textId="485049BC" w:rsidR="004A2B57"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lastRenderedPageBreak/>
              <w:t>Outliers</w:t>
            </w:r>
          </w:p>
        </w:tc>
        <w:tc>
          <w:tcPr>
            <w:tcW w:w="1137" w:type="dxa"/>
          </w:tcPr>
          <w:p w14:paraId="3A2E493E" w14:textId="1563BD06" w:rsidR="004A2B57"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15</w:t>
            </w:r>
          </w:p>
        </w:tc>
        <w:tc>
          <w:tcPr>
            <w:tcW w:w="5702" w:type="dxa"/>
          </w:tcPr>
          <w:p w14:paraId="6B3C3AAC" w14:textId="77777777" w:rsidR="004A2B57" w:rsidRPr="00AF0D8C" w:rsidRDefault="004A2B57" w:rsidP="002E1466">
            <w:pPr>
              <w:numPr>
                <w:ilvl w:val="0"/>
                <w:numId w:val="16"/>
              </w:numPr>
              <w:spacing w:after="0" w:line="240" w:lineRule="auto"/>
              <w:rPr>
                <w:rFonts w:ascii="Calibri" w:eastAsia="Times New Roman" w:hAnsi="Calibri" w:cs="Calibri"/>
                <w:color w:val="000000"/>
                <w:kern w:val="0"/>
                <w:sz w:val="22"/>
                <w:szCs w:val="22"/>
                <w14:ligatures w14:val="none"/>
              </w:rPr>
            </w:pPr>
            <w:r w:rsidRPr="00AF0D8C">
              <w:rPr>
                <w:rFonts w:ascii="Calibri" w:eastAsia="Times New Roman" w:hAnsi="Calibri" w:cs="Calibri"/>
                <w:color w:val="000000"/>
                <w:kern w:val="0"/>
                <w:sz w:val="22"/>
                <w:szCs w:val="22"/>
                <w14:ligatures w14:val="none"/>
              </w:rPr>
              <w:t>State how many outliers were identified</w:t>
            </w:r>
          </w:p>
          <w:p w14:paraId="1CBC9A87" w14:textId="5B57508F" w:rsidR="004A2B57" w:rsidRPr="00AF0D8C" w:rsidRDefault="004A2B57" w:rsidP="002E1466">
            <w:pPr>
              <w:numPr>
                <w:ilvl w:val="0"/>
                <w:numId w:val="16"/>
              </w:numPr>
              <w:spacing w:after="0" w:line="240" w:lineRule="auto"/>
              <w:rPr>
                <w:rFonts w:ascii="Calibri" w:eastAsia="Times New Roman" w:hAnsi="Calibri" w:cs="Calibri"/>
                <w:color w:val="000000"/>
                <w:kern w:val="0"/>
                <w:sz w:val="22"/>
                <w:szCs w:val="22"/>
                <w14:ligatures w14:val="none"/>
              </w:rPr>
            </w:pPr>
            <w:r w:rsidRPr="00AF0D8C">
              <w:rPr>
                <w:rFonts w:ascii="Calibri" w:eastAsia="Times New Roman" w:hAnsi="Calibri" w:cs="Calibri"/>
                <w:color w:val="000000"/>
                <w:kern w:val="0"/>
                <w:sz w:val="22"/>
                <w:szCs w:val="22"/>
                <w14:ligatures w14:val="none"/>
              </w:rPr>
              <w:t>Define what tools were used to remove outliers and why</w:t>
            </w:r>
          </w:p>
        </w:tc>
        <w:tc>
          <w:tcPr>
            <w:tcW w:w="4860" w:type="dxa"/>
            <w:noWrap/>
          </w:tcPr>
          <w:p w14:paraId="0A810011" w14:textId="21FA8CB2"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No outliers were identified.</w:t>
            </w:r>
          </w:p>
        </w:tc>
      </w:tr>
      <w:tr w:rsidR="004A2B57" w:rsidRPr="00527948" w14:paraId="6859AD4A" w14:textId="7E6F9C7C" w:rsidTr="004A2B57">
        <w:trPr>
          <w:trHeight w:val="290"/>
          <w:jc w:val="center"/>
        </w:trPr>
        <w:tc>
          <w:tcPr>
            <w:tcW w:w="1981" w:type="dxa"/>
            <w:noWrap/>
            <w:hideMark/>
          </w:tcPr>
          <w:p w14:paraId="526686BB" w14:textId="2020118C"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Acceptability criteria</w:t>
            </w:r>
          </w:p>
        </w:tc>
        <w:tc>
          <w:tcPr>
            <w:tcW w:w="1137" w:type="dxa"/>
          </w:tcPr>
          <w:p w14:paraId="64D81AA5" w14:textId="041D414C"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16</w:t>
            </w:r>
          </w:p>
        </w:tc>
        <w:tc>
          <w:tcPr>
            <w:tcW w:w="5702" w:type="dxa"/>
          </w:tcPr>
          <w:p w14:paraId="28A44CC6" w14:textId="77777777" w:rsidR="004A2B57" w:rsidRPr="00D75B32" w:rsidRDefault="004A2B57" w:rsidP="002E1466">
            <w:pPr>
              <w:numPr>
                <w:ilvl w:val="0"/>
                <w:numId w:val="17"/>
              </w:numPr>
              <w:spacing w:after="0" w:line="240" w:lineRule="auto"/>
              <w:rPr>
                <w:rFonts w:ascii="Calibri" w:eastAsia="Times New Roman" w:hAnsi="Calibri" w:cs="Calibri"/>
                <w:color w:val="000000"/>
                <w:kern w:val="0"/>
                <w:sz w:val="22"/>
                <w:szCs w:val="22"/>
                <w14:ligatures w14:val="none"/>
              </w:rPr>
            </w:pPr>
            <w:r w:rsidRPr="00D75B32">
              <w:rPr>
                <w:rFonts w:ascii="Calibri" w:eastAsia="Times New Roman" w:hAnsi="Calibri" w:cs="Calibri"/>
                <w:color w:val="000000"/>
                <w:kern w:val="0"/>
                <w:sz w:val="22"/>
                <w:szCs w:val="22"/>
                <w14:ligatures w14:val="none"/>
              </w:rPr>
              <w:t>State MPD with evidence for its selection from referenced studies,</w:t>
            </w:r>
          </w:p>
          <w:p w14:paraId="2B7C2D88" w14:textId="10CD5ADC" w:rsidR="004A2B57" w:rsidRPr="00D75B32" w:rsidRDefault="004A2B57" w:rsidP="002E1466">
            <w:pPr>
              <w:numPr>
                <w:ilvl w:val="0"/>
                <w:numId w:val="17"/>
              </w:numPr>
              <w:spacing w:after="0" w:line="240" w:lineRule="auto"/>
              <w:rPr>
                <w:rFonts w:ascii="Calibri" w:eastAsia="Times New Roman" w:hAnsi="Calibri" w:cs="Calibri"/>
                <w:color w:val="000000"/>
                <w:kern w:val="0"/>
                <w:sz w:val="22"/>
                <w:szCs w:val="22"/>
                <w14:ligatures w14:val="none"/>
              </w:rPr>
            </w:pPr>
            <w:r w:rsidRPr="00D75B32">
              <w:rPr>
                <w:rFonts w:ascii="Calibri" w:eastAsia="Times New Roman" w:hAnsi="Calibri" w:cs="Calibri"/>
                <w:color w:val="000000"/>
                <w:kern w:val="0"/>
                <w:sz w:val="22"/>
                <w:szCs w:val="22"/>
                <w14:ligatures w14:val="none"/>
              </w:rPr>
              <w:t>Follow the Milan hierarchy to defining analytical performance specifications.</w:t>
            </w:r>
          </w:p>
        </w:tc>
        <w:tc>
          <w:tcPr>
            <w:tcW w:w="4860" w:type="dxa"/>
            <w:noWrap/>
            <w:hideMark/>
          </w:tcPr>
          <w:p w14:paraId="424B932B" w14:textId="3941C700"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sidRPr="00527948">
              <w:rPr>
                <w:rFonts w:ascii="Calibri" w:eastAsia="Times New Roman" w:hAnsi="Calibri" w:cs="Calibri"/>
                <w:color w:val="000000"/>
                <w:kern w:val="0"/>
                <w:sz w:val="22"/>
                <w:szCs w:val="22"/>
                <w14:ligatures w14:val="none"/>
              </w:rPr>
              <w:t>Instability was inferred from changes in feature abundance over time and freeze–thaw cycles. Cohen’s d threshold of ±0.25 was used to identify practically significant changes, following Gowan’s criterium.</w:t>
            </w:r>
          </w:p>
        </w:tc>
      </w:tr>
      <w:tr w:rsidR="004A2B57" w:rsidRPr="00527948" w14:paraId="2F0A49EA" w14:textId="017FC1A5" w:rsidTr="004A2B57">
        <w:trPr>
          <w:trHeight w:val="290"/>
          <w:jc w:val="center"/>
        </w:trPr>
        <w:tc>
          <w:tcPr>
            <w:tcW w:w="1981" w:type="dxa"/>
            <w:noWrap/>
            <w:hideMark/>
          </w:tcPr>
          <w:p w14:paraId="5359D376" w14:textId="75FDE8EC"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Results</w:t>
            </w:r>
          </w:p>
        </w:tc>
        <w:tc>
          <w:tcPr>
            <w:tcW w:w="1137" w:type="dxa"/>
          </w:tcPr>
          <w:p w14:paraId="07AFA990" w14:textId="57315C98"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17</w:t>
            </w:r>
          </w:p>
        </w:tc>
        <w:tc>
          <w:tcPr>
            <w:tcW w:w="5702" w:type="dxa"/>
          </w:tcPr>
          <w:p w14:paraId="21356F35" w14:textId="77777777" w:rsidR="004A2B57" w:rsidRPr="00D75B32" w:rsidRDefault="004A2B57" w:rsidP="002E1466">
            <w:pPr>
              <w:numPr>
                <w:ilvl w:val="0"/>
                <w:numId w:val="18"/>
              </w:numPr>
              <w:spacing w:after="0" w:line="240" w:lineRule="auto"/>
              <w:rPr>
                <w:rFonts w:ascii="Calibri" w:eastAsia="Times New Roman" w:hAnsi="Calibri" w:cs="Calibri"/>
                <w:color w:val="000000"/>
                <w:kern w:val="0"/>
                <w:sz w:val="22"/>
                <w:szCs w:val="22"/>
                <w14:ligatures w14:val="none"/>
              </w:rPr>
            </w:pPr>
            <w:r w:rsidRPr="00D75B32">
              <w:rPr>
                <w:rFonts w:ascii="Calibri" w:eastAsia="Times New Roman" w:hAnsi="Calibri" w:cs="Calibri"/>
                <w:color w:val="000000"/>
                <w:kern w:val="0"/>
                <w:sz w:val="22"/>
                <w:szCs w:val="22"/>
                <w14:ligatures w14:val="none"/>
              </w:rPr>
              <w:t>Provide textual, tabulated and graphical presentation of the data,</w:t>
            </w:r>
          </w:p>
          <w:p w14:paraId="19F819D3" w14:textId="77777777" w:rsidR="004A2B57" w:rsidRPr="00D75B32" w:rsidRDefault="004A2B57" w:rsidP="002E1466">
            <w:pPr>
              <w:numPr>
                <w:ilvl w:val="0"/>
                <w:numId w:val="18"/>
              </w:numPr>
              <w:spacing w:after="0" w:line="240" w:lineRule="auto"/>
              <w:rPr>
                <w:rFonts w:ascii="Calibri" w:eastAsia="Times New Roman" w:hAnsi="Calibri" w:cs="Calibri"/>
                <w:color w:val="000000"/>
                <w:kern w:val="0"/>
                <w:sz w:val="22"/>
                <w:szCs w:val="22"/>
                <w14:ligatures w14:val="none"/>
              </w:rPr>
            </w:pPr>
            <w:r w:rsidRPr="00D75B32">
              <w:rPr>
                <w:rFonts w:ascii="Calibri" w:eastAsia="Times New Roman" w:hAnsi="Calibri" w:cs="Calibri"/>
                <w:color w:val="000000"/>
                <w:kern w:val="0"/>
                <w:sz w:val="22"/>
                <w:szCs w:val="22"/>
                <w14:ligatures w14:val="none"/>
              </w:rPr>
              <w:t>Plot results on a scatter graph with PD% on the ordinate and the time with appropriate units on the abscissa,</w:t>
            </w:r>
          </w:p>
          <w:p w14:paraId="5E0377C3" w14:textId="77777777" w:rsidR="004A2B57" w:rsidRPr="00D75B32" w:rsidRDefault="004A2B57" w:rsidP="002E1466">
            <w:pPr>
              <w:numPr>
                <w:ilvl w:val="0"/>
                <w:numId w:val="18"/>
              </w:numPr>
              <w:spacing w:after="0" w:line="240" w:lineRule="auto"/>
              <w:rPr>
                <w:rFonts w:ascii="Calibri" w:eastAsia="Times New Roman" w:hAnsi="Calibri" w:cs="Calibri"/>
                <w:color w:val="000000"/>
                <w:kern w:val="0"/>
                <w:sz w:val="22"/>
                <w:szCs w:val="22"/>
                <w14:ligatures w14:val="none"/>
              </w:rPr>
            </w:pPr>
            <w:r w:rsidRPr="00D75B32">
              <w:rPr>
                <w:rFonts w:ascii="Calibri" w:eastAsia="Times New Roman" w:hAnsi="Calibri" w:cs="Calibri"/>
                <w:color w:val="000000"/>
                <w:kern w:val="0"/>
                <w:sz w:val="22"/>
                <w:szCs w:val="22"/>
                <w14:ligatures w14:val="none"/>
              </w:rPr>
              <w:t>Present data using consistent terminology throughout the manuscript,</w:t>
            </w:r>
          </w:p>
          <w:p w14:paraId="42C27A07" w14:textId="2D3C7230" w:rsidR="004A2B57" w:rsidRPr="00D75B32" w:rsidRDefault="004A2B57" w:rsidP="002E1466">
            <w:pPr>
              <w:numPr>
                <w:ilvl w:val="0"/>
                <w:numId w:val="18"/>
              </w:numPr>
              <w:spacing w:after="0" w:line="240" w:lineRule="auto"/>
              <w:rPr>
                <w:rFonts w:ascii="Calibri" w:eastAsia="Times New Roman" w:hAnsi="Calibri" w:cs="Calibri"/>
                <w:color w:val="000000"/>
                <w:kern w:val="0"/>
                <w:sz w:val="22"/>
                <w:szCs w:val="22"/>
                <w14:ligatures w14:val="none"/>
              </w:rPr>
            </w:pPr>
            <w:r w:rsidRPr="00D75B32">
              <w:rPr>
                <w:rFonts w:ascii="Calibri" w:eastAsia="Times New Roman" w:hAnsi="Calibri" w:cs="Calibri"/>
                <w:color w:val="000000"/>
                <w:kern w:val="0"/>
                <w:sz w:val="22"/>
                <w:szCs w:val="22"/>
                <w14:ligatures w14:val="none"/>
              </w:rPr>
              <w:t>Provide raw data in an excel format.</w:t>
            </w:r>
          </w:p>
        </w:tc>
        <w:tc>
          <w:tcPr>
            <w:tcW w:w="4860" w:type="dxa"/>
            <w:noWrap/>
            <w:hideMark/>
          </w:tcPr>
          <w:p w14:paraId="38123F11" w14:textId="51A85281"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sidRPr="00527948">
              <w:rPr>
                <w:rFonts w:ascii="Calibri" w:eastAsia="Times New Roman" w:hAnsi="Calibri" w:cs="Calibri"/>
                <w:color w:val="000000"/>
                <w:kern w:val="0"/>
                <w:sz w:val="22"/>
                <w:szCs w:val="22"/>
                <w14:ligatures w14:val="none"/>
              </w:rPr>
              <w:t>Results include feature counts, PCA plots, volcano plots, and effect size distributions.</w:t>
            </w:r>
            <w:r>
              <w:rPr>
                <w:rFonts w:ascii="Calibri" w:eastAsia="Times New Roman" w:hAnsi="Calibri" w:cs="Calibri"/>
                <w:color w:val="000000"/>
                <w:kern w:val="0"/>
                <w:sz w:val="22"/>
                <w:szCs w:val="22"/>
                <w14:ligatures w14:val="none"/>
              </w:rPr>
              <w:t xml:space="preserve"> Including the figures tables with p-values, log2fold changes and effect sizes is also given in the supplementary information.</w:t>
            </w:r>
            <w:r w:rsidRPr="00527948">
              <w:rPr>
                <w:rFonts w:ascii="Calibri" w:eastAsia="Times New Roman" w:hAnsi="Calibri" w:cs="Calibri"/>
                <w:color w:val="000000"/>
                <w:kern w:val="0"/>
                <w:sz w:val="22"/>
                <w:szCs w:val="22"/>
                <w14:ligatures w14:val="none"/>
              </w:rPr>
              <w:t xml:space="preserve"> Figures are clearly labeled. Supplementary tables including peak areas for all features in each sample for annotated and non annotated compounds.</w:t>
            </w:r>
          </w:p>
        </w:tc>
      </w:tr>
      <w:tr w:rsidR="004A2B57" w:rsidRPr="00527948" w14:paraId="504B8B1C" w14:textId="45D237A8" w:rsidTr="004A2B57">
        <w:trPr>
          <w:trHeight w:val="290"/>
          <w:jc w:val="center"/>
        </w:trPr>
        <w:tc>
          <w:tcPr>
            <w:tcW w:w="1981" w:type="dxa"/>
            <w:noWrap/>
            <w:hideMark/>
          </w:tcPr>
          <w:p w14:paraId="38C26E93" w14:textId="19ECB9B2"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Discussion</w:t>
            </w:r>
          </w:p>
        </w:tc>
        <w:tc>
          <w:tcPr>
            <w:tcW w:w="1137" w:type="dxa"/>
          </w:tcPr>
          <w:p w14:paraId="311963A0" w14:textId="783D4A4C"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18</w:t>
            </w:r>
          </w:p>
        </w:tc>
        <w:tc>
          <w:tcPr>
            <w:tcW w:w="5702" w:type="dxa"/>
          </w:tcPr>
          <w:p w14:paraId="0D5A9036" w14:textId="77777777" w:rsidR="004A2B57" w:rsidRPr="006663D5" w:rsidRDefault="004A2B57" w:rsidP="002E1466">
            <w:pPr>
              <w:numPr>
                <w:ilvl w:val="0"/>
                <w:numId w:val="19"/>
              </w:numPr>
              <w:spacing w:after="0" w:line="240" w:lineRule="auto"/>
              <w:rPr>
                <w:rFonts w:ascii="Calibri" w:eastAsia="Times New Roman" w:hAnsi="Calibri" w:cs="Calibri"/>
                <w:color w:val="000000"/>
                <w:kern w:val="0"/>
                <w:sz w:val="22"/>
                <w:szCs w:val="22"/>
                <w14:ligatures w14:val="none"/>
              </w:rPr>
            </w:pPr>
            <w:r w:rsidRPr="006663D5">
              <w:rPr>
                <w:rFonts w:ascii="Calibri" w:eastAsia="Times New Roman" w:hAnsi="Calibri" w:cs="Calibri"/>
                <w:color w:val="000000"/>
                <w:kern w:val="0"/>
                <w:sz w:val="22"/>
                <w:szCs w:val="22"/>
                <w14:ligatures w14:val="none"/>
              </w:rPr>
              <w:t>State how the study addresses the original aims,</w:t>
            </w:r>
          </w:p>
          <w:p w14:paraId="665B2176" w14:textId="77777777" w:rsidR="004A2B57" w:rsidRPr="006663D5" w:rsidRDefault="004A2B57" w:rsidP="002E1466">
            <w:pPr>
              <w:numPr>
                <w:ilvl w:val="0"/>
                <w:numId w:val="19"/>
              </w:numPr>
              <w:spacing w:after="0" w:line="240" w:lineRule="auto"/>
              <w:rPr>
                <w:rFonts w:ascii="Calibri" w:eastAsia="Times New Roman" w:hAnsi="Calibri" w:cs="Calibri"/>
                <w:color w:val="000000"/>
                <w:kern w:val="0"/>
                <w:sz w:val="22"/>
                <w:szCs w:val="22"/>
                <w14:ligatures w14:val="none"/>
              </w:rPr>
            </w:pPr>
            <w:r w:rsidRPr="006663D5">
              <w:rPr>
                <w:rFonts w:ascii="Calibri" w:eastAsia="Times New Roman" w:hAnsi="Calibri" w:cs="Calibri"/>
                <w:color w:val="000000"/>
                <w:kern w:val="0"/>
                <w:sz w:val="22"/>
                <w:szCs w:val="22"/>
                <w14:ligatures w14:val="none"/>
              </w:rPr>
              <w:t>Demonstrate how it can be applied (or not) to other healthcare systems,</w:t>
            </w:r>
          </w:p>
          <w:p w14:paraId="680A782F" w14:textId="25F07A7F" w:rsidR="004A2B57" w:rsidRPr="006663D5" w:rsidRDefault="004A2B57" w:rsidP="002E1466">
            <w:pPr>
              <w:numPr>
                <w:ilvl w:val="0"/>
                <w:numId w:val="19"/>
              </w:numPr>
              <w:spacing w:after="0" w:line="240" w:lineRule="auto"/>
              <w:rPr>
                <w:rFonts w:ascii="Calibri" w:eastAsia="Times New Roman" w:hAnsi="Calibri" w:cs="Calibri"/>
                <w:color w:val="000000"/>
                <w:kern w:val="0"/>
                <w:sz w:val="22"/>
                <w:szCs w:val="22"/>
                <w14:ligatures w14:val="none"/>
              </w:rPr>
            </w:pPr>
            <w:r w:rsidRPr="006663D5">
              <w:rPr>
                <w:rFonts w:ascii="Calibri" w:eastAsia="Times New Roman" w:hAnsi="Calibri" w:cs="Calibri"/>
                <w:color w:val="000000"/>
                <w:kern w:val="0"/>
                <w:sz w:val="22"/>
                <w:szCs w:val="22"/>
                <w14:ligatures w14:val="none"/>
              </w:rPr>
              <w:t>Define any limitations, particularly those that prevent transferability of data.</w:t>
            </w:r>
          </w:p>
        </w:tc>
        <w:tc>
          <w:tcPr>
            <w:tcW w:w="4860" w:type="dxa"/>
            <w:noWrap/>
            <w:hideMark/>
          </w:tcPr>
          <w:p w14:paraId="1618CBB5" w14:textId="4739FC66"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sidRPr="00527948">
              <w:rPr>
                <w:rFonts w:ascii="Calibri" w:eastAsia="Times New Roman" w:hAnsi="Calibri" w:cs="Calibri"/>
                <w:color w:val="000000"/>
                <w:kern w:val="0"/>
                <w:sz w:val="22"/>
                <w:szCs w:val="22"/>
                <w14:ligatures w14:val="none"/>
              </w:rPr>
              <w:t xml:space="preserve">Discussion interprets findings in the context of clinical </w:t>
            </w:r>
            <w:r>
              <w:rPr>
                <w:rFonts w:ascii="Calibri" w:eastAsia="Times New Roman" w:hAnsi="Calibri" w:cs="Calibri"/>
                <w:color w:val="000000"/>
                <w:kern w:val="0"/>
                <w:sz w:val="22"/>
                <w:szCs w:val="22"/>
                <w14:ligatures w14:val="none"/>
              </w:rPr>
              <w:t>sample</w:t>
            </w:r>
            <w:r w:rsidRPr="00527948">
              <w:rPr>
                <w:rFonts w:ascii="Calibri" w:eastAsia="Times New Roman" w:hAnsi="Calibri" w:cs="Calibri"/>
                <w:color w:val="000000"/>
                <w:kern w:val="0"/>
                <w:sz w:val="22"/>
                <w:szCs w:val="22"/>
                <w14:ligatures w14:val="none"/>
              </w:rPr>
              <w:t xml:space="preserve"> reliability. Specific metabolites and lipids are discussed with references to known instability mechanisms.</w:t>
            </w:r>
            <w:r>
              <w:rPr>
                <w:rFonts w:ascii="Calibri" w:eastAsia="Times New Roman" w:hAnsi="Calibri" w:cs="Calibri"/>
                <w:color w:val="000000"/>
                <w:kern w:val="0"/>
                <w:sz w:val="22"/>
                <w:szCs w:val="22"/>
                <w14:ligatures w14:val="none"/>
              </w:rPr>
              <w:t xml:space="preserve"> As the results show that 90% of the analytes were not significantly affected by the pre-analytical factors we induced, we demonstrate that samples taken under these conditions can be used for global metabolomics and lipidomics studies. </w:t>
            </w:r>
          </w:p>
        </w:tc>
      </w:tr>
      <w:tr w:rsidR="004A2B57" w:rsidRPr="00527948" w14:paraId="31267CDA" w14:textId="77777777" w:rsidTr="004A2B57">
        <w:trPr>
          <w:trHeight w:val="290"/>
          <w:jc w:val="center"/>
        </w:trPr>
        <w:tc>
          <w:tcPr>
            <w:tcW w:w="1981" w:type="dxa"/>
            <w:noWrap/>
          </w:tcPr>
          <w:p w14:paraId="70FFCE8F" w14:textId="4B1F27DF"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sidRPr="00527948">
              <w:rPr>
                <w:rFonts w:ascii="Calibri" w:eastAsia="Times New Roman" w:hAnsi="Calibri" w:cs="Calibri"/>
                <w:color w:val="000000"/>
                <w:kern w:val="0"/>
                <w:sz w:val="22"/>
                <w:szCs w:val="22"/>
                <w14:ligatures w14:val="none"/>
              </w:rPr>
              <w:t>Funding</w:t>
            </w:r>
          </w:p>
        </w:tc>
        <w:tc>
          <w:tcPr>
            <w:tcW w:w="1137" w:type="dxa"/>
          </w:tcPr>
          <w:p w14:paraId="20A43013" w14:textId="05497074" w:rsidR="004A2B57"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19</w:t>
            </w:r>
          </w:p>
        </w:tc>
        <w:tc>
          <w:tcPr>
            <w:tcW w:w="5702" w:type="dxa"/>
          </w:tcPr>
          <w:p w14:paraId="6D6BCED5" w14:textId="77777777" w:rsidR="004A2B57" w:rsidRPr="00AF1A51" w:rsidRDefault="004A2B57" w:rsidP="002E1466">
            <w:pPr>
              <w:numPr>
                <w:ilvl w:val="0"/>
                <w:numId w:val="6"/>
              </w:numPr>
              <w:spacing w:after="0" w:line="240" w:lineRule="auto"/>
              <w:rPr>
                <w:rFonts w:ascii="Calibri" w:eastAsia="Times New Roman" w:hAnsi="Calibri" w:cs="Calibri"/>
                <w:color w:val="000000"/>
                <w:kern w:val="0"/>
                <w:sz w:val="22"/>
                <w:szCs w:val="22"/>
                <w14:ligatures w14:val="none"/>
              </w:rPr>
            </w:pPr>
            <w:r w:rsidRPr="00AF1A51">
              <w:rPr>
                <w:rFonts w:ascii="Calibri" w:eastAsia="Times New Roman" w:hAnsi="Calibri" w:cs="Calibri"/>
                <w:color w:val="000000"/>
                <w:kern w:val="0"/>
                <w:sz w:val="22"/>
                <w:szCs w:val="22"/>
                <w14:ligatures w14:val="none"/>
              </w:rPr>
              <w:t>State any funding sources whether financial or in the form of consumables,</w:t>
            </w:r>
          </w:p>
          <w:p w14:paraId="55D50093" w14:textId="77777777" w:rsidR="004A2B57" w:rsidRPr="00AF1A51" w:rsidRDefault="004A2B57" w:rsidP="002E1466">
            <w:pPr>
              <w:numPr>
                <w:ilvl w:val="0"/>
                <w:numId w:val="5"/>
              </w:numPr>
              <w:spacing w:after="0" w:line="240" w:lineRule="auto"/>
              <w:rPr>
                <w:rFonts w:ascii="Calibri" w:eastAsia="Times New Roman" w:hAnsi="Calibri" w:cs="Calibri"/>
                <w:color w:val="000000"/>
                <w:kern w:val="0"/>
                <w:sz w:val="22"/>
                <w:szCs w:val="22"/>
                <w14:ligatures w14:val="none"/>
              </w:rPr>
            </w:pPr>
          </w:p>
        </w:tc>
        <w:tc>
          <w:tcPr>
            <w:tcW w:w="4860" w:type="dxa"/>
            <w:noWrap/>
          </w:tcPr>
          <w:p w14:paraId="6783DFAA" w14:textId="5BEAA029"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sidRPr="00527948">
              <w:rPr>
                <w:rFonts w:ascii="Calibri" w:eastAsia="Times New Roman" w:hAnsi="Calibri" w:cs="Calibri"/>
                <w:color w:val="000000"/>
                <w:kern w:val="0"/>
                <w:sz w:val="22"/>
                <w:szCs w:val="22"/>
                <w14:ligatures w14:val="none"/>
              </w:rPr>
              <w:t>Funding was provided by Oslo Metropolitan University and Oslo University Hospital.</w:t>
            </w:r>
          </w:p>
        </w:tc>
      </w:tr>
      <w:tr w:rsidR="004A2B57" w:rsidRPr="00527948" w14:paraId="4249B6E5" w14:textId="63E24B7C" w:rsidTr="004A2B57">
        <w:trPr>
          <w:trHeight w:val="290"/>
          <w:jc w:val="center"/>
        </w:trPr>
        <w:tc>
          <w:tcPr>
            <w:tcW w:w="1981" w:type="dxa"/>
            <w:noWrap/>
            <w:hideMark/>
          </w:tcPr>
          <w:p w14:paraId="0D12418F" w14:textId="2C7E8EB8"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sidRPr="00527948">
              <w:rPr>
                <w:rFonts w:ascii="Calibri" w:eastAsia="Times New Roman" w:hAnsi="Calibri" w:cs="Calibri"/>
                <w:color w:val="000000"/>
                <w:kern w:val="0"/>
                <w:sz w:val="22"/>
                <w:szCs w:val="22"/>
                <w14:ligatures w14:val="none"/>
              </w:rPr>
              <w:lastRenderedPageBreak/>
              <w:t>Ethical</w:t>
            </w:r>
          </w:p>
        </w:tc>
        <w:tc>
          <w:tcPr>
            <w:tcW w:w="1137" w:type="dxa"/>
          </w:tcPr>
          <w:p w14:paraId="70FFFF34" w14:textId="6343081E"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20</w:t>
            </w:r>
          </w:p>
        </w:tc>
        <w:tc>
          <w:tcPr>
            <w:tcW w:w="5702" w:type="dxa"/>
          </w:tcPr>
          <w:p w14:paraId="72625403" w14:textId="77777777" w:rsidR="004A2B57" w:rsidRPr="00AF1A51" w:rsidRDefault="004A2B57" w:rsidP="002E1466">
            <w:pPr>
              <w:numPr>
                <w:ilvl w:val="0"/>
                <w:numId w:val="5"/>
              </w:numPr>
              <w:spacing w:after="0" w:line="240" w:lineRule="auto"/>
              <w:rPr>
                <w:rFonts w:ascii="Calibri" w:eastAsia="Times New Roman" w:hAnsi="Calibri" w:cs="Calibri"/>
                <w:color w:val="000000"/>
                <w:kern w:val="0"/>
                <w:sz w:val="22"/>
                <w:szCs w:val="22"/>
                <w14:ligatures w14:val="none"/>
              </w:rPr>
            </w:pPr>
            <w:r w:rsidRPr="00AF1A51">
              <w:rPr>
                <w:rFonts w:ascii="Calibri" w:eastAsia="Times New Roman" w:hAnsi="Calibri" w:cs="Calibri"/>
                <w:color w:val="000000"/>
                <w:kern w:val="0"/>
                <w:sz w:val="22"/>
                <w:szCs w:val="22"/>
                <w14:ligatures w14:val="none"/>
              </w:rPr>
              <w:t>State if the study has been granted ethical approval,</w:t>
            </w:r>
          </w:p>
          <w:p w14:paraId="413DF02D" w14:textId="77777777" w:rsidR="004A2B57" w:rsidRPr="00AF1A51" w:rsidRDefault="004A2B57" w:rsidP="002E1466">
            <w:pPr>
              <w:numPr>
                <w:ilvl w:val="0"/>
                <w:numId w:val="5"/>
              </w:numPr>
              <w:spacing w:after="0" w:line="240" w:lineRule="auto"/>
              <w:rPr>
                <w:rFonts w:ascii="Calibri" w:eastAsia="Times New Roman" w:hAnsi="Calibri" w:cs="Calibri"/>
                <w:color w:val="000000"/>
                <w:kern w:val="0"/>
                <w:sz w:val="22"/>
                <w:szCs w:val="22"/>
                <w14:ligatures w14:val="none"/>
              </w:rPr>
            </w:pPr>
            <w:r w:rsidRPr="00AF1A51">
              <w:rPr>
                <w:rFonts w:ascii="Calibri" w:eastAsia="Times New Roman" w:hAnsi="Calibri" w:cs="Calibri"/>
                <w:color w:val="000000"/>
                <w:kern w:val="0"/>
                <w:sz w:val="22"/>
                <w:szCs w:val="22"/>
                <w14:ligatures w14:val="none"/>
              </w:rPr>
              <w:t>State if patient consent (if applicable) was obtained.</w:t>
            </w:r>
          </w:p>
          <w:p w14:paraId="5BC673AC" w14:textId="77777777"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p>
        </w:tc>
        <w:tc>
          <w:tcPr>
            <w:tcW w:w="4860" w:type="dxa"/>
            <w:noWrap/>
            <w:hideMark/>
          </w:tcPr>
          <w:p w14:paraId="1069B4CC" w14:textId="01555ACC" w:rsidR="004A2B57" w:rsidRPr="00527948" w:rsidRDefault="004A2B57" w:rsidP="002E1466">
            <w:pPr>
              <w:spacing w:after="0" w:line="240" w:lineRule="auto"/>
              <w:rPr>
                <w:rFonts w:ascii="Calibri" w:eastAsia="Times New Roman" w:hAnsi="Calibri" w:cs="Calibri"/>
                <w:color w:val="000000"/>
                <w:kern w:val="0"/>
                <w:sz w:val="22"/>
                <w:szCs w:val="22"/>
                <w14:ligatures w14:val="none"/>
              </w:rPr>
            </w:pPr>
            <w:r w:rsidRPr="00527948">
              <w:rPr>
                <w:rFonts w:ascii="Calibri" w:eastAsia="Times New Roman" w:hAnsi="Calibri" w:cs="Calibri"/>
                <w:color w:val="000000"/>
                <w:kern w:val="0"/>
                <w:sz w:val="22"/>
                <w:szCs w:val="22"/>
                <w14:ligatures w14:val="none"/>
              </w:rPr>
              <w:t xml:space="preserve">The study </w:t>
            </w:r>
            <w:r>
              <w:rPr>
                <w:rFonts w:ascii="Calibri" w:eastAsia="Times New Roman" w:hAnsi="Calibri" w:cs="Calibri"/>
                <w:color w:val="000000"/>
                <w:kern w:val="0"/>
                <w:sz w:val="22"/>
                <w:szCs w:val="22"/>
                <w14:ligatures w14:val="none"/>
              </w:rPr>
              <w:t>have</w:t>
            </w:r>
            <w:r w:rsidRPr="00527948">
              <w:rPr>
                <w:rFonts w:ascii="Calibri" w:eastAsia="Times New Roman" w:hAnsi="Calibri" w:cs="Calibri"/>
                <w:color w:val="000000"/>
                <w:kern w:val="0"/>
                <w:sz w:val="22"/>
                <w:szCs w:val="22"/>
                <w14:ligatures w14:val="none"/>
              </w:rPr>
              <w:t xml:space="preserve"> REK approval</w:t>
            </w:r>
            <w:r>
              <w:rPr>
                <w:rFonts w:ascii="Calibri" w:eastAsia="Times New Roman" w:hAnsi="Calibri" w:cs="Calibri"/>
                <w:color w:val="000000"/>
                <w:kern w:val="0"/>
                <w:sz w:val="22"/>
                <w:szCs w:val="22"/>
                <w14:ligatures w14:val="none"/>
              </w:rPr>
              <w:t xml:space="preserve"> (REK2019/306)</w:t>
            </w:r>
            <w:r w:rsidRPr="00527948">
              <w:rPr>
                <w:rFonts w:ascii="Calibri" w:eastAsia="Times New Roman" w:hAnsi="Calibri" w:cs="Calibri"/>
                <w:color w:val="000000"/>
                <w:kern w:val="0"/>
                <w:sz w:val="22"/>
                <w:szCs w:val="22"/>
                <w14:ligatures w14:val="none"/>
              </w:rPr>
              <w:t>. Consent was obtained from patients or legal representatives.</w:t>
            </w:r>
          </w:p>
        </w:tc>
      </w:tr>
    </w:tbl>
    <w:p w14:paraId="26D9352E" w14:textId="77777777" w:rsidR="005B184B" w:rsidRDefault="005B184B"/>
    <w:p w14:paraId="3FA31CC4" w14:textId="10D23372" w:rsidR="00F55CFD" w:rsidRPr="001358F0" w:rsidRDefault="00F55CFD">
      <w:pPr>
        <w:rPr>
          <w:b/>
          <w:bCs/>
        </w:rPr>
      </w:pPr>
      <w:r w:rsidRPr="001358F0">
        <w:rPr>
          <w:b/>
          <w:bCs/>
        </w:rPr>
        <w:t>Supplementary figure 1:</w:t>
      </w:r>
    </w:p>
    <w:p w14:paraId="04CA0669" w14:textId="77777777" w:rsidR="00F55CFD" w:rsidRDefault="00EB26C4" w:rsidP="00F55CFD">
      <w:pPr>
        <w:keepNext/>
      </w:pPr>
      <w:r>
        <w:rPr>
          <w:noProof/>
        </w:rPr>
        <w:drawing>
          <wp:inline distT="0" distB="0" distL="0" distR="0" wp14:anchorId="4F623036" wp14:editId="606D53AE">
            <wp:extent cx="5943600" cy="4025265"/>
            <wp:effectExtent l="0" t="0" r="0" b="0"/>
            <wp:docPr id="2" name="Bilde 1" descr="A diagram of a blood test&#10;&#10;AI-generated content may be incorrect.">
              <a:extLst xmlns:a="http://schemas.openxmlformats.org/drawingml/2006/main">
                <a:ext uri="{FF2B5EF4-FFF2-40B4-BE49-F238E27FC236}">
                  <a16:creationId xmlns:a16="http://schemas.microsoft.com/office/drawing/2014/main" id="{9B0CDDA8-BF69-D1FE-8956-CECFC7D826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e 1" descr="A diagram of a blood test&#10;&#10;AI-generated content may be incorrect.">
                      <a:extLst>
                        <a:ext uri="{FF2B5EF4-FFF2-40B4-BE49-F238E27FC236}">
                          <a16:creationId xmlns:a16="http://schemas.microsoft.com/office/drawing/2014/main" id="{9B0CDDA8-BF69-D1FE-8956-CECFC7D826A5}"/>
                        </a:ext>
                      </a:extLst>
                    </pic:cNvPr>
                    <pic:cNvPicPr>
                      <a:picLocks noChangeAspect="1"/>
                    </pic:cNvPicPr>
                  </pic:nvPicPr>
                  <pic:blipFill>
                    <a:blip r:embed="rId8"/>
                    <a:stretch>
                      <a:fillRect/>
                    </a:stretch>
                  </pic:blipFill>
                  <pic:spPr>
                    <a:xfrm>
                      <a:off x="0" y="0"/>
                      <a:ext cx="5943600" cy="4025265"/>
                    </a:xfrm>
                    <a:prstGeom prst="rect">
                      <a:avLst/>
                    </a:prstGeom>
                  </pic:spPr>
                </pic:pic>
              </a:graphicData>
            </a:graphic>
          </wp:inline>
        </w:drawing>
      </w:r>
    </w:p>
    <w:p w14:paraId="1C7D5A5B" w14:textId="04CDAEFA" w:rsidR="00EB26C4" w:rsidRDefault="00F55CFD" w:rsidP="00F55CFD">
      <w:pPr>
        <w:pStyle w:val="Caption"/>
        <w:rPr>
          <w:i w:val="0"/>
          <w:iCs w:val="0"/>
          <w:color w:val="auto"/>
        </w:rPr>
      </w:pPr>
      <w:r w:rsidRPr="00F55CFD">
        <w:rPr>
          <w:i w:val="0"/>
          <w:iCs w:val="0"/>
          <w:color w:val="auto"/>
        </w:rPr>
        <w:t xml:space="preserve">Figure </w:t>
      </w:r>
      <w:r w:rsidRPr="00F55CFD">
        <w:rPr>
          <w:i w:val="0"/>
          <w:iCs w:val="0"/>
          <w:color w:val="auto"/>
        </w:rPr>
        <w:fldChar w:fldCharType="begin"/>
      </w:r>
      <w:r w:rsidRPr="00F55CFD">
        <w:rPr>
          <w:i w:val="0"/>
          <w:iCs w:val="0"/>
          <w:color w:val="auto"/>
        </w:rPr>
        <w:instrText xml:space="preserve"> SEQ Figure \* ARABIC </w:instrText>
      </w:r>
      <w:r w:rsidRPr="00F55CFD">
        <w:rPr>
          <w:i w:val="0"/>
          <w:iCs w:val="0"/>
          <w:color w:val="auto"/>
        </w:rPr>
        <w:fldChar w:fldCharType="separate"/>
      </w:r>
      <w:r w:rsidR="003B4E3B">
        <w:rPr>
          <w:i w:val="0"/>
          <w:iCs w:val="0"/>
          <w:noProof/>
          <w:color w:val="auto"/>
        </w:rPr>
        <w:t>1</w:t>
      </w:r>
      <w:r w:rsidRPr="00F55CFD">
        <w:rPr>
          <w:i w:val="0"/>
          <w:iCs w:val="0"/>
          <w:color w:val="auto"/>
        </w:rPr>
        <w:fldChar w:fldCharType="end"/>
      </w:r>
      <w:r w:rsidRPr="00F55CFD">
        <w:rPr>
          <w:i w:val="0"/>
          <w:iCs w:val="0"/>
          <w:color w:val="auto"/>
        </w:rPr>
        <w:t>: Study design showing overview of sample collection and handling before global LC-MS metabolomics and lipidomics analysis.</w:t>
      </w:r>
    </w:p>
    <w:p w14:paraId="4A4E4832" w14:textId="1D98FA97" w:rsidR="00523F00" w:rsidRPr="001358F0" w:rsidRDefault="00523F00" w:rsidP="00523F00">
      <w:pPr>
        <w:rPr>
          <w:b/>
          <w:bCs/>
        </w:rPr>
      </w:pPr>
      <w:r w:rsidRPr="001358F0">
        <w:rPr>
          <w:b/>
          <w:bCs/>
        </w:rPr>
        <w:t xml:space="preserve">Supplementary Figure </w:t>
      </w:r>
      <w:r>
        <w:rPr>
          <w:b/>
          <w:bCs/>
        </w:rPr>
        <w:t>2</w:t>
      </w:r>
      <w:r w:rsidRPr="001358F0">
        <w:rPr>
          <w:b/>
          <w:bCs/>
        </w:rPr>
        <w:t>:</w:t>
      </w:r>
    </w:p>
    <w:p w14:paraId="3834901D" w14:textId="77777777" w:rsidR="00523F00" w:rsidRDefault="00523F00" w:rsidP="00523F00">
      <w:pPr>
        <w:keepNext/>
      </w:pPr>
      <w:r w:rsidRPr="00F24387">
        <w:rPr>
          <w:noProof/>
        </w:rPr>
        <w:lastRenderedPageBreak/>
        <w:drawing>
          <wp:inline distT="0" distB="0" distL="0" distR="0" wp14:anchorId="5C6FB926" wp14:editId="451EDF37">
            <wp:extent cx="5016500" cy="3709316"/>
            <wp:effectExtent l="0" t="0" r="0" b="5715"/>
            <wp:docPr id="1310707242" name="Picture 2" descr="A group of 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707242" name="Picture 2" descr="A group of red ba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26717" cy="3716871"/>
                    </a:xfrm>
                    <a:prstGeom prst="rect">
                      <a:avLst/>
                    </a:prstGeom>
                    <a:noFill/>
                    <a:ln>
                      <a:noFill/>
                    </a:ln>
                  </pic:spPr>
                </pic:pic>
              </a:graphicData>
            </a:graphic>
          </wp:inline>
        </w:drawing>
      </w:r>
    </w:p>
    <w:p w14:paraId="53897C3B" w14:textId="6CDC3DDB" w:rsidR="00523F00" w:rsidRPr="00887FB8" w:rsidRDefault="00523F00" w:rsidP="00523F00">
      <w:pPr>
        <w:pStyle w:val="Caption"/>
        <w:rPr>
          <w:i w:val="0"/>
          <w:iCs w:val="0"/>
          <w:color w:val="auto"/>
        </w:rPr>
      </w:pPr>
      <w:r w:rsidRPr="00887FB8">
        <w:rPr>
          <w:i w:val="0"/>
          <w:iCs w:val="0"/>
          <w:color w:val="auto"/>
        </w:rPr>
        <w:t xml:space="preserve">Figure </w:t>
      </w:r>
      <w:r w:rsidRPr="00887FB8">
        <w:rPr>
          <w:i w:val="0"/>
          <w:iCs w:val="0"/>
          <w:color w:val="auto"/>
        </w:rPr>
        <w:fldChar w:fldCharType="begin"/>
      </w:r>
      <w:r w:rsidRPr="00887FB8">
        <w:rPr>
          <w:i w:val="0"/>
          <w:iCs w:val="0"/>
          <w:color w:val="auto"/>
        </w:rPr>
        <w:instrText xml:space="preserve"> SEQ Figure \* ARABIC </w:instrText>
      </w:r>
      <w:r w:rsidRPr="00887FB8">
        <w:rPr>
          <w:i w:val="0"/>
          <w:iCs w:val="0"/>
          <w:color w:val="auto"/>
        </w:rPr>
        <w:fldChar w:fldCharType="separate"/>
      </w:r>
      <w:r w:rsidR="003B4E3B">
        <w:rPr>
          <w:i w:val="0"/>
          <w:iCs w:val="0"/>
          <w:noProof/>
          <w:color w:val="auto"/>
        </w:rPr>
        <w:t>2</w:t>
      </w:r>
      <w:r w:rsidRPr="00887FB8">
        <w:rPr>
          <w:i w:val="0"/>
          <w:iCs w:val="0"/>
          <w:color w:val="auto"/>
        </w:rPr>
        <w:fldChar w:fldCharType="end"/>
      </w:r>
      <w:r w:rsidRPr="00887FB8">
        <w:rPr>
          <w:i w:val="0"/>
          <w:iCs w:val="0"/>
          <w:color w:val="auto"/>
        </w:rPr>
        <w:t>: Histogram showing number of features (count) and their respective relative standard deviation (RSD %) in pooled quality control samples, for data obtained from lipidomics and metabolomics method</w:t>
      </w:r>
      <w:r>
        <w:rPr>
          <w:i w:val="0"/>
          <w:iCs w:val="0"/>
          <w:color w:val="auto"/>
        </w:rPr>
        <w:t>s</w:t>
      </w:r>
      <w:r w:rsidRPr="00887FB8">
        <w:rPr>
          <w:i w:val="0"/>
          <w:iCs w:val="0"/>
          <w:color w:val="auto"/>
        </w:rPr>
        <w:t xml:space="preserve"> in both positive and negative ionization modes.</w:t>
      </w:r>
    </w:p>
    <w:p w14:paraId="35F31A8C" w14:textId="77777777" w:rsidR="00523F00" w:rsidRDefault="00523F00" w:rsidP="006001E9">
      <w:pPr>
        <w:rPr>
          <w:b/>
          <w:bCs/>
        </w:rPr>
      </w:pPr>
    </w:p>
    <w:p w14:paraId="03274A2F" w14:textId="1FC682E9" w:rsidR="006001E9" w:rsidRPr="006001E9" w:rsidRDefault="006001E9" w:rsidP="006001E9">
      <w:pPr>
        <w:rPr>
          <w:b/>
          <w:bCs/>
        </w:rPr>
      </w:pPr>
      <w:r w:rsidRPr="006001E9">
        <w:rPr>
          <w:b/>
          <w:bCs/>
        </w:rPr>
        <w:t xml:space="preserve">Supplementary figure </w:t>
      </w:r>
      <w:r w:rsidR="009C629C">
        <w:rPr>
          <w:b/>
          <w:bCs/>
        </w:rPr>
        <w:t>3</w:t>
      </w:r>
      <w:r w:rsidRPr="006001E9">
        <w:rPr>
          <w:b/>
          <w:bCs/>
        </w:rPr>
        <w:t>:</w:t>
      </w:r>
    </w:p>
    <w:p w14:paraId="6B34F8BB" w14:textId="77777777" w:rsidR="00D23472" w:rsidRDefault="00B27E11" w:rsidP="00D23472">
      <w:pPr>
        <w:keepNext/>
      </w:pPr>
      <w:r w:rsidRPr="00B27E11">
        <w:rPr>
          <w:noProof/>
        </w:rPr>
        <w:lastRenderedPageBreak/>
        <w:drawing>
          <wp:inline distT="0" distB="0" distL="0" distR="0" wp14:anchorId="4B45536E" wp14:editId="4C6616D9">
            <wp:extent cx="8229600" cy="5178425"/>
            <wp:effectExtent l="0" t="0" r="0" b="3175"/>
            <wp:docPr id="1425190613" name="Picture 2"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90613" name="Picture 2" descr="A screenshot of a graph&#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29600" cy="5178425"/>
                    </a:xfrm>
                    <a:prstGeom prst="rect">
                      <a:avLst/>
                    </a:prstGeom>
                    <a:noFill/>
                    <a:ln>
                      <a:noFill/>
                    </a:ln>
                  </pic:spPr>
                </pic:pic>
              </a:graphicData>
            </a:graphic>
          </wp:inline>
        </w:drawing>
      </w:r>
    </w:p>
    <w:p w14:paraId="3D9E8066" w14:textId="371DEB60" w:rsidR="00B27E11" w:rsidRPr="00B27E11" w:rsidRDefault="00D23472" w:rsidP="00D23472">
      <w:pPr>
        <w:pStyle w:val="Caption"/>
      </w:pPr>
      <w:r w:rsidRPr="00692EE7">
        <w:rPr>
          <w:rFonts w:ascii="Calibri" w:hAnsi="Calibri" w:cs="Calibri"/>
          <w:i w:val="0"/>
          <w:iCs w:val="0"/>
          <w:color w:val="000000" w:themeColor="text1"/>
        </w:rPr>
        <w:t xml:space="preserve">Figure </w:t>
      </w:r>
      <w:r w:rsidRPr="00692EE7">
        <w:rPr>
          <w:rFonts w:ascii="Calibri" w:hAnsi="Calibri" w:cs="Calibri"/>
          <w:i w:val="0"/>
          <w:iCs w:val="0"/>
          <w:color w:val="000000" w:themeColor="text1"/>
        </w:rPr>
        <w:fldChar w:fldCharType="begin"/>
      </w:r>
      <w:r w:rsidRPr="00692EE7">
        <w:rPr>
          <w:rFonts w:ascii="Calibri" w:hAnsi="Calibri" w:cs="Calibri"/>
          <w:i w:val="0"/>
          <w:iCs w:val="0"/>
          <w:color w:val="000000" w:themeColor="text1"/>
        </w:rPr>
        <w:instrText xml:space="preserve"> SEQ Figure \* ARABIC </w:instrText>
      </w:r>
      <w:r w:rsidRPr="00692EE7">
        <w:rPr>
          <w:rFonts w:ascii="Calibri" w:hAnsi="Calibri" w:cs="Calibri"/>
          <w:i w:val="0"/>
          <w:iCs w:val="0"/>
          <w:color w:val="000000" w:themeColor="text1"/>
        </w:rPr>
        <w:fldChar w:fldCharType="separate"/>
      </w:r>
      <w:r w:rsidR="003B4E3B">
        <w:rPr>
          <w:rFonts w:ascii="Calibri" w:hAnsi="Calibri" w:cs="Calibri"/>
          <w:i w:val="0"/>
          <w:iCs w:val="0"/>
          <w:noProof/>
          <w:color w:val="000000" w:themeColor="text1"/>
        </w:rPr>
        <w:t>3</w:t>
      </w:r>
      <w:r w:rsidRPr="00692EE7">
        <w:rPr>
          <w:rFonts w:ascii="Calibri" w:hAnsi="Calibri" w:cs="Calibri"/>
          <w:i w:val="0"/>
          <w:iCs w:val="0"/>
          <w:color w:val="000000" w:themeColor="text1"/>
        </w:rPr>
        <w:fldChar w:fldCharType="end"/>
      </w:r>
      <w:r w:rsidRPr="00692EE7">
        <w:rPr>
          <w:rFonts w:ascii="Calibri" w:hAnsi="Calibri" w:cs="Calibri"/>
          <w:i w:val="0"/>
          <w:iCs w:val="0"/>
          <w:color w:val="000000" w:themeColor="text1"/>
        </w:rPr>
        <w:t xml:space="preserve">: </w:t>
      </w:r>
      <w:r w:rsidR="00AE047E" w:rsidRPr="00692EE7">
        <w:rPr>
          <w:rFonts w:ascii="Calibri" w:hAnsi="Calibri" w:cs="Calibri"/>
          <w:i w:val="0"/>
          <w:iCs w:val="0"/>
          <w:color w:val="000000" w:themeColor="text1"/>
        </w:rPr>
        <w:t>Volcano</w:t>
      </w:r>
      <w:r w:rsidR="00AE047E" w:rsidRPr="00692EE7">
        <w:rPr>
          <w:i w:val="0"/>
          <w:iCs w:val="0"/>
          <w:color w:val="000000" w:themeColor="text1"/>
        </w:rPr>
        <w:t xml:space="preserve"> plots showing </w:t>
      </w:r>
      <w:r w:rsidR="00AE047E" w:rsidRPr="001B6FA1">
        <w:rPr>
          <w:i w:val="0"/>
          <w:iCs w:val="0"/>
          <w:color w:val="auto"/>
        </w:rPr>
        <w:t>the distribution of differentially abundant metabolite and lipid features according to their p-value and log2fold</w:t>
      </w:r>
      <w:r w:rsidR="00AE047E">
        <w:rPr>
          <w:i w:val="0"/>
          <w:iCs w:val="0"/>
          <w:color w:val="auto"/>
        </w:rPr>
        <w:t xml:space="preserve"> </w:t>
      </w:r>
      <w:r w:rsidR="00AE047E" w:rsidRPr="001B6FA1">
        <w:rPr>
          <w:i w:val="0"/>
          <w:iCs w:val="0"/>
          <w:color w:val="auto"/>
        </w:rPr>
        <w:t>change.</w:t>
      </w:r>
    </w:p>
    <w:p w14:paraId="5B872B58" w14:textId="77777777" w:rsidR="006001E9" w:rsidRPr="006001E9" w:rsidRDefault="006001E9" w:rsidP="006001E9"/>
    <w:p w14:paraId="6EF27F2B" w14:textId="296C6DDA" w:rsidR="00EB6024" w:rsidRDefault="00EB6024">
      <w:pPr>
        <w:rPr>
          <w:b/>
          <w:bCs/>
        </w:rPr>
      </w:pPr>
      <w:r>
        <w:rPr>
          <w:b/>
          <w:bCs/>
        </w:rPr>
        <w:lastRenderedPageBreak/>
        <w:t>Supplementary figure 4:</w:t>
      </w:r>
    </w:p>
    <w:p w14:paraId="3970A318" w14:textId="77777777" w:rsidR="003B4E3B" w:rsidRDefault="003B4E3B" w:rsidP="00E3275C">
      <w:pPr>
        <w:keepNext/>
      </w:pPr>
      <w:r>
        <w:rPr>
          <w:noProof/>
          <w:color w:val="FF0000"/>
        </w:rPr>
        <w:drawing>
          <wp:inline distT="0" distB="0" distL="0" distR="0" wp14:anchorId="58D71F61" wp14:editId="73F31E76">
            <wp:extent cx="8074855" cy="4605189"/>
            <wp:effectExtent l="0" t="0" r="2540" b="5080"/>
            <wp:docPr id="7489676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137493" cy="4640912"/>
                    </a:xfrm>
                    <a:prstGeom prst="rect">
                      <a:avLst/>
                    </a:prstGeom>
                    <a:noFill/>
                  </pic:spPr>
                </pic:pic>
              </a:graphicData>
            </a:graphic>
          </wp:inline>
        </w:drawing>
      </w:r>
    </w:p>
    <w:p w14:paraId="3BD3B05A" w14:textId="51E4A578" w:rsidR="00EB6024" w:rsidRPr="00E3275C" w:rsidRDefault="003B4E3B" w:rsidP="00E3275C">
      <w:pPr>
        <w:pStyle w:val="Caption"/>
        <w:rPr>
          <w:b/>
          <w:bCs/>
          <w:color w:val="000000" w:themeColor="text1"/>
        </w:rPr>
      </w:pPr>
      <w:r w:rsidRPr="00E3275C">
        <w:rPr>
          <w:i w:val="0"/>
          <w:iCs w:val="0"/>
          <w:color w:val="000000" w:themeColor="text1"/>
        </w:rPr>
        <w:t xml:space="preserve">Figure </w:t>
      </w:r>
      <w:r w:rsidRPr="00E3275C">
        <w:rPr>
          <w:i w:val="0"/>
          <w:iCs w:val="0"/>
          <w:color w:val="000000" w:themeColor="text1"/>
        </w:rPr>
        <w:fldChar w:fldCharType="begin"/>
      </w:r>
      <w:r w:rsidRPr="00E3275C">
        <w:rPr>
          <w:i w:val="0"/>
          <w:iCs w:val="0"/>
          <w:color w:val="000000" w:themeColor="text1"/>
        </w:rPr>
        <w:instrText xml:space="preserve"> SEQ Figure \* ARABIC </w:instrText>
      </w:r>
      <w:r w:rsidRPr="00E3275C">
        <w:rPr>
          <w:i w:val="0"/>
          <w:iCs w:val="0"/>
          <w:color w:val="000000" w:themeColor="text1"/>
        </w:rPr>
        <w:fldChar w:fldCharType="separate"/>
      </w:r>
      <w:r w:rsidRPr="00E3275C">
        <w:rPr>
          <w:i w:val="0"/>
          <w:iCs w:val="0"/>
          <w:noProof/>
          <w:color w:val="000000" w:themeColor="text1"/>
        </w:rPr>
        <w:t>4</w:t>
      </w:r>
      <w:r w:rsidRPr="00E3275C">
        <w:rPr>
          <w:i w:val="0"/>
          <w:iCs w:val="0"/>
          <w:color w:val="000000" w:themeColor="text1"/>
        </w:rPr>
        <w:fldChar w:fldCharType="end"/>
      </w:r>
      <w:r w:rsidRPr="00E3275C">
        <w:rPr>
          <w:i w:val="0"/>
          <w:iCs w:val="0"/>
          <w:color w:val="000000" w:themeColor="text1"/>
        </w:rPr>
        <w:t xml:space="preserve">: </w:t>
      </w:r>
      <w:r>
        <w:rPr>
          <w:i w:val="0"/>
          <w:iCs w:val="0"/>
          <w:color w:val="000000" w:themeColor="text1"/>
        </w:rPr>
        <w:t xml:space="preserve">Scatterplot showing the ratio between PC(16:0_22:6) and LPC(16:0) for each patient at each timepoint. </w:t>
      </w:r>
    </w:p>
    <w:p w14:paraId="0991EA9C" w14:textId="77777777" w:rsidR="00EB6024" w:rsidRDefault="00EB6024">
      <w:pPr>
        <w:rPr>
          <w:b/>
          <w:bCs/>
        </w:rPr>
      </w:pPr>
    </w:p>
    <w:p w14:paraId="2C05A83E" w14:textId="5837C7A2" w:rsidR="004A11A7" w:rsidRPr="001358F0" w:rsidRDefault="004A11A7">
      <w:pPr>
        <w:rPr>
          <w:b/>
          <w:bCs/>
        </w:rPr>
      </w:pPr>
      <w:r w:rsidRPr="001358F0">
        <w:rPr>
          <w:b/>
          <w:bCs/>
        </w:rPr>
        <w:t>Materials and sma</w:t>
      </w:r>
      <w:r w:rsidR="000271FA" w:rsidRPr="001358F0">
        <w:rPr>
          <w:b/>
          <w:bCs/>
        </w:rPr>
        <w:t>ll equipment:</w:t>
      </w:r>
    </w:p>
    <w:p w14:paraId="53A49F55" w14:textId="56E02692" w:rsidR="000271FA" w:rsidRPr="00311807" w:rsidRDefault="005F1832" w:rsidP="00311807">
      <w:pPr>
        <w:pStyle w:val="Body"/>
        <w:spacing w:before="240" w:line="360" w:lineRule="auto"/>
        <w:rPr>
          <w:rFonts w:asciiTheme="minorHAnsi" w:hAnsiTheme="minorHAnsi" w:cstheme="minorHAnsi"/>
          <w:color w:val="auto"/>
          <w:sz w:val="22"/>
          <w:szCs w:val="18"/>
        </w:rPr>
      </w:pPr>
      <w:r>
        <w:rPr>
          <w:rFonts w:asciiTheme="minorHAnsi" w:hAnsiTheme="minorHAnsi" w:cstheme="minorHAnsi"/>
          <w:color w:val="auto"/>
          <w:sz w:val="22"/>
          <w:szCs w:val="18"/>
        </w:rPr>
        <w:lastRenderedPageBreak/>
        <w:t>Organic solvents used included Methanol (MeOH, LC-MS grade, Rathburn Chemicals), 2-propanol (IPA, LC-MS grade, VWR chemicals) and acetonitrile (ACN, LC-MS grade, Rathburn Chemicals).  In addition, formic acid (FA, 98%, place) and ammonium format (AF, LC-MS grade, Sigma Aldrich),</w:t>
      </w:r>
      <w:r w:rsidRPr="00956A77">
        <w:rPr>
          <w:rFonts w:ascii="Roboto" w:eastAsiaTheme="minorHAnsi" w:hAnsi="Roboto" w:cstheme="minorBidi"/>
          <w:color w:val="151515"/>
          <w:sz w:val="22"/>
          <w:szCs w:val="22"/>
          <w:bdr w:val="none" w:sz="0" w:space="0" w:color="auto"/>
          <w:shd w:val="clear" w:color="auto" w:fill="FFFFFF"/>
          <w:lang w:eastAsia="en-US"/>
          <w14:textOutline w14:w="0" w14:cap="rnd" w14:cmpd="sng" w14:algn="ctr">
            <w14:noFill/>
            <w14:prstDash w14:val="solid"/>
            <w14:bevel/>
          </w14:textOutline>
        </w:rPr>
        <w:t xml:space="preserve"> </w:t>
      </w:r>
      <w:r>
        <w:rPr>
          <w:rFonts w:asciiTheme="minorHAnsi" w:hAnsiTheme="minorHAnsi" w:cstheme="minorHAnsi"/>
          <w:color w:val="auto"/>
          <w:sz w:val="22"/>
          <w:szCs w:val="18"/>
        </w:rPr>
        <w:t>a</w:t>
      </w:r>
      <w:r w:rsidRPr="00956A77">
        <w:rPr>
          <w:rFonts w:asciiTheme="minorHAnsi" w:hAnsiTheme="minorHAnsi" w:cstheme="minorHAnsi"/>
          <w:color w:val="auto"/>
          <w:sz w:val="22"/>
          <w:szCs w:val="18"/>
        </w:rPr>
        <w:t>ll water used was of type 1 (&gt;18 MΩ cm)</w:t>
      </w:r>
      <w:r>
        <w:rPr>
          <w:rFonts w:asciiTheme="minorHAnsi" w:hAnsiTheme="minorHAnsi" w:cstheme="minorHAnsi"/>
          <w:color w:val="auto"/>
          <w:sz w:val="22"/>
          <w:szCs w:val="18"/>
        </w:rPr>
        <w:t xml:space="preserve"> (</w:t>
      </w:r>
      <w:r w:rsidRPr="00956A77">
        <w:rPr>
          <w:rFonts w:asciiTheme="minorHAnsi" w:hAnsiTheme="minorHAnsi" w:cstheme="minorHAnsi"/>
          <w:color w:val="auto"/>
          <w:sz w:val="22"/>
          <w:szCs w:val="18"/>
        </w:rPr>
        <w:t>MilliQ</w:t>
      </w:r>
      <w:r>
        <w:rPr>
          <w:rFonts w:asciiTheme="minorHAnsi" w:hAnsiTheme="minorHAnsi" w:cstheme="minorHAnsi"/>
          <w:color w:val="auto"/>
          <w:sz w:val="22"/>
          <w:szCs w:val="18"/>
        </w:rPr>
        <w:t xml:space="preserve">, </w:t>
      </w:r>
      <w:r w:rsidRPr="00956A77">
        <w:rPr>
          <w:rFonts w:asciiTheme="minorHAnsi" w:hAnsiTheme="minorHAnsi" w:cstheme="minorHAnsi"/>
          <w:color w:val="auto"/>
          <w:sz w:val="22"/>
          <w:szCs w:val="18"/>
        </w:rPr>
        <w:t>Merck Millipore, Darmstadt, Germany)</w:t>
      </w:r>
      <w:r>
        <w:rPr>
          <w:rFonts w:asciiTheme="minorHAnsi" w:hAnsiTheme="minorHAnsi" w:cstheme="minorHAnsi"/>
          <w:color w:val="auto"/>
          <w:sz w:val="22"/>
          <w:szCs w:val="18"/>
        </w:rPr>
        <w:t>. Small equipment included pipettes (</w:t>
      </w:r>
      <w:r w:rsidRPr="00E11362">
        <w:rPr>
          <w:rFonts w:asciiTheme="minorHAnsi" w:hAnsiTheme="minorHAnsi" w:cstheme="minorHAnsi"/>
          <w:color w:val="auto"/>
          <w:sz w:val="22"/>
          <w:szCs w:val="18"/>
        </w:rPr>
        <w:t>FisherbrandTM EliteTM adjustable-volume pipettes from Fisher</w:t>
      </w:r>
      <w:r>
        <w:rPr>
          <w:rFonts w:asciiTheme="minorHAnsi" w:hAnsiTheme="minorHAnsi" w:cstheme="minorHAnsi"/>
          <w:color w:val="auto"/>
          <w:sz w:val="22"/>
          <w:szCs w:val="18"/>
        </w:rPr>
        <w:t xml:space="preserve"> </w:t>
      </w:r>
      <w:r w:rsidRPr="00E11362">
        <w:rPr>
          <w:rFonts w:asciiTheme="minorHAnsi" w:hAnsiTheme="minorHAnsi" w:cstheme="minorHAnsi"/>
          <w:color w:val="auto"/>
          <w:sz w:val="22"/>
          <w:szCs w:val="18"/>
        </w:rPr>
        <w:t>Scientific).</w:t>
      </w:r>
      <w:r>
        <w:rPr>
          <w:rFonts w:asciiTheme="minorHAnsi" w:hAnsiTheme="minorHAnsi" w:cstheme="minorHAnsi"/>
          <w:color w:val="auto"/>
          <w:sz w:val="22"/>
          <w:szCs w:val="18"/>
        </w:rPr>
        <w:t xml:space="preserve"> </w:t>
      </w:r>
      <w:r w:rsidRPr="007B288D">
        <w:rPr>
          <w:rFonts w:asciiTheme="minorHAnsi" w:hAnsiTheme="minorHAnsi" w:cstheme="minorHAnsi"/>
          <w:color w:val="auto"/>
          <w:sz w:val="22"/>
          <w:szCs w:val="18"/>
        </w:rPr>
        <w:t>For LC analysis, Snap-top vial, Snap Ring Cap and 0.1 mL Micro-Insert, from Matriks AS (Oslo, Norway). Analytical weight AG 245 from Mettler-Toledo (Columbus, OH, USA). For sample preparation FrescoTM Microcentrifuge from Thermo Fisher Scientific (Waltham, MA, USA)</w:t>
      </w:r>
      <w:r>
        <w:rPr>
          <w:rFonts w:asciiTheme="minorHAnsi" w:hAnsiTheme="minorHAnsi" w:cstheme="minorHAnsi"/>
          <w:color w:val="auto"/>
          <w:sz w:val="22"/>
          <w:szCs w:val="18"/>
        </w:rPr>
        <w:t xml:space="preserve">. </w:t>
      </w:r>
    </w:p>
    <w:p w14:paraId="5A7613D7" w14:textId="158BEC4D" w:rsidR="00527948" w:rsidRPr="001358F0" w:rsidRDefault="002904FA">
      <w:pPr>
        <w:rPr>
          <w:b/>
          <w:bCs/>
        </w:rPr>
      </w:pPr>
      <w:r w:rsidRPr="001358F0">
        <w:rPr>
          <w:b/>
          <w:bCs/>
        </w:rPr>
        <w:t>Sample preparation:</w:t>
      </w:r>
    </w:p>
    <w:p w14:paraId="3E8D4EF1" w14:textId="070E45E3" w:rsidR="003C3524" w:rsidRPr="00523CCA" w:rsidRDefault="003C3524" w:rsidP="003C3524">
      <w:pPr>
        <w:pStyle w:val="Body"/>
        <w:spacing w:before="240" w:line="360" w:lineRule="auto"/>
        <w:rPr>
          <w:rFonts w:asciiTheme="minorHAnsi" w:hAnsiTheme="minorHAnsi" w:cstheme="minorBidi"/>
          <w:color w:val="auto"/>
          <w:sz w:val="22"/>
          <w:szCs w:val="22"/>
        </w:rPr>
      </w:pPr>
      <w:r w:rsidRPr="78726EB8">
        <w:rPr>
          <w:rFonts w:asciiTheme="minorHAnsi" w:hAnsiTheme="minorHAnsi" w:cstheme="minorBidi"/>
          <w:color w:val="auto"/>
          <w:sz w:val="22"/>
          <w:szCs w:val="22"/>
        </w:rPr>
        <w:t>Before preparing the samples for analysis the EDTA plasma aliquots were thawed in room temperature (30 minutes, in capped tubes). Proteins were precipitated by adding 90 µL of cold organic solvent (</w:t>
      </w:r>
      <w:r>
        <w:rPr>
          <w:rFonts w:asciiTheme="minorHAnsi" w:hAnsiTheme="minorHAnsi" w:cstheme="minorBidi"/>
          <w:color w:val="auto"/>
          <w:sz w:val="22"/>
          <w:szCs w:val="22"/>
        </w:rPr>
        <w:t>2-</w:t>
      </w:r>
      <w:r w:rsidRPr="78726EB8">
        <w:rPr>
          <w:rFonts w:asciiTheme="minorHAnsi" w:hAnsiTheme="minorHAnsi" w:cstheme="minorBidi"/>
          <w:color w:val="auto"/>
          <w:sz w:val="22"/>
          <w:szCs w:val="22"/>
        </w:rPr>
        <w:t>propanol (IPA) for lipidomics and methanol (MeOH) for metabolomics) to 30 µL of EDTA plasma. Samples were then vortexed before centrifugation (10 min, 4 degrees Celsius, at 21 100 g).  After centrifugation the supernatant was taken out and placed in HPLC vials with glass inserts and capped.</w:t>
      </w:r>
      <w:r w:rsidR="009A7076" w:rsidRPr="009A7076">
        <w:rPr>
          <w:rFonts w:asciiTheme="minorHAnsi" w:hAnsiTheme="minorHAnsi" w:cstheme="minorBidi"/>
          <w:color w:val="auto"/>
          <w:sz w:val="22"/>
          <w:szCs w:val="22"/>
        </w:rPr>
        <w:t xml:space="preserve"> </w:t>
      </w:r>
      <w:r w:rsidR="009A7076" w:rsidRPr="78726EB8">
        <w:rPr>
          <w:rFonts w:asciiTheme="minorHAnsi" w:hAnsiTheme="minorHAnsi" w:cstheme="minorBidi"/>
          <w:color w:val="auto"/>
          <w:sz w:val="22"/>
          <w:szCs w:val="22"/>
        </w:rPr>
        <w:t>One aliquot</w:t>
      </w:r>
      <w:r w:rsidR="009A7076">
        <w:rPr>
          <w:rFonts w:asciiTheme="minorHAnsi" w:hAnsiTheme="minorHAnsi" w:cstheme="minorBidi"/>
          <w:color w:val="auto"/>
          <w:sz w:val="22"/>
          <w:szCs w:val="22"/>
        </w:rPr>
        <w:t xml:space="preserve"> (20 µL)</w:t>
      </w:r>
      <w:r w:rsidR="009A7076" w:rsidRPr="78726EB8">
        <w:rPr>
          <w:rFonts w:asciiTheme="minorHAnsi" w:hAnsiTheme="minorHAnsi" w:cstheme="minorBidi"/>
          <w:color w:val="auto"/>
          <w:sz w:val="22"/>
          <w:szCs w:val="22"/>
        </w:rPr>
        <w:t xml:space="preserve"> </w:t>
      </w:r>
      <w:r w:rsidR="006A4A2D">
        <w:rPr>
          <w:rFonts w:asciiTheme="minorHAnsi" w:hAnsiTheme="minorHAnsi" w:cstheme="minorBidi"/>
          <w:color w:val="auto"/>
          <w:sz w:val="22"/>
          <w:szCs w:val="22"/>
        </w:rPr>
        <w:t>from</w:t>
      </w:r>
      <w:r w:rsidR="009A7076" w:rsidRPr="78726EB8">
        <w:rPr>
          <w:rFonts w:asciiTheme="minorHAnsi" w:hAnsiTheme="minorHAnsi" w:cstheme="minorBidi"/>
          <w:color w:val="auto"/>
          <w:sz w:val="22"/>
          <w:szCs w:val="22"/>
        </w:rPr>
        <w:t xml:space="preserve"> each </w:t>
      </w:r>
      <w:r w:rsidR="009A7076">
        <w:rPr>
          <w:rFonts w:asciiTheme="minorHAnsi" w:hAnsiTheme="minorHAnsi" w:cstheme="minorBidi"/>
          <w:color w:val="auto"/>
          <w:sz w:val="22"/>
          <w:szCs w:val="22"/>
        </w:rPr>
        <w:t>supernatant after sample preparation</w:t>
      </w:r>
      <w:r w:rsidR="009A7076" w:rsidRPr="78726EB8">
        <w:rPr>
          <w:rFonts w:asciiTheme="minorHAnsi" w:hAnsiTheme="minorHAnsi" w:cstheme="minorBidi"/>
          <w:color w:val="auto"/>
          <w:sz w:val="22"/>
          <w:szCs w:val="22"/>
        </w:rPr>
        <w:t xml:space="preserve"> was </w:t>
      </w:r>
      <w:r w:rsidR="00D87E85">
        <w:rPr>
          <w:rFonts w:asciiTheme="minorHAnsi" w:hAnsiTheme="minorHAnsi" w:cstheme="minorBidi"/>
          <w:color w:val="auto"/>
          <w:sz w:val="22"/>
          <w:szCs w:val="22"/>
        </w:rPr>
        <w:t>combined</w:t>
      </w:r>
      <w:r w:rsidR="009A7076">
        <w:rPr>
          <w:rFonts w:asciiTheme="minorHAnsi" w:hAnsiTheme="minorHAnsi" w:cstheme="minorBidi"/>
          <w:color w:val="auto"/>
          <w:sz w:val="22"/>
          <w:szCs w:val="22"/>
        </w:rPr>
        <w:t xml:space="preserve"> </w:t>
      </w:r>
      <w:r w:rsidR="009A7076" w:rsidRPr="78726EB8">
        <w:rPr>
          <w:rFonts w:asciiTheme="minorHAnsi" w:hAnsiTheme="minorHAnsi" w:cstheme="minorBidi"/>
          <w:color w:val="auto"/>
          <w:sz w:val="22"/>
          <w:szCs w:val="22"/>
        </w:rPr>
        <w:t>to create a pooled quality control (PQC). Separate PQC</w:t>
      </w:r>
      <w:r w:rsidR="00C74A87">
        <w:rPr>
          <w:rFonts w:asciiTheme="minorHAnsi" w:hAnsiTheme="minorHAnsi" w:cstheme="minorBidi"/>
          <w:color w:val="auto"/>
          <w:sz w:val="22"/>
          <w:szCs w:val="22"/>
        </w:rPr>
        <w:t>s</w:t>
      </w:r>
      <w:r w:rsidR="009A7076" w:rsidRPr="78726EB8">
        <w:rPr>
          <w:rFonts w:asciiTheme="minorHAnsi" w:hAnsiTheme="minorHAnsi" w:cstheme="minorBidi"/>
          <w:color w:val="auto"/>
          <w:sz w:val="22"/>
          <w:szCs w:val="22"/>
        </w:rPr>
        <w:t xml:space="preserve"> w</w:t>
      </w:r>
      <w:r w:rsidR="006A4A2D">
        <w:rPr>
          <w:rFonts w:asciiTheme="minorHAnsi" w:hAnsiTheme="minorHAnsi" w:cstheme="minorBidi"/>
          <w:color w:val="auto"/>
          <w:sz w:val="22"/>
          <w:szCs w:val="22"/>
        </w:rPr>
        <w:t>ere</w:t>
      </w:r>
      <w:r w:rsidR="009A7076" w:rsidRPr="78726EB8">
        <w:rPr>
          <w:rFonts w:asciiTheme="minorHAnsi" w:hAnsiTheme="minorHAnsi" w:cstheme="minorBidi"/>
          <w:color w:val="auto"/>
          <w:sz w:val="22"/>
          <w:szCs w:val="22"/>
        </w:rPr>
        <w:t xml:space="preserve"> made and used for lipidomics and metabolomics analysis</w:t>
      </w:r>
      <w:r w:rsidRPr="78726EB8">
        <w:rPr>
          <w:rFonts w:asciiTheme="minorHAnsi" w:hAnsiTheme="minorHAnsi" w:cstheme="minorBidi"/>
          <w:color w:val="auto"/>
          <w:sz w:val="22"/>
          <w:szCs w:val="22"/>
        </w:rPr>
        <w:t xml:space="preserve">. Blank samples were prepared in the same fashion as the EDTA-plasma samples, except EDTA-plasma was replaced by water. All storage samples were analyzed in one analytical batch, likewise for samples with a single additional freeze-thaw cycle. </w:t>
      </w:r>
    </w:p>
    <w:p w14:paraId="68D58233" w14:textId="77777777" w:rsidR="0009524D" w:rsidRDefault="0009524D" w:rsidP="0009524D">
      <w:pPr>
        <w:pStyle w:val="Body"/>
        <w:spacing w:before="240" w:line="360" w:lineRule="auto"/>
        <w:rPr>
          <w:rFonts w:asciiTheme="minorHAnsi" w:hAnsiTheme="minorHAnsi" w:cstheme="minorHAnsi"/>
          <w:b/>
          <w:bCs/>
          <w:color w:val="auto"/>
          <w:sz w:val="22"/>
          <w:szCs w:val="18"/>
        </w:rPr>
      </w:pPr>
      <w:r>
        <w:rPr>
          <w:rFonts w:asciiTheme="minorHAnsi" w:hAnsiTheme="minorHAnsi" w:cstheme="minorHAnsi"/>
          <w:b/>
          <w:bCs/>
          <w:color w:val="auto"/>
          <w:sz w:val="22"/>
          <w:szCs w:val="18"/>
        </w:rPr>
        <w:t>Global LCMS Metabolomics Analysis:</w:t>
      </w:r>
    </w:p>
    <w:p w14:paraId="61F0DAAF" w14:textId="6C13B57D" w:rsidR="0009524D" w:rsidRPr="002D26A3" w:rsidRDefault="0009524D" w:rsidP="0009524D">
      <w:pPr>
        <w:pStyle w:val="Body"/>
        <w:spacing w:before="240" w:line="360" w:lineRule="auto"/>
        <w:rPr>
          <w:rFonts w:asciiTheme="minorHAnsi" w:hAnsiTheme="minorHAnsi" w:cstheme="minorHAnsi"/>
          <w:color w:val="auto"/>
          <w:sz w:val="22"/>
          <w:szCs w:val="18"/>
        </w:rPr>
      </w:pPr>
      <w:r>
        <w:rPr>
          <w:rFonts w:asciiTheme="minorHAnsi" w:hAnsiTheme="minorHAnsi" w:cstheme="minorHAnsi"/>
          <w:color w:val="auto"/>
          <w:sz w:val="22"/>
          <w:szCs w:val="18"/>
        </w:rPr>
        <w:t xml:space="preserve">Global metabolomics </w:t>
      </w:r>
      <w:r w:rsidRPr="00454C4B">
        <w:rPr>
          <w:rFonts w:asciiTheme="minorHAnsi" w:hAnsiTheme="minorHAnsi" w:cstheme="minorHAnsi"/>
          <w:color w:val="auto"/>
          <w:sz w:val="22"/>
          <w:szCs w:val="18"/>
        </w:rPr>
        <w:t>was performed using an Ultimate 3000 HPLC coupled to a Q-Exactive Orbitrap MS (Thermo Fisher) with electrospray ionization. A Pursuit XRs Diphenyl column (</w:t>
      </w:r>
      <w:r w:rsidR="0025282B">
        <w:rPr>
          <w:rFonts w:asciiTheme="minorHAnsi" w:hAnsiTheme="minorHAnsi" w:cstheme="minorHAnsi"/>
          <w:color w:val="auto"/>
          <w:sz w:val="22"/>
          <w:szCs w:val="18"/>
        </w:rPr>
        <w:t>250 mm</w:t>
      </w:r>
      <w:r w:rsidR="000447E0">
        <w:rPr>
          <w:rFonts w:asciiTheme="minorHAnsi" w:hAnsiTheme="minorHAnsi" w:cstheme="minorHAnsi"/>
          <w:color w:val="auto"/>
          <w:sz w:val="22"/>
          <w:szCs w:val="18"/>
        </w:rPr>
        <w:t xml:space="preserve"> x 2.0 mm, particle size 3.0 µm)</w:t>
      </w:r>
      <w:r w:rsidRPr="00454C4B">
        <w:rPr>
          <w:rFonts w:asciiTheme="minorHAnsi" w:hAnsiTheme="minorHAnsi" w:cstheme="minorHAnsi"/>
          <w:color w:val="auto"/>
          <w:sz w:val="22"/>
          <w:szCs w:val="18"/>
        </w:rPr>
        <w:t xml:space="preserve"> was used</w:t>
      </w:r>
      <w:r w:rsidR="000447E0">
        <w:rPr>
          <w:rFonts w:asciiTheme="minorHAnsi" w:hAnsiTheme="minorHAnsi" w:cstheme="minorHAnsi"/>
          <w:color w:val="auto"/>
          <w:sz w:val="22"/>
          <w:szCs w:val="18"/>
        </w:rPr>
        <w:t xml:space="preserve"> for separating metabolites features from each other</w:t>
      </w:r>
      <w:r w:rsidRPr="00454C4B">
        <w:rPr>
          <w:rFonts w:asciiTheme="minorHAnsi" w:hAnsiTheme="minorHAnsi" w:cstheme="minorHAnsi"/>
          <w:color w:val="auto"/>
          <w:sz w:val="22"/>
          <w:szCs w:val="18"/>
        </w:rPr>
        <w:t xml:space="preserve">. </w:t>
      </w:r>
      <w:r w:rsidR="009667F8">
        <w:rPr>
          <w:rFonts w:asciiTheme="minorHAnsi" w:hAnsiTheme="minorHAnsi" w:cstheme="minorHAnsi"/>
          <w:color w:val="auto"/>
          <w:sz w:val="22"/>
          <w:szCs w:val="18"/>
        </w:rPr>
        <w:t xml:space="preserve">The method uses gradient elution </w:t>
      </w:r>
      <w:r w:rsidR="00E40640">
        <w:rPr>
          <w:rFonts w:asciiTheme="minorHAnsi" w:hAnsiTheme="minorHAnsi" w:cstheme="minorHAnsi"/>
          <w:color w:val="auto"/>
          <w:sz w:val="22"/>
          <w:szCs w:val="18"/>
        </w:rPr>
        <w:t>combining</w:t>
      </w:r>
      <w:r w:rsidR="009667F8">
        <w:rPr>
          <w:rFonts w:asciiTheme="minorHAnsi" w:hAnsiTheme="minorHAnsi" w:cstheme="minorHAnsi"/>
          <w:color w:val="auto"/>
          <w:sz w:val="22"/>
          <w:szCs w:val="18"/>
        </w:rPr>
        <w:t xml:space="preserve"> mobile phase </w:t>
      </w:r>
      <w:r w:rsidR="00895591">
        <w:rPr>
          <w:rFonts w:asciiTheme="minorHAnsi" w:hAnsiTheme="minorHAnsi" w:cstheme="minorHAnsi"/>
          <w:color w:val="auto"/>
          <w:sz w:val="22"/>
          <w:szCs w:val="18"/>
        </w:rPr>
        <w:t>A</w:t>
      </w:r>
      <w:r w:rsidR="009667F8">
        <w:rPr>
          <w:rFonts w:asciiTheme="minorHAnsi" w:hAnsiTheme="minorHAnsi" w:cstheme="minorHAnsi"/>
          <w:color w:val="auto"/>
          <w:sz w:val="22"/>
          <w:szCs w:val="18"/>
        </w:rPr>
        <w:t xml:space="preserve"> (</w:t>
      </w:r>
      <w:r w:rsidR="00E40640">
        <w:rPr>
          <w:rFonts w:asciiTheme="minorHAnsi" w:hAnsiTheme="minorHAnsi" w:cstheme="minorHAnsi"/>
          <w:color w:val="auto"/>
          <w:sz w:val="22"/>
          <w:szCs w:val="18"/>
        </w:rPr>
        <w:t xml:space="preserve">water and 0.1% formic acid) and mobile phase </w:t>
      </w:r>
      <w:r w:rsidR="00895591">
        <w:rPr>
          <w:rFonts w:asciiTheme="minorHAnsi" w:hAnsiTheme="minorHAnsi" w:cstheme="minorHAnsi"/>
          <w:color w:val="auto"/>
          <w:sz w:val="22"/>
          <w:szCs w:val="18"/>
        </w:rPr>
        <w:t>B</w:t>
      </w:r>
      <w:r w:rsidR="00E40640">
        <w:rPr>
          <w:rFonts w:asciiTheme="minorHAnsi" w:hAnsiTheme="minorHAnsi" w:cstheme="minorHAnsi"/>
          <w:color w:val="auto"/>
          <w:sz w:val="22"/>
          <w:szCs w:val="18"/>
        </w:rPr>
        <w:t xml:space="preserve"> (</w:t>
      </w:r>
      <w:r w:rsidR="00895591">
        <w:rPr>
          <w:rFonts w:asciiTheme="minorHAnsi" w:hAnsiTheme="minorHAnsi" w:cstheme="minorHAnsi"/>
          <w:color w:val="auto"/>
          <w:sz w:val="22"/>
          <w:szCs w:val="18"/>
        </w:rPr>
        <w:t>MeOH</w:t>
      </w:r>
      <w:r w:rsidR="00E40640">
        <w:rPr>
          <w:rFonts w:asciiTheme="minorHAnsi" w:hAnsiTheme="minorHAnsi" w:cstheme="minorHAnsi"/>
          <w:color w:val="auto"/>
          <w:sz w:val="22"/>
          <w:szCs w:val="18"/>
        </w:rPr>
        <w:t xml:space="preserve"> and 0.1% formic acid). </w:t>
      </w:r>
      <w:r w:rsidRPr="00454C4B">
        <w:rPr>
          <w:rFonts w:asciiTheme="minorHAnsi" w:hAnsiTheme="minorHAnsi" w:cstheme="minorHAnsi"/>
          <w:color w:val="auto"/>
          <w:sz w:val="22"/>
          <w:szCs w:val="18"/>
        </w:rPr>
        <w:t>Samples were analyzed in both positive and negative ionization modes</w:t>
      </w:r>
      <w:r w:rsidR="00AB58D9">
        <w:rPr>
          <w:rFonts w:asciiTheme="minorHAnsi" w:hAnsiTheme="minorHAnsi" w:cstheme="minorHAnsi"/>
          <w:color w:val="auto"/>
          <w:sz w:val="22"/>
          <w:szCs w:val="18"/>
        </w:rPr>
        <w:t>, and the injection volume was set to 2 µL</w:t>
      </w:r>
      <w:r w:rsidRPr="00454C4B">
        <w:rPr>
          <w:rFonts w:asciiTheme="minorHAnsi" w:hAnsiTheme="minorHAnsi" w:cstheme="minorHAnsi"/>
          <w:color w:val="auto"/>
          <w:sz w:val="22"/>
          <w:szCs w:val="18"/>
        </w:rPr>
        <w:t>.</w:t>
      </w:r>
      <w:r w:rsidR="00756A2C">
        <w:rPr>
          <w:rFonts w:asciiTheme="minorHAnsi" w:hAnsiTheme="minorHAnsi" w:cstheme="minorHAnsi"/>
          <w:color w:val="auto"/>
          <w:sz w:val="22"/>
          <w:szCs w:val="18"/>
        </w:rPr>
        <w:t xml:space="preserve"> </w:t>
      </w:r>
      <w:r w:rsidR="00761FF8">
        <w:rPr>
          <w:rFonts w:asciiTheme="minorHAnsi" w:hAnsiTheme="minorHAnsi" w:cstheme="minorHAnsi"/>
          <w:color w:val="auto"/>
          <w:sz w:val="22"/>
          <w:szCs w:val="18"/>
        </w:rPr>
        <w:t>All samples were analyzed in MS1 with a resolution of 70 000, for acquiring fragmentation spectra</w:t>
      </w:r>
      <w:r w:rsidR="000A332F">
        <w:rPr>
          <w:rFonts w:asciiTheme="minorHAnsi" w:hAnsiTheme="minorHAnsi" w:cstheme="minorHAnsi"/>
          <w:color w:val="auto"/>
          <w:sz w:val="22"/>
          <w:szCs w:val="18"/>
        </w:rPr>
        <w:t xml:space="preserve"> (MSMS) data-dependent </w:t>
      </w:r>
      <w:r w:rsidR="000A332F">
        <w:rPr>
          <w:rFonts w:asciiTheme="minorHAnsi" w:hAnsiTheme="minorHAnsi" w:cstheme="minorHAnsi"/>
          <w:color w:val="auto"/>
          <w:sz w:val="22"/>
          <w:szCs w:val="18"/>
        </w:rPr>
        <w:lastRenderedPageBreak/>
        <w:t>acquisition (top 5) was used.</w:t>
      </w:r>
      <w:r w:rsidR="00D66AAA">
        <w:rPr>
          <w:rFonts w:asciiTheme="minorHAnsi" w:hAnsiTheme="minorHAnsi" w:cstheme="minorHAnsi"/>
          <w:color w:val="auto"/>
          <w:sz w:val="22"/>
          <w:szCs w:val="18"/>
        </w:rPr>
        <w:t xml:space="preserve"> </w:t>
      </w:r>
      <w:r w:rsidR="005857B8">
        <w:rPr>
          <w:rFonts w:asciiTheme="minorHAnsi" w:hAnsiTheme="minorHAnsi" w:cstheme="minorHAnsi"/>
          <w:color w:val="auto"/>
          <w:sz w:val="22"/>
          <w:szCs w:val="18"/>
        </w:rPr>
        <w:t>Resolution for MSMS acquisition was set to 17 500, and the stepped normalized collision energies w</w:t>
      </w:r>
      <w:r w:rsidR="006050E3">
        <w:rPr>
          <w:rFonts w:asciiTheme="minorHAnsi" w:hAnsiTheme="minorHAnsi" w:cstheme="minorHAnsi"/>
          <w:color w:val="auto"/>
          <w:sz w:val="22"/>
          <w:szCs w:val="18"/>
        </w:rPr>
        <w:t>ere</w:t>
      </w:r>
      <w:r w:rsidR="005857B8">
        <w:rPr>
          <w:rFonts w:asciiTheme="minorHAnsi" w:hAnsiTheme="minorHAnsi" w:cstheme="minorHAnsi"/>
          <w:color w:val="auto"/>
          <w:sz w:val="22"/>
          <w:szCs w:val="18"/>
        </w:rPr>
        <w:t xml:space="preserve"> set to 20, 50 and 80, dynamic exclusion was set to 10 seconds.</w:t>
      </w:r>
      <w:r w:rsidR="00AA450E">
        <w:rPr>
          <w:rFonts w:asciiTheme="minorHAnsi" w:hAnsiTheme="minorHAnsi" w:cstheme="minorHAnsi"/>
          <w:color w:val="auto"/>
          <w:sz w:val="22"/>
          <w:szCs w:val="18"/>
        </w:rPr>
        <w:t xml:space="preserve"> Ions </w:t>
      </w:r>
      <w:r w:rsidR="00E3275C">
        <w:rPr>
          <w:rFonts w:asciiTheme="minorHAnsi" w:hAnsiTheme="minorHAnsi" w:cstheme="minorHAnsi"/>
          <w:color w:val="auto"/>
          <w:sz w:val="22"/>
          <w:szCs w:val="18"/>
        </w:rPr>
        <w:t>were</w:t>
      </w:r>
      <w:r w:rsidR="00AA450E">
        <w:rPr>
          <w:rFonts w:asciiTheme="minorHAnsi" w:hAnsiTheme="minorHAnsi" w:cstheme="minorHAnsi"/>
          <w:color w:val="auto"/>
          <w:sz w:val="22"/>
          <w:szCs w:val="18"/>
        </w:rPr>
        <w:t xml:space="preserve"> fragmented in the collision cell then analyzed in using the orbitrap.</w:t>
      </w:r>
      <w:r w:rsidR="005857B8">
        <w:rPr>
          <w:rFonts w:asciiTheme="minorHAnsi" w:hAnsiTheme="minorHAnsi" w:cstheme="minorHAnsi"/>
          <w:color w:val="auto"/>
          <w:sz w:val="22"/>
          <w:szCs w:val="18"/>
        </w:rPr>
        <w:t xml:space="preserve"> </w:t>
      </w:r>
      <w:r w:rsidR="00D66AAA">
        <w:rPr>
          <w:rFonts w:asciiTheme="minorHAnsi" w:hAnsiTheme="minorHAnsi" w:cstheme="minorHAnsi"/>
          <w:color w:val="auto"/>
          <w:sz w:val="22"/>
          <w:szCs w:val="18"/>
        </w:rPr>
        <w:t xml:space="preserve">Scan range was set to </w:t>
      </w:r>
      <w:r w:rsidR="00982620">
        <w:rPr>
          <w:rFonts w:asciiTheme="minorHAnsi" w:hAnsiTheme="minorHAnsi" w:cstheme="minorHAnsi"/>
          <w:color w:val="auto"/>
          <w:sz w:val="22"/>
          <w:szCs w:val="18"/>
        </w:rPr>
        <w:t>50-750 m/z in both ionization modes</w:t>
      </w:r>
      <w:r w:rsidR="00203325">
        <w:rPr>
          <w:rFonts w:asciiTheme="minorHAnsi" w:hAnsiTheme="minorHAnsi" w:cstheme="minorHAnsi"/>
          <w:color w:val="auto"/>
          <w:sz w:val="22"/>
          <w:szCs w:val="18"/>
        </w:rPr>
        <w:t xml:space="preserve">, electrospray voltage was </w:t>
      </w:r>
      <w:r w:rsidR="00DB685E">
        <w:rPr>
          <w:rFonts w:asciiTheme="minorHAnsi" w:hAnsiTheme="minorHAnsi" w:cstheme="minorHAnsi"/>
          <w:color w:val="auto"/>
          <w:sz w:val="22"/>
          <w:szCs w:val="18"/>
        </w:rPr>
        <w:t xml:space="preserve">3.5 kV </w:t>
      </w:r>
      <w:r w:rsidR="00203325">
        <w:rPr>
          <w:rFonts w:asciiTheme="minorHAnsi" w:hAnsiTheme="minorHAnsi" w:cstheme="minorHAnsi"/>
          <w:color w:val="auto"/>
          <w:sz w:val="22"/>
          <w:szCs w:val="18"/>
        </w:rPr>
        <w:t>for positive and negative ionization mode respectively</w:t>
      </w:r>
      <w:r w:rsidR="00982620">
        <w:rPr>
          <w:rFonts w:asciiTheme="minorHAnsi" w:hAnsiTheme="minorHAnsi" w:cstheme="minorHAnsi"/>
          <w:color w:val="auto"/>
          <w:sz w:val="22"/>
          <w:szCs w:val="18"/>
        </w:rPr>
        <w:t>.</w:t>
      </w:r>
      <w:r w:rsidR="000A332F">
        <w:rPr>
          <w:rFonts w:asciiTheme="minorHAnsi" w:hAnsiTheme="minorHAnsi" w:cstheme="minorHAnsi"/>
          <w:color w:val="auto"/>
          <w:sz w:val="22"/>
          <w:szCs w:val="18"/>
        </w:rPr>
        <w:t xml:space="preserve"> </w:t>
      </w:r>
      <w:r w:rsidRPr="00454C4B">
        <w:rPr>
          <w:rFonts w:asciiTheme="minorHAnsi" w:hAnsiTheme="minorHAnsi" w:cstheme="minorHAnsi"/>
          <w:color w:val="auto"/>
          <w:sz w:val="22"/>
          <w:szCs w:val="18"/>
        </w:rPr>
        <w:t>PQCs were injected every fifth sample</w:t>
      </w:r>
      <w:r w:rsidR="0090032C">
        <w:rPr>
          <w:rFonts w:asciiTheme="minorHAnsi" w:hAnsiTheme="minorHAnsi" w:cstheme="minorHAnsi"/>
          <w:color w:val="auto"/>
          <w:sz w:val="22"/>
          <w:szCs w:val="18"/>
        </w:rPr>
        <w:t xml:space="preserve">, </w:t>
      </w:r>
      <w:r w:rsidRPr="00454C4B">
        <w:rPr>
          <w:rFonts w:asciiTheme="minorHAnsi" w:hAnsiTheme="minorHAnsi" w:cstheme="minorHAnsi"/>
          <w:color w:val="auto"/>
          <w:sz w:val="22"/>
          <w:szCs w:val="18"/>
        </w:rPr>
        <w:t xml:space="preserve">system suitability tests </w:t>
      </w:r>
      <w:r w:rsidR="0090032C">
        <w:rPr>
          <w:rFonts w:asciiTheme="minorHAnsi" w:hAnsiTheme="minorHAnsi" w:cstheme="minorHAnsi"/>
          <w:color w:val="auto"/>
          <w:sz w:val="22"/>
          <w:szCs w:val="18"/>
        </w:rPr>
        <w:t xml:space="preserve">and blank samples </w:t>
      </w:r>
      <w:r w:rsidRPr="00454C4B">
        <w:rPr>
          <w:rFonts w:asciiTheme="minorHAnsi" w:hAnsiTheme="minorHAnsi" w:cstheme="minorHAnsi"/>
          <w:color w:val="auto"/>
          <w:sz w:val="22"/>
          <w:szCs w:val="18"/>
        </w:rPr>
        <w:t xml:space="preserve">were run at the beginning and end of each sequence. </w:t>
      </w:r>
      <w:r>
        <w:rPr>
          <w:rFonts w:asciiTheme="minorHAnsi" w:hAnsiTheme="minorHAnsi" w:cstheme="minorHAnsi"/>
          <w:color w:val="auto"/>
          <w:sz w:val="22"/>
          <w:szCs w:val="18"/>
        </w:rPr>
        <w:t>For more details regarding</w:t>
      </w:r>
      <w:r w:rsidR="001455A3">
        <w:rPr>
          <w:rFonts w:asciiTheme="minorHAnsi" w:hAnsiTheme="minorHAnsi" w:cstheme="minorHAnsi"/>
          <w:color w:val="auto"/>
          <w:sz w:val="22"/>
          <w:szCs w:val="18"/>
        </w:rPr>
        <w:t>, system suitability mixture,</w:t>
      </w:r>
      <w:r>
        <w:rPr>
          <w:rFonts w:asciiTheme="minorHAnsi" w:hAnsiTheme="minorHAnsi" w:cstheme="minorHAnsi"/>
          <w:color w:val="auto"/>
          <w:sz w:val="22"/>
          <w:szCs w:val="18"/>
        </w:rPr>
        <w:t xml:space="preserve"> LC and MS conditions and parameters please see protocol</w:t>
      </w:r>
      <w:r w:rsidRPr="002D26A3">
        <w:rPr>
          <w:rFonts w:asciiTheme="minorHAnsi" w:hAnsiTheme="minorHAnsi" w:cstheme="minorHAnsi"/>
          <w:color w:val="auto"/>
          <w:sz w:val="22"/>
          <w:szCs w:val="18"/>
        </w:rPr>
        <w:t xml:space="preserve"> </w:t>
      </w:r>
      <w:r>
        <w:rPr>
          <w:rFonts w:asciiTheme="minorHAnsi" w:hAnsiTheme="minorHAnsi" w:cstheme="minorHAnsi"/>
          <w:color w:val="auto"/>
          <w:sz w:val="22"/>
          <w:szCs w:val="18"/>
        </w:rPr>
        <w:t xml:space="preserve">from </w:t>
      </w:r>
      <w:r w:rsidRPr="002D26A3">
        <w:rPr>
          <w:rFonts w:asciiTheme="minorHAnsi" w:hAnsiTheme="minorHAnsi" w:cstheme="minorHAnsi"/>
          <w:color w:val="auto"/>
          <w:sz w:val="22"/>
          <w:szCs w:val="18"/>
        </w:rPr>
        <w:t xml:space="preserve">Skogvold </w:t>
      </w:r>
      <w:r>
        <w:rPr>
          <w:rFonts w:asciiTheme="minorHAnsi" w:hAnsiTheme="minorHAnsi" w:cstheme="minorHAnsi"/>
          <w:color w:val="auto"/>
          <w:sz w:val="22"/>
          <w:szCs w:val="18"/>
        </w:rPr>
        <w:t xml:space="preserve">et al. </w:t>
      </w:r>
      <w:r w:rsidRPr="002D26A3">
        <w:rPr>
          <w:rFonts w:asciiTheme="minorHAnsi" w:hAnsiTheme="minorHAnsi" w:cstheme="minorHAnsi"/>
          <w:color w:val="auto"/>
          <w:sz w:val="22"/>
          <w:szCs w:val="18"/>
        </w:rPr>
        <w:t>202</w:t>
      </w:r>
      <w:r>
        <w:rPr>
          <w:rFonts w:asciiTheme="minorHAnsi" w:hAnsiTheme="minorHAnsi" w:cstheme="minorHAnsi"/>
          <w:color w:val="auto"/>
          <w:sz w:val="22"/>
          <w:szCs w:val="18"/>
        </w:rPr>
        <w:t>5</w:t>
      </w:r>
      <w:r w:rsidR="00420DA9">
        <w:rPr>
          <w:rFonts w:asciiTheme="minorHAnsi" w:hAnsiTheme="minorHAnsi" w:cstheme="minorHAnsi"/>
          <w:color w:val="auto"/>
          <w:sz w:val="22"/>
          <w:szCs w:val="18"/>
        </w:rPr>
        <w:t xml:space="preserve"> </w:t>
      </w:r>
      <w:r w:rsidR="00420DA9">
        <w:rPr>
          <w:rFonts w:asciiTheme="minorHAnsi" w:hAnsiTheme="minorHAnsi" w:cstheme="minorHAnsi"/>
          <w:color w:val="auto"/>
          <w:sz w:val="22"/>
          <w:szCs w:val="18"/>
        </w:rPr>
        <w:fldChar w:fldCharType="begin"/>
      </w:r>
      <w:r w:rsidR="00420DA9">
        <w:rPr>
          <w:rFonts w:asciiTheme="minorHAnsi" w:hAnsiTheme="minorHAnsi" w:cstheme="minorHAnsi"/>
          <w:color w:val="auto"/>
          <w:sz w:val="22"/>
          <w:szCs w:val="18"/>
        </w:rPr>
        <w:instrText xml:space="preserve"> ADDIN ZOTERO_ITEM CSL_CITATION {"citationID":"5KSJzQ79","properties":{"formattedCitation":"[1]","plainCitation":"[1]","noteIndex":0},"citationItems":[{"id":1305,"uris":["http://zotero.org/users/7800418/items/XACBXX6Y"],"itemData":{"id":1305,"type":"chapter","abstract":"Metabolomics can be used for a multitude of purposes, including monitoring of treatment effects and for increasing the knowledge of the pathophysiology of a wide range of diseases. Global (commonly referred to as “untargeted”) metabolomics is hypothesis-generating and provides the opportunity to discover new biomarkers. Being versatile and having a high degree of selectivity and sensitivity, liquid chromatography–mass spectrometry (LC-MS) is the most common technique applied for metabolomics. We here present our global metabolomics LC–electrospray ionization–MS/MS method. The sample preparation procedures for plasma, serum, dried blood spots, urine, and cerebrospinal fluid are simple and nonspecific to reduce the risk of analyte loss. The method is based on reversed-phase chromatography using a diphenyl column. The high-resolution Q Exactive Orbitrap MS with data-dependent acquisition provides MS/MS spectra of a wide range of analytes. Our method covers a large part of the metabolome regarding hydrophobicity and compound class.","container-title":"Clinical Metabolomics: Methods and Protocols","event-place":"New York, NY","ISBN":"978-1-0716-4116-3","language":"en","note":"DOI: 10.1007/978-1-0716-4116-3_2","page":"23-39","publisher":"Springer US","publisher-place":"New York, NY","source":"Springer Link","title":"Global Metabolomics Using LC-MS for Clinical Applications","URL":"https://doi.org/10.1007/978-1-0716-4116-3_2","author":[{"family":"Skogvold","given":"Hanne Bendiksen"},{"family":"Sand","given":"Elise Sandås"},{"family":"Elgstøen","given":"Katja Benedikte Prestø"}],"editor":[{"family":"Giera","given":"Martin"},{"family":"Sánchez-López","given":"Elena"}],"accessed":{"date-parts":[["2025",5,9]]},"issued":{"date-parts":[["2025"]]}}}],"schema":"https://github.com/citation-style-language/schema/raw/master/csl-citation.json"} </w:instrText>
      </w:r>
      <w:r w:rsidR="00420DA9">
        <w:rPr>
          <w:rFonts w:asciiTheme="minorHAnsi" w:hAnsiTheme="minorHAnsi" w:cstheme="minorHAnsi"/>
          <w:color w:val="auto"/>
          <w:sz w:val="22"/>
          <w:szCs w:val="18"/>
        </w:rPr>
        <w:fldChar w:fldCharType="separate"/>
      </w:r>
      <w:r w:rsidR="00420DA9" w:rsidRPr="00420DA9">
        <w:rPr>
          <w:rFonts w:ascii="Aptos" w:hAnsi="Aptos"/>
          <w:sz w:val="22"/>
        </w:rPr>
        <w:t>[1]</w:t>
      </w:r>
      <w:r w:rsidR="00420DA9">
        <w:rPr>
          <w:rFonts w:asciiTheme="minorHAnsi" w:hAnsiTheme="minorHAnsi" w:cstheme="minorHAnsi"/>
          <w:color w:val="auto"/>
          <w:sz w:val="22"/>
          <w:szCs w:val="18"/>
        </w:rPr>
        <w:fldChar w:fldCharType="end"/>
      </w:r>
      <w:r>
        <w:rPr>
          <w:rFonts w:asciiTheme="minorHAnsi" w:hAnsiTheme="minorHAnsi" w:cstheme="minorHAnsi"/>
          <w:color w:val="auto"/>
          <w:sz w:val="22"/>
          <w:szCs w:val="18"/>
        </w:rPr>
        <w:t xml:space="preserve">. </w:t>
      </w:r>
    </w:p>
    <w:p w14:paraId="70024496" w14:textId="77777777" w:rsidR="0009524D" w:rsidRPr="002D26A3" w:rsidRDefault="0009524D" w:rsidP="0009524D">
      <w:pPr>
        <w:pStyle w:val="Body"/>
        <w:spacing w:before="240" w:line="360" w:lineRule="auto"/>
        <w:rPr>
          <w:rFonts w:asciiTheme="minorHAnsi" w:hAnsiTheme="minorHAnsi" w:cstheme="minorHAnsi"/>
          <w:b/>
          <w:bCs/>
          <w:color w:val="auto"/>
          <w:sz w:val="22"/>
          <w:szCs w:val="18"/>
        </w:rPr>
      </w:pPr>
      <w:r w:rsidRPr="002D26A3">
        <w:rPr>
          <w:rFonts w:asciiTheme="minorHAnsi" w:hAnsiTheme="minorHAnsi" w:cstheme="minorHAnsi"/>
          <w:b/>
          <w:bCs/>
          <w:color w:val="auto"/>
          <w:sz w:val="22"/>
          <w:szCs w:val="18"/>
        </w:rPr>
        <w:t>Global</w:t>
      </w:r>
      <w:r>
        <w:rPr>
          <w:rFonts w:asciiTheme="minorHAnsi" w:hAnsiTheme="minorHAnsi" w:cstheme="minorHAnsi"/>
          <w:b/>
          <w:bCs/>
          <w:color w:val="auto"/>
          <w:sz w:val="22"/>
          <w:szCs w:val="18"/>
        </w:rPr>
        <w:t xml:space="preserve"> LCMS</w:t>
      </w:r>
      <w:r w:rsidRPr="002D26A3">
        <w:rPr>
          <w:rFonts w:asciiTheme="minorHAnsi" w:hAnsiTheme="minorHAnsi" w:cstheme="minorHAnsi"/>
          <w:b/>
          <w:bCs/>
          <w:color w:val="auto"/>
          <w:sz w:val="22"/>
          <w:szCs w:val="18"/>
        </w:rPr>
        <w:t xml:space="preserve"> Lipidomics Analysis:</w:t>
      </w:r>
    </w:p>
    <w:p w14:paraId="49D668BA" w14:textId="3BE1B6AC" w:rsidR="00AB4486" w:rsidRDefault="0009524D" w:rsidP="001358F0">
      <w:pPr>
        <w:pStyle w:val="Body"/>
        <w:spacing w:before="240" w:line="360" w:lineRule="auto"/>
        <w:rPr>
          <w:rFonts w:asciiTheme="minorHAnsi" w:hAnsiTheme="minorHAnsi" w:cstheme="minorHAnsi"/>
          <w:color w:val="auto"/>
          <w:sz w:val="22"/>
          <w:szCs w:val="18"/>
        </w:rPr>
      </w:pPr>
      <w:r>
        <w:rPr>
          <w:rFonts w:asciiTheme="minorHAnsi" w:hAnsiTheme="minorHAnsi" w:cstheme="minorHAnsi"/>
          <w:color w:val="auto"/>
          <w:sz w:val="22"/>
          <w:szCs w:val="18"/>
        </w:rPr>
        <w:t>Global l</w:t>
      </w:r>
      <w:r w:rsidRPr="00AD39F3">
        <w:rPr>
          <w:rFonts w:asciiTheme="minorHAnsi" w:hAnsiTheme="minorHAnsi" w:cstheme="minorHAnsi"/>
          <w:color w:val="auto"/>
          <w:sz w:val="22"/>
          <w:szCs w:val="18"/>
        </w:rPr>
        <w:t>ipidomics was performed using a Vanquish Horizon UHPLC coupled to a Fusion Orbitrap Tribrid MS (Thermo Fisher). Lipids were separated using a C30 Accucore column (</w:t>
      </w:r>
      <w:r w:rsidR="00654DC7">
        <w:rPr>
          <w:rFonts w:asciiTheme="minorHAnsi" w:hAnsiTheme="minorHAnsi" w:cstheme="minorHAnsi"/>
          <w:color w:val="auto"/>
          <w:sz w:val="22"/>
          <w:szCs w:val="18"/>
        </w:rPr>
        <w:t>150 mm x 2.</w:t>
      </w:r>
      <w:r w:rsidR="00963596">
        <w:rPr>
          <w:rFonts w:asciiTheme="minorHAnsi" w:hAnsiTheme="minorHAnsi" w:cstheme="minorHAnsi"/>
          <w:color w:val="auto"/>
          <w:sz w:val="22"/>
          <w:szCs w:val="18"/>
        </w:rPr>
        <w:t>1</w:t>
      </w:r>
      <w:r w:rsidR="00654DC7">
        <w:rPr>
          <w:rFonts w:asciiTheme="minorHAnsi" w:hAnsiTheme="minorHAnsi" w:cstheme="minorHAnsi"/>
          <w:color w:val="auto"/>
          <w:sz w:val="22"/>
          <w:szCs w:val="18"/>
        </w:rPr>
        <w:t xml:space="preserve"> mm</w:t>
      </w:r>
      <w:r w:rsidR="00963596">
        <w:rPr>
          <w:rFonts w:asciiTheme="minorHAnsi" w:hAnsiTheme="minorHAnsi" w:cstheme="minorHAnsi"/>
          <w:color w:val="auto"/>
          <w:sz w:val="22"/>
          <w:szCs w:val="18"/>
        </w:rPr>
        <w:t>, particle size 2.6 µm</w:t>
      </w:r>
      <w:r w:rsidR="00654DC7">
        <w:rPr>
          <w:rFonts w:asciiTheme="minorHAnsi" w:hAnsiTheme="minorHAnsi" w:cstheme="minorHAnsi"/>
          <w:color w:val="auto"/>
          <w:sz w:val="22"/>
          <w:szCs w:val="18"/>
        </w:rPr>
        <w:t>)</w:t>
      </w:r>
      <w:r w:rsidRPr="00AD39F3">
        <w:rPr>
          <w:rFonts w:asciiTheme="minorHAnsi" w:hAnsiTheme="minorHAnsi" w:cstheme="minorHAnsi"/>
          <w:color w:val="auto"/>
          <w:sz w:val="22"/>
          <w:szCs w:val="18"/>
        </w:rPr>
        <w:t xml:space="preserve"> and analyzed in both ionization modes. </w:t>
      </w:r>
      <w:r w:rsidR="00F405D3">
        <w:rPr>
          <w:rFonts w:asciiTheme="minorHAnsi" w:hAnsiTheme="minorHAnsi" w:cstheme="minorHAnsi"/>
          <w:color w:val="auto"/>
          <w:sz w:val="22"/>
          <w:szCs w:val="18"/>
        </w:rPr>
        <w:t xml:space="preserve">Gradient elution was used </w:t>
      </w:r>
      <w:r w:rsidR="0035318D">
        <w:rPr>
          <w:rFonts w:asciiTheme="minorHAnsi" w:hAnsiTheme="minorHAnsi" w:cstheme="minorHAnsi"/>
          <w:color w:val="auto"/>
          <w:sz w:val="22"/>
          <w:szCs w:val="18"/>
        </w:rPr>
        <w:t>combin</w:t>
      </w:r>
      <w:r w:rsidR="000A0712">
        <w:rPr>
          <w:rFonts w:asciiTheme="minorHAnsi" w:hAnsiTheme="minorHAnsi" w:cstheme="minorHAnsi"/>
          <w:color w:val="auto"/>
          <w:sz w:val="22"/>
          <w:szCs w:val="18"/>
        </w:rPr>
        <w:t>in</w:t>
      </w:r>
      <w:r w:rsidR="0035318D">
        <w:rPr>
          <w:rFonts w:asciiTheme="minorHAnsi" w:hAnsiTheme="minorHAnsi" w:cstheme="minorHAnsi"/>
          <w:color w:val="auto"/>
          <w:sz w:val="22"/>
          <w:szCs w:val="18"/>
        </w:rPr>
        <w:t xml:space="preserve">g </w:t>
      </w:r>
      <w:r w:rsidR="00F405D3">
        <w:rPr>
          <w:rFonts w:asciiTheme="minorHAnsi" w:hAnsiTheme="minorHAnsi" w:cstheme="minorHAnsi"/>
          <w:color w:val="auto"/>
          <w:sz w:val="22"/>
          <w:szCs w:val="18"/>
        </w:rPr>
        <w:t xml:space="preserve">mobile phase </w:t>
      </w:r>
      <w:r w:rsidR="00895591">
        <w:rPr>
          <w:rFonts w:asciiTheme="minorHAnsi" w:hAnsiTheme="minorHAnsi" w:cstheme="minorHAnsi"/>
          <w:color w:val="auto"/>
          <w:sz w:val="22"/>
          <w:szCs w:val="18"/>
        </w:rPr>
        <w:t>A</w:t>
      </w:r>
      <w:r w:rsidR="00F405D3">
        <w:rPr>
          <w:rFonts w:asciiTheme="minorHAnsi" w:hAnsiTheme="minorHAnsi" w:cstheme="minorHAnsi"/>
          <w:color w:val="auto"/>
          <w:sz w:val="22"/>
          <w:szCs w:val="18"/>
        </w:rPr>
        <w:t xml:space="preserve"> (acetonitrile (60%)</w:t>
      </w:r>
      <w:r w:rsidR="008A5018">
        <w:rPr>
          <w:rFonts w:asciiTheme="minorHAnsi" w:hAnsiTheme="minorHAnsi" w:cstheme="minorHAnsi"/>
          <w:color w:val="auto"/>
          <w:sz w:val="22"/>
          <w:szCs w:val="18"/>
        </w:rPr>
        <w:t>,</w:t>
      </w:r>
      <w:r w:rsidR="00F405D3">
        <w:rPr>
          <w:rFonts w:asciiTheme="minorHAnsi" w:hAnsiTheme="minorHAnsi" w:cstheme="minorHAnsi"/>
          <w:color w:val="auto"/>
          <w:sz w:val="22"/>
          <w:szCs w:val="18"/>
        </w:rPr>
        <w:t xml:space="preserve"> water</w:t>
      </w:r>
      <w:r w:rsidR="002C4221">
        <w:rPr>
          <w:rFonts w:asciiTheme="minorHAnsi" w:hAnsiTheme="minorHAnsi" w:cstheme="minorHAnsi"/>
          <w:color w:val="auto"/>
          <w:sz w:val="22"/>
          <w:szCs w:val="18"/>
        </w:rPr>
        <w:t xml:space="preserve"> (40%)</w:t>
      </w:r>
      <w:r w:rsidR="00F405D3">
        <w:rPr>
          <w:rFonts w:asciiTheme="minorHAnsi" w:hAnsiTheme="minorHAnsi" w:cstheme="minorHAnsi"/>
          <w:color w:val="auto"/>
          <w:sz w:val="22"/>
          <w:szCs w:val="18"/>
        </w:rPr>
        <w:t xml:space="preserve"> and 2 mM ammonium formate) and mobile phase </w:t>
      </w:r>
      <w:r w:rsidR="00895591">
        <w:rPr>
          <w:rFonts w:asciiTheme="minorHAnsi" w:hAnsiTheme="minorHAnsi" w:cstheme="minorHAnsi"/>
          <w:color w:val="auto"/>
          <w:sz w:val="22"/>
          <w:szCs w:val="18"/>
        </w:rPr>
        <w:t>B</w:t>
      </w:r>
      <w:r w:rsidR="00F405D3">
        <w:rPr>
          <w:rFonts w:asciiTheme="minorHAnsi" w:hAnsiTheme="minorHAnsi" w:cstheme="minorHAnsi"/>
          <w:color w:val="auto"/>
          <w:sz w:val="22"/>
          <w:szCs w:val="18"/>
        </w:rPr>
        <w:t xml:space="preserve"> (</w:t>
      </w:r>
      <w:r w:rsidR="00895591">
        <w:rPr>
          <w:rFonts w:asciiTheme="minorHAnsi" w:hAnsiTheme="minorHAnsi" w:cstheme="minorHAnsi"/>
          <w:color w:val="auto"/>
          <w:sz w:val="22"/>
          <w:szCs w:val="18"/>
        </w:rPr>
        <w:t>IPA</w:t>
      </w:r>
      <w:r w:rsidR="008A5018">
        <w:rPr>
          <w:rFonts w:asciiTheme="minorHAnsi" w:hAnsiTheme="minorHAnsi" w:cstheme="minorHAnsi"/>
          <w:color w:val="auto"/>
          <w:sz w:val="22"/>
          <w:szCs w:val="18"/>
        </w:rPr>
        <w:t xml:space="preserve"> (85.5%),</w:t>
      </w:r>
      <w:r w:rsidR="00F405D3">
        <w:rPr>
          <w:rFonts w:asciiTheme="minorHAnsi" w:hAnsiTheme="minorHAnsi" w:cstheme="minorHAnsi"/>
          <w:color w:val="auto"/>
          <w:sz w:val="22"/>
          <w:szCs w:val="18"/>
        </w:rPr>
        <w:t xml:space="preserve"> </w:t>
      </w:r>
      <w:r w:rsidR="008A5018">
        <w:rPr>
          <w:rFonts w:asciiTheme="minorHAnsi" w:hAnsiTheme="minorHAnsi" w:cstheme="minorHAnsi"/>
          <w:color w:val="auto"/>
          <w:sz w:val="22"/>
          <w:szCs w:val="18"/>
        </w:rPr>
        <w:t xml:space="preserve">acetonitrile (9.5%), water (5%) and 2 mM ammonium formate). </w:t>
      </w:r>
      <w:r w:rsidRPr="00AD39F3">
        <w:rPr>
          <w:rFonts w:asciiTheme="minorHAnsi" w:hAnsiTheme="minorHAnsi" w:cstheme="minorHAnsi"/>
          <w:color w:val="auto"/>
          <w:sz w:val="22"/>
          <w:szCs w:val="18"/>
        </w:rPr>
        <w:t>PQCs</w:t>
      </w:r>
      <w:r w:rsidR="000F2F1D">
        <w:rPr>
          <w:rFonts w:asciiTheme="minorHAnsi" w:hAnsiTheme="minorHAnsi" w:cstheme="minorHAnsi"/>
          <w:color w:val="auto"/>
          <w:sz w:val="22"/>
          <w:szCs w:val="18"/>
        </w:rPr>
        <w:t>, blanks</w:t>
      </w:r>
      <w:r w:rsidRPr="00AD39F3">
        <w:rPr>
          <w:rFonts w:asciiTheme="minorHAnsi" w:hAnsiTheme="minorHAnsi" w:cstheme="minorHAnsi"/>
          <w:color w:val="auto"/>
          <w:sz w:val="22"/>
          <w:szCs w:val="18"/>
        </w:rPr>
        <w:t xml:space="preserve"> and system suitability tests were run as described above. </w:t>
      </w:r>
      <w:r w:rsidR="000F2F1D">
        <w:rPr>
          <w:rFonts w:asciiTheme="minorHAnsi" w:hAnsiTheme="minorHAnsi" w:cstheme="minorHAnsi"/>
          <w:color w:val="auto"/>
          <w:sz w:val="22"/>
          <w:szCs w:val="18"/>
        </w:rPr>
        <w:t>All samples were analyzed in MS1 with 120 000 resolution, MSMS spectr</w:t>
      </w:r>
      <w:r w:rsidR="007114C6">
        <w:rPr>
          <w:rFonts w:asciiTheme="minorHAnsi" w:hAnsiTheme="minorHAnsi" w:cstheme="minorHAnsi"/>
          <w:color w:val="auto"/>
          <w:sz w:val="22"/>
          <w:szCs w:val="18"/>
        </w:rPr>
        <w:t>a</w:t>
      </w:r>
      <w:r w:rsidR="000F2F1D">
        <w:rPr>
          <w:rFonts w:asciiTheme="minorHAnsi" w:hAnsiTheme="minorHAnsi" w:cstheme="minorHAnsi"/>
          <w:color w:val="auto"/>
          <w:sz w:val="22"/>
          <w:szCs w:val="18"/>
        </w:rPr>
        <w:t xml:space="preserve"> were acquired using scheduled data-dependent acquisition as described by Guttorm et al.</w:t>
      </w:r>
      <w:r w:rsidR="007114C6">
        <w:rPr>
          <w:rFonts w:asciiTheme="minorHAnsi" w:hAnsiTheme="minorHAnsi" w:cstheme="minorHAnsi"/>
          <w:color w:val="auto"/>
          <w:sz w:val="22"/>
          <w:szCs w:val="18"/>
        </w:rPr>
        <w:t xml:space="preserve"> </w:t>
      </w:r>
      <w:r w:rsidR="007114C6">
        <w:rPr>
          <w:rFonts w:asciiTheme="minorHAnsi" w:hAnsiTheme="minorHAnsi" w:cstheme="minorHAnsi"/>
          <w:color w:val="auto"/>
          <w:sz w:val="22"/>
          <w:szCs w:val="18"/>
        </w:rPr>
        <w:fldChar w:fldCharType="begin"/>
      </w:r>
      <w:r w:rsidR="007114C6">
        <w:rPr>
          <w:rFonts w:asciiTheme="minorHAnsi" w:hAnsiTheme="minorHAnsi" w:cstheme="minorHAnsi"/>
          <w:color w:val="auto"/>
          <w:sz w:val="22"/>
          <w:szCs w:val="18"/>
        </w:rPr>
        <w:instrText xml:space="preserve"> ADDIN ZOTERO_ITEM CSL_CITATION {"citationID":"GG1i3QAL","properties":{"formattedCitation":"[2]","plainCitation":"[2]","noteIndex":0},"citationItems":[{"id":1391,"uris":["http://zotero.org/users/7800418/items/V72UVRIK"],"itemData":{"id":1391,"type":"article-journal","abstract":"Background\nLipidomics can provide critical insight into metabolic changes in health and disease, but faces challenges in sensitivity, lipid coverage, and annotation accuracy. To address these limitations, we optimized a liquid chromatography–mass spectrometry (LC-MS) method combining scheduled data-dependent acquisition (SDDA) and C30 column-based separations, aimed at improving global lipidomics for clinical diagnostics.\nResults\nCompared to conventional DDA and Intelligent Data Acquisition (AcquireX), SDDA demonstrated a 2-fold increase in number of lipids annotated, with a 2-fold higher annotation confidence (Grade A and B) of those lipids compared to DDA. The repeatability and analytical robustness of the method were thoroughly evaluated across different clinical blood matrices, i.e. serum, EDTA-plasma, and dried blood spots (DBS). Serum provided the highest repeatability and lipid coverage, with more than 2000 lipid species annotated. A proof-of-concept study assessing postprandial lipidomic changes in response to intake of a long-chain triglyceride fat emulsion was used to demonstrate the method’s applicability in clinical lipidomics. The method detected significant changes in the levels of various lipids, including triacylglycerols, diacylglycerols, bile acids, phosphatidylethanolamines, and lyso-phosphatidylethanolamines, following lipid ingestion.\nSignificance and Novelty\nThe optimized lipidomics method (C30-SDDA) enhances lipid coverage and annotation confidence, proving valuable for studying metabolic alterations and biomarker discovery using blood matrices. These findings underscore the clinical potential of this method for advancing diagnostics and personalized medicine.","container-title":"Analytica Chimica Acta","DOI":"10.1016/j.aca.2025.344426","ISSN":"0003-2670","journalAbbreviation":"Analytica Chimica Acta","page":"344426","source":"ScienceDirect","title":"Scheduled Data-Dependent Acquisition MS Provides Enhanced Identification and Sensitivity in Clinical Lipidomics","author":[{"family":"Guttorm","given":"Sander Johannes Thorbjørnsen"},{"family":"Wilson","given":"Steven Ray Haakon"},{"family":"Amundsen","given":"Erik Koldberg"},{"family":"Rootwelt","given":"Helge"},{"family":"Elgstøen","given":"Katja Benedikte Prestø"}],"issued":{"date-parts":[["2025",7,12]]}}}],"schema":"https://github.com/citation-style-language/schema/raw/master/csl-citation.json"} </w:instrText>
      </w:r>
      <w:r w:rsidR="007114C6">
        <w:rPr>
          <w:rFonts w:asciiTheme="minorHAnsi" w:hAnsiTheme="minorHAnsi" w:cstheme="minorHAnsi"/>
          <w:color w:val="auto"/>
          <w:sz w:val="22"/>
          <w:szCs w:val="18"/>
        </w:rPr>
        <w:fldChar w:fldCharType="separate"/>
      </w:r>
      <w:r w:rsidR="007114C6" w:rsidRPr="007114C6">
        <w:rPr>
          <w:rFonts w:ascii="Aptos" w:hAnsi="Aptos"/>
          <w:sz w:val="22"/>
        </w:rPr>
        <w:t>[2]</w:t>
      </w:r>
      <w:r w:rsidR="007114C6">
        <w:rPr>
          <w:rFonts w:asciiTheme="minorHAnsi" w:hAnsiTheme="minorHAnsi" w:cstheme="minorHAnsi"/>
          <w:color w:val="auto"/>
          <w:sz w:val="22"/>
          <w:szCs w:val="18"/>
        </w:rPr>
        <w:fldChar w:fldCharType="end"/>
      </w:r>
      <w:r w:rsidR="007114C6">
        <w:rPr>
          <w:rFonts w:asciiTheme="minorHAnsi" w:hAnsiTheme="minorHAnsi" w:cstheme="minorHAnsi"/>
          <w:color w:val="auto"/>
          <w:sz w:val="22"/>
          <w:szCs w:val="18"/>
        </w:rPr>
        <w:t>.</w:t>
      </w:r>
      <w:r w:rsidR="005857B8" w:rsidRPr="005857B8">
        <w:rPr>
          <w:rFonts w:asciiTheme="minorHAnsi" w:hAnsiTheme="minorHAnsi" w:cstheme="minorHAnsi"/>
          <w:color w:val="auto"/>
          <w:sz w:val="22"/>
          <w:szCs w:val="18"/>
        </w:rPr>
        <w:t xml:space="preserve"> </w:t>
      </w:r>
      <w:r w:rsidR="005857B8">
        <w:rPr>
          <w:rFonts w:asciiTheme="minorHAnsi" w:hAnsiTheme="minorHAnsi" w:cstheme="minorHAnsi"/>
          <w:color w:val="auto"/>
          <w:sz w:val="22"/>
          <w:szCs w:val="18"/>
        </w:rPr>
        <w:t>For MSMS acquisition resolution was 30 000, and stepped normalized collision energies w</w:t>
      </w:r>
      <w:r w:rsidR="008E4D02">
        <w:rPr>
          <w:rFonts w:asciiTheme="minorHAnsi" w:hAnsiTheme="minorHAnsi" w:cstheme="minorHAnsi"/>
          <w:color w:val="auto"/>
          <w:sz w:val="22"/>
          <w:szCs w:val="18"/>
        </w:rPr>
        <w:t>ere</w:t>
      </w:r>
      <w:r w:rsidR="005857B8">
        <w:rPr>
          <w:rFonts w:asciiTheme="minorHAnsi" w:hAnsiTheme="minorHAnsi" w:cstheme="minorHAnsi"/>
          <w:color w:val="auto"/>
          <w:sz w:val="22"/>
          <w:szCs w:val="18"/>
        </w:rPr>
        <w:t xml:space="preserve"> set to 20,40</w:t>
      </w:r>
      <w:r w:rsidR="00EC22EE">
        <w:rPr>
          <w:rFonts w:asciiTheme="minorHAnsi" w:hAnsiTheme="minorHAnsi" w:cstheme="minorHAnsi"/>
          <w:color w:val="auto"/>
          <w:sz w:val="22"/>
          <w:szCs w:val="18"/>
        </w:rPr>
        <w:t xml:space="preserve"> and </w:t>
      </w:r>
      <w:r w:rsidR="005857B8">
        <w:rPr>
          <w:rFonts w:asciiTheme="minorHAnsi" w:hAnsiTheme="minorHAnsi" w:cstheme="minorHAnsi"/>
          <w:color w:val="auto"/>
          <w:sz w:val="22"/>
          <w:szCs w:val="18"/>
        </w:rPr>
        <w:t>100 in positive mode and 40, 60</w:t>
      </w:r>
      <w:r w:rsidR="006D5EBD">
        <w:rPr>
          <w:rFonts w:asciiTheme="minorHAnsi" w:hAnsiTheme="minorHAnsi" w:cstheme="minorHAnsi"/>
          <w:color w:val="auto"/>
          <w:sz w:val="22"/>
          <w:szCs w:val="18"/>
        </w:rPr>
        <w:t xml:space="preserve"> and</w:t>
      </w:r>
      <w:r w:rsidR="005857B8">
        <w:rPr>
          <w:rFonts w:asciiTheme="minorHAnsi" w:hAnsiTheme="minorHAnsi" w:cstheme="minorHAnsi"/>
          <w:color w:val="auto"/>
          <w:sz w:val="22"/>
          <w:szCs w:val="18"/>
        </w:rPr>
        <w:t xml:space="preserve"> 130 in negative mode</w:t>
      </w:r>
      <w:r w:rsidR="00927211">
        <w:rPr>
          <w:rFonts w:asciiTheme="minorHAnsi" w:hAnsiTheme="minorHAnsi" w:cstheme="minorHAnsi"/>
          <w:color w:val="auto"/>
          <w:sz w:val="22"/>
          <w:szCs w:val="18"/>
        </w:rPr>
        <w:t>.</w:t>
      </w:r>
      <w:r w:rsidR="00AA450E">
        <w:rPr>
          <w:rFonts w:asciiTheme="minorHAnsi" w:hAnsiTheme="minorHAnsi" w:cstheme="minorHAnsi"/>
          <w:color w:val="auto"/>
          <w:sz w:val="22"/>
          <w:szCs w:val="18"/>
        </w:rPr>
        <w:t xml:space="preserve"> Ions were fragmented in the dual linear ion-trap then analyzed in the orbitrap.</w:t>
      </w:r>
      <w:r w:rsidR="00927211">
        <w:rPr>
          <w:rFonts w:asciiTheme="minorHAnsi" w:hAnsiTheme="minorHAnsi" w:cstheme="minorHAnsi"/>
          <w:color w:val="auto"/>
          <w:sz w:val="22"/>
          <w:szCs w:val="18"/>
        </w:rPr>
        <w:t xml:space="preserve"> </w:t>
      </w:r>
      <w:r w:rsidR="00E6761A">
        <w:rPr>
          <w:rFonts w:asciiTheme="minorHAnsi" w:hAnsiTheme="minorHAnsi" w:cstheme="minorHAnsi"/>
          <w:color w:val="auto"/>
          <w:sz w:val="22"/>
          <w:szCs w:val="18"/>
        </w:rPr>
        <w:t>Scan range was set to 150-1500 in both ionization modes</w:t>
      </w:r>
      <w:r w:rsidR="00F3696D">
        <w:rPr>
          <w:rFonts w:asciiTheme="minorHAnsi" w:hAnsiTheme="minorHAnsi" w:cstheme="minorHAnsi"/>
          <w:color w:val="auto"/>
          <w:sz w:val="22"/>
          <w:szCs w:val="18"/>
        </w:rPr>
        <w:t xml:space="preserve">, and electrospray voltage was set to 3.6 kV and 2.8 kV in positive and negative ionization mode. </w:t>
      </w:r>
      <w:r w:rsidRPr="00AD39F3">
        <w:rPr>
          <w:rFonts w:asciiTheme="minorHAnsi" w:hAnsiTheme="minorHAnsi" w:cstheme="minorHAnsi"/>
          <w:color w:val="auto"/>
          <w:sz w:val="22"/>
          <w:szCs w:val="18"/>
        </w:rPr>
        <w:t xml:space="preserve">Injection volume was </w:t>
      </w:r>
      <w:r w:rsidR="007114C6">
        <w:rPr>
          <w:rFonts w:asciiTheme="minorHAnsi" w:hAnsiTheme="minorHAnsi" w:cstheme="minorHAnsi"/>
          <w:color w:val="auto"/>
          <w:sz w:val="22"/>
          <w:szCs w:val="18"/>
        </w:rPr>
        <w:t xml:space="preserve">set to </w:t>
      </w:r>
      <w:r w:rsidRPr="00AD39F3">
        <w:rPr>
          <w:rFonts w:asciiTheme="minorHAnsi" w:hAnsiTheme="minorHAnsi" w:cstheme="minorHAnsi"/>
          <w:color w:val="auto"/>
          <w:sz w:val="22"/>
          <w:szCs w:val="18"/>
        </w:rPr>
        <w:t xml:space="preserve">2 µL. </w:t>
      </w:r>
      <w:r>
        <w:rPr>
          <w:rFonts w:asciiTheme="minorHAnsi" w:hAnsiTheme="minorHAnsi" w:cstheme="minorHAnsi"/>
          <w:color w:val="auto"/>
          <w:sz w:val="22"/>
          <w:szCs w:val="18"/>
        </w:rPr>
        <w:t>Additional m</w:t>
      </w:r>
      <w:r w:rsidRPr="00AD39F3">
        <w:rPr>
          <w:rFonts w:asciiTheme="minorHAnsi" w:hAnsiTheme="minorHAnsi" w:cstheme="minorHAnsi"/>
          <w:color w:val="auto"/>
          <w:sz w:val="22"/>
          <w:szCs w:val="18"/>
        </w:rPr>
        <w:t>ethodological details are provided in Guttorm et al.</w:t>
      </w:r>
      <w:r>
        <w:rPr>
          <w:rFonts w:asciiTheme="minorHAnsi" w:hAnsiTheme="minorHAnsi" w:cstheme="minorHAnsi"/>
          <w:color w:val="auto"/>
          <w:sz w:val="22"/>
          <w:szCs w:val="18"/>
        </w:rPr>
        <w:t xml:space="preserve"> </w:t>
      </w:r>
      <w:r w:rsidR="007114C6">
        <w:rPr>
          <w:rFonts w:asciiTheme="minorHAnsi" w:hAnsiTheme="minorHAnsi" w:cstheme="minorHAnsi"/>
          <w:color w:val="auto"/>
          <w:sz w:val="22"/>
          <w:szCs w:val="18"/>
        </w:rPr>
        <w:fldChar w:fldCharType="begin"/>
      </w:r>
      <w:r w:rsidR="007114C6">
        <w:rPr>
          <w:rFonts w:asciiTheme="minorHAnsi" w:hAnsiTheme="minorHAnsi" w:cstheme="minorHAnsi"/>
          <w:color w:val="auto"/>
          <w:sz w:val="22"/>
          <w:szCs w:val="18"/>
        </w:rPr>
        <w:instrText xml:space="preserve"> ADDIN ZOTERO_ITEM CSL_CITATION {"citationID":"ybZPX1iO","properties":{"formattedCitation":"[2]","plainCitation":"[2]","noteIndex":0},"citationItems":[{"id":1391,"uris":["http://zotero.org/users/7800418/items/V72UVRIK"],"itemData":{"id":1391,"type":"article-journal","abstract":"Background\nLipidomics can provide critical insight into metabolic changes in health and disease, but faces challenges in sensitivity, lipid coverage, and annotation accuracy. To address these limitations, we optimized a liquid chromatography–mass spectrometry (LC-MS) method combining scheduled data-dependent acquisition (SDDA) and C30 column-based separations, aimed at improving global lipidomics for clinical diagnostics.\nResults\nCompared to conventional DDA and Intelligent Data Acquisition (AcquireX), SDDA demonstrated a 2-fold increase in number of lipids annotated, with a 2-fold higher annotation confidence (Grade A and B) of those lipids compared to DDA. The repeatability and analytical robustness of the method were thoroughly evaluated across different clinical blood matrices, i.e. serum, EDTA-plasma, and dried blood spots (DBS). Serum provided the highest repeatability and lipid coverage, with more than 2000 lipid species annotated. A proof-of-concept study assessing postprandial lipidomic changes in response to intake of a long-chain triglyceride fat emulsion was used to demonstrate the method’s applicability in clinical lipidomics. The method detected significant changes in the levels of various lipids, including triacylglycerols, diacylglycerols, bile acids, phosphatidylethanolamines, and lyso-phosphatidylethanolamines, following lipid ingestion.\nSignificance and Novelty\nThe optimized lipidomics method (C30-SDDA) enhances lipid coverage and annotation confidence, proving valuable for studying metabolic alterations and biomarker discovery using blood matrices. These findings underscore the clinical potential of this method for advancing diagnostics and personalized medicine.","container-title":"Analytica Chimica Acta","DOI":"10.1016/j.aca.2025.344426","ISSN":"0003-2670","journalAbbreviation":"Analytica Chimica Acta","page":"344426","source":"ScienceDirect","title":"Scheduled Data-Dependent Acquisition MS Provides Enhanced Identification and Sensitivity in Clinical Lipidomics","author":[{"family":"Guttorm","given":"Sander Johannes Thorbjørnsen"},{"family":"Wilson","given":"Steven Ray Haakon"},{"family":"Amundsen","given":"Erik Koldberg"},{"family":"Rootwelt","given":"Helge"},{"family":"Elgstøen","given":"Katja Benedikte Prestø"}],"issued":{"date-parts":[["2025",7,12]]}}}],"schema":"https://github.com/citation-style-language/schema/raw/master/csl-citation.json"} </w:instrText>
      </w:r>
      <w:r w:rsidR="007114C6">
        <w:rPr>
          <w:rFonts w:asciiTheme="minorHAnsi" w:hAnsiTheme="minorHAnsi" w:cstheme="minorHAnsi"/>
          <w:color w:val="auto"/>
          <w:sz w:val="22"/>
          <w:szCs w:val="18"/>
        </w:rPr>
        <w:fldChar w:fldCharType="separate"/>
      </w:r>
      <w:r w:rsidR="007114C6" w:rsidRPr="007114C6">
        <w:rPr>
          <w:rFonts w:ascii="Aptos" w:hAnsi="Aptos"/>
          <w:sz w:val="22"/>
        </w:rPr>
        <w:t>[2]</w:t>
      </w:r>
      <w:r w:rsidR="007114C6">
        <w:rPr>
          <w:rFonts w:asciiTheme="minorHAnsi" w:hAnsiTheme="minorHAnsi" w:cstheme="minorHAnsi"/>
          <w:color w:val="auto"/>
          <w:sz w:val="22"/>
          <w:szCs w:val="18"/>
        </w:rPr>
        <w:fldChar w:fldCharType="end"/>
      </w:r>
      <w:r w:rsidR="007114C6">
        <w:rPr>
          <w:rFonts w:asciiTheme="minorHAnsi" w:hAnsiTheme="minorHAnsi" w:cstheme="minorHAnsi"/>
          <w:color w:val="auto"/>
          <w:sz w:val="22"/>
          <w:szCs w:val="18"/>
        </w:rPr>
        <w:t>.</w:t>
      </w:r>
    </w:p>
    <w:p w14:paraId="61A05973" w14:textId="55603DBD" w:rsidR="002D72C0" w:rsidRDefault="002D72C0" w:rsidP="001358F0">
      <w:pPr>
        <w:pStyle w:val="Body"/>
        <w:spacing w:before="240" w:line="360" w:lineRule="auto"/>
        <w:rPr>
          <w:rFonts w:asciiTheme="minorHAnsi" w:hAnsiTheme="minorHAnsi" w:cstheme="minorHAnsi"/>
          <w:b/>
          <w:bCs/>
          <w:color w:val="auto"/>
          <w:sz w:val="22"/>
          <w:szCs w:val="18"/>
        </w:rPr>
      </w:pPr>
      <w:r w:rsidRPr="002D72C0">
        <w:rPr>
          <w:rFonts w:asciiTheme="minorHAnsi" w:hAnsiTheme="minorHAnsi" w:cstheme="minorHAnsi"/>
          <w:b/>
          <w:bCs/>
          <w:color w:val="auto"/>
          <w:sz w:val="22"/>
          <w:szCs w:val="18"/>
        </w:rPr>
        <w:t>Metabolite and Lipid Annotation:</w:t>
      </w:r>
    </w:p>
    <w:p w14:paraId="2E444087" w14:textId="0541C3BD" w:rsidR="002D72C0" w:rsidRPr="00E3275C" w:rsidRDefault="0000329A" w:rsidP="00E3275C">
      <w:r w:rsidRPr="0000329A">
        <w:rPr>
          <w:rFonts w:cstheme="minorHAnsi"/>
          <w:sz w:val="22"/>
          <w:szCs w:val="18"/>
        </w:rPr>
        <w:t>Metabolites</w:t>
      </w:r>
      <w:r w:rsidR="00AC74A2">
        <w:rPr>
          <w:rFonts w:cstheme="minorHAnsi"/>
          <w:sz w:val="22"/>
          <w:szCs w:val="18"/>
        </w:rPr>
        <w:t xml:space="preserve"> and lipids</w:t>
      </w:r>
      <w:r w:rsidRPr="0000329A">
        <w:rPr>
          <w:rFonts w:cstheme="minorHAnsi"/>
          <w:sz w:val="22"/>
          <w:szCs w:val="18"/>
        </w:rPr>
        <w:t xml:space="preserve"> were annotated using online </w:t>
      </w:r>
      <w:r w:rsidR="008E5F8C">
        <w:rPr>
          <w:rFonts w:cstheme="minorHAnsi"/>
          <w:sz w:val="22"/>
          <w:szCs w:val="18"/>
        </w:rPr>
        <w:t xml:space="preserve">(mzCloud, </w:t>
      </w:r>
      <w:r w:rsidR="00340E46">
        <w:rPr>
          <w:rFonts w:cstheme="minorHAnsi"/>
          <w:sz w:val="22"/>
          <w:szCs w:val="18"/>
        </w:rPr>
        <w:t xml:space="preserve">HMDB, </w:t>
      </w:r>
      <w:r w:rsidR="00AC74A2">
        <w:rPr>
          <w:rFonts w:cstheme="minorHAnsi"/>
          <w:sz w:val="22"/>
          <w:szCs w:val="18"/>
        </w:rPr>
        <w:t>LIPIDMAPS</w:t>
      </w:r>
      <w:r w:rsidR="00292569">
        <w:rPr>
          <w:rFonts w:cstheme="minorHAnsi"/>
          <w:sz w:val="22"/>
          <w:szCs w:val="18"/>
        </w:rPr>
        <w:t>, GNPS</w:t>
      </w:r>
      <w:r w:rsidR="00AC74A2">
        <w:rPr>
          <w:rFonts w:cstheme="minorHAnsi"/>
          <w:sz w:val="22"/>
          <w:szCs w:val="18"/>
        </w:rPr>
        <w:t xml:space="preserve">) </w:t>
      </w:r>
      <w:r w:rsidRPr="0000329A">
        <w:rPr>
          <w:rFonts w:cstheme="minorHAnsi"/>
          <w:sz w:val="22"/>
          <w:szCs w:val="18"/>
        </w:rPr>
        <w:t xml:space="preserve">and </w:t>
      </w:r>
      <w:r w:rsidR="00FA1826">
        <w:rPr>
          <w:rFonts w:cstheme="minorHAnsi"/>
          <w:sz w:val="22"/>
          <w:szCs w:val="18"/>
        </w:rPr>
        <w:t xml:space="preserve">our own </w:t>
      </w:r>
      <w:r w:rsidRPr="0000329A">
        <w:rPr>
          <w:rFonts w:cstheme="minorHAnsi"/>
          <w:sz w:val="22"/>
          <w:szCs w:val="18"/>
        </w:rPr>
        <w:t>in-house librar</w:t>
      </w:r>
      <w:r w:rsidR="00FA1826">
        <w:rPr>
          <w:rFonts w:cstheme="minorHAnsi"/>
          <w:sz w:val="22"/>
          <w:szCs w:val="18"/>
        </w:rPr>
        <w:t>y consisting of analytical standards.</w:t>
      </w:r>
      <w:r w:rsidRPr="0000329A">
        <w:rPr>
          <w:rFonts w:cstheme="minorHAnsi"/>
          <w:sz w:val="22"/>
          <w:szCs w:val="18"/>
        </w:rPr>
        <w:t xml:space="preserve"> </w:t>
      </w:r>
      <w:r w:rsidR="00FA1826">
        <w:rPr>
          <w:rFonts w:cstheme="minorHAnsi"/>
          <w:sz w:val="22"/>
          <w:szCs w:val="18"/>
        </w:rPr>
        <w:t>For lipid annotation</w:t>
      </w:r>
      <w:r w:rsidRPr="0000329A">
        <w:rPr>
          <w:rFonts w:cstheme="minorHAnsi"/>
          <w:sz w:val="22"/>
          <w:szCs w:val="18"/>
        </w:rPr>
        <w:t xml:space="preserve"> LipidSearch (v5.1)</w:t>
      </w:r>
      <w:r w:rsidR="00903099">
        <w:rPr>
          <w:rFonts w:cstheme="minorHAnsi"/>
          <w:sz w:val="22"/>
          <w:szCs w:val="18"/>
        </w:rPr>
        <w:t xml:space="preserve"> software was also used. </w:t>
      </w:r>
      <w:r w:rsidR="00933326">
        <w:rPr>
          <w:rFonts w:cstheme="minorHAnsi"/>
          <w:sz w:val="22"/>
          <w:szCs w:val="18"/>
        </w:rPr>
        <w:t xml:space="preserve">Annotation grade was decided following the metabolomics standard initiative and </w:t>
      </w:r>
      <w:r w:rsidR="00D54A2A">
        <w:rPr>
          <w:rFonts w:cstheme="minorHAnsi"/>
          <w:sz w:val="22"/>
          <w:szCs w:val="18"/>
        </w:rPr>
        <w:t xml:space="preserve">Schymanski et al. </w:t>
      </w:r>
      <w:r w:rsidR="007379D5">
        <w:rPr>
          <w:rFonts w:cstheme="minorHAnsi"/>
          <w:sz w:val="22"/>
          <w:szCs w:val="18"/>
        </w:rPr>
        <w:fldChar w:fldCharType="begin"/>
      </w:r>
      <w:r w:rsidR="007379D5">
        <w:rPr>
          <w:rFonts w:cstheme="minorHAnsi"/>
          <w:sz w:val="22"/>
          <w:szCs w:val="18"/>
        </w:rPr>
        <w:instrText xml:space="preserve"> ADDIN ZOTERO_ITEM CSL_CITATION {"citationID":"GMt3Tw5D","properties":{"formattedCitation":"[3]","plainCitation":"[3]","noteIndex":0},"citationItems":[{"id":118,"uris":["http://zotero.org/users/7800418/items/3S8XJB76"],"itemData":{"id":118,"type":"article-journal","container-title":"Environmental Science &amp; Technology","DOI":"10.1021/es5002105","ISSN":"0013-936X, 1520-5851","issue":"4","journalAbbreviation":"Environ. Sci. Technol.","language":"en","page":"2097-2098","source":"DOI.org (Crossref)","title":"Identifying Small Molecules via High Resolution Mass Spectrometry: Communicating Confidence","title-short":"Identifying Small Molecules via High Resolution Mass Spectrometry","volume":"48","author":[{"family":"Schymanski","given":"Emma L."},{"family":"Jeon","given":"Junho"},{"family":"Gulde","given":"Rebekka"},{"family":"Fenner","given":"Kathrin"},{"family":"Ruff","given":"Matthias"},{"family":"Singer","given":"Heinz P."},{"family":"Hollender","given":"Juliane"}],"issued":{"date-parts":[["2014",2,18]]}}}],"schema":"https://github.com/citation-style-language/schema/raw/master/csl-citation.json"} </w:instrText>
      </w:r>
      <w:r w:rsidR="007379D5">
        <w:rPr>
          <w:rFonts w:cstheme="minorHAnsi"/>
          <w:sz w:val="22"/>
          <w:szCs w:val="18"/>
        </w:rPr>
        <w:fldChar w:fldCharType="separate"/>
      </w:r>
      <w:r w:rsidR="007379D5" w:rsidRPr="007379D5">
        <w:rPr>
          <w:rFonts w:ascii="Aptos" w:hAnsi="Aptos"/>
          <w:sz w:val="22"/>
        </w:rPr>
        <w:t>[3]</w:t>
      </w:r>
      <w:r w:rsidR="007379D5">
        <w:rPr>
          <w:rFonts w:cstheme="minorHAnsi"/>
          <w:sz w:val="22"/>
          <w:szCs w:val="18"/>
        </w:rPr>
        <w:fldChar w:fldCharType="end"/>
      </w:r>
      <w:r w:rsidR="007379D5">
        <w:rPr>
          <w:rFonts w:cstheme="minorHAnsi"/>
          <w:sz w:val="22"/>
          <w:szCs w:val="18"/>
        </w:rPr>
        <w:t xml:space="preserve">. </w:t>
      </w:r>
      <w:r w:rsidR="001F43F3" w:rsidRPr="001F43F3">
        <w:rPr>
          <w:rFonts w:cstheme="minorHAnsi"/>
          <w:sz w:val="22"/>
          <w:szCs w:val="18"/>
        </w:rPr>
        <w:t xml:space="preserve"> </w:t>
      </w:r>
      <w:r w:rsidR="001F43F3" w:rsidRPr="00C1673C">
        <w:rPr>
          <w:rFonts w:cstheme="minorHAnsi"/>
          <w:sz w:val="22"/>
          <w:szCs w:val="18"/>
        </w:rPr>
        <w:t>Annotation criteria included mass accuracy &lt;5 ppm (Level 3 and higher) and retention time within ±1 min of analytical standards (Level 1). Level 1 required complete match of MSMS spectr</w:t>
      </w:r>
      <w:r w:rsidR="00EF1A1B">
        <w:rPr>
          <w:rFonts w:cstheme="minorHAnsi"/>
          <w:sz w:val="22"/>
          <w:szCs w:val="18"/>
        </w:rPr>
        <w:t>um</w:t>
      </w:r>
      <w:r w:rsidR="001F43F3" w:rsidRPr="00C1673C">
        <w:rPr>
          <w:rFonts w:cstheme="minorHAnsi"/>
          <w:sz w:val="22"/>
          <w:szCs w:val="18"/>
        </w:rPr>
        <w:t>, m/z (±5 ppm), and retention time against in-house analytical standards.</w:t>
      </w:r>
      <w:r w:rsidR="001F43F3">
        <w:rPr>
          <w:rFonts w:cstheme="minorHAnsi"/>
          <w:sz w:val="22"/>
          <w:szCs w:val="18"/>
        </w:rPr>
        <w:t xml:space="preserve"> For level 2 of confidence </w:t>
      </w:r>
      <w:r w:rsidR="001F43F3" w:rsidRPr="00C1673C">
        <w:rPr>
          <w:rFonts w:cstheme="minorHAnsi"/>
          <w:sz w:val="22"/>
          <w:szCs w:val="18"/>
        </w:rPr>
        <w:t xml:space="preserve">m/z </w:t>
      </w:r>
      <w:r w:rsidR="001F43F3">
        <w:rPr>
          <w:rFonts w:cstheme="minorHAnsi"/>
          <w:sz w:val="22"/>
          <w:szCs w:val="18"/>
        </w:rPr>
        <w:t xml:space="preserve">had to be within </w:t>
      </w:r>
      <w:r w:rsidR="001F43F3" w:rsidRPr="00C1673C">
        <w:rPr>
          <w:rFonts w:cstheme="minorHAnsi"/>
          <w:sz w:val="22"/>
          <w:szCs w:val="18"/>
        </w:rPr>
        <w:t>±5 ppm</w:t>
      </w:r>
      <w:r w:rsidR="001F43F3">
        <w:rPr>
          <w:rFonts w:cstheme="minorHAnsi"/>
          <w:sz w:val="22"/>
          <w:szCs w:val="18"/>
        </w:rPr>
        <w:t>, the MSMS spectr</w:t>
      </w:r>
      <w:r w:rsidR="00EF1A1B">
        <w:rPr>
          <w:rFonts w:cstheme="minorHAnsi"/>
          <w:sz w:val="22"/>
          <w:szCs w:val="18"/>
        </w:rPr>
        <w:t>um</w:t>
      </w:r>
      <w:r w:rsidR="001F43F3">
        <w:rPr>
          <w:rFonts w:cstheme="minorHAnsi"/>
          <w:sz w:val="22"/>
          <w:szCs w:val="18"/>
        </w:rPr>
        <w:t xml:space="preserve"> had to </w:t>
      </w:r>
      <w:r w:rsidR="001F43F3">
        <w:rPr>
          <w:rFonts w:cstheme="minorHAnsi"/>
          <w:sz w:val="22"/>
          <w:szCs w:val="18"/>
        </w:rPr>
        <w:lastRenderedPageBreak/>
        <w:t xml:space="preserve">match a spectra in a online database or with LipidSearch database, in addition retention time had to match compound class. </w:t>
      </w:r>
      <w:r w:rsidR="001F43F3" w:rsidRPr="000D191F">
        <w:rPr>
          <w:rFonts w:cstheme="minorHAnsi"/>
          <w:sz w:val="22"/>
          <w:szCs w:val="18"/>
        </w:rPr>
        <w:t>Level 3 involved a SIRIUS match,</w:t>
      </w:r>
      <w:r w:rsidR="00111A0C">
        <w:rPr>
          <w:rFonts w:cstheme="minorHAnsi"/>
          <w:sz w:val="22"/>
          <w:szCs w:val="18"/>
        </w:rPr>
        <w:t xml:space="preserve"> and</w:t>
      </w:r>
      <w:r w:rsidR="001F43F3">
        <w:rPr>
          <w:rFonts w:cstheme="minorHAnsi"/>
          <w:sz w:val="22"/>
          <w:szCs w:val="18"/>
        </w:rPr>
        <w:t xml:space="preserve"> in addition </w:t>
      </w:r>
      <w:r w:rsidR="001F43F3" w:rsidRPr="00C1673C">
        <w:rPr>
          <w:rFonts w:cstheme="minorHAnsi"/>
          <w:sz w:val="22"/>
          <w:szCs w:val="18"/>
        </w:rPr>
        <w:t xml:space="preserve">m/z </w:t>
      </w:r>
      <w:r w:rsidR="001F43F3">
        <w:rPr>
          <w:rFonts w:cstheme="minorHAnsi"/>
          <w:sz w:val="22"/>
          <w:szCs w:val="18"/>
        </w:rPr>
        <w:t xml:space="preserve">had to be within </w:t>
      </w:r>
      <w:r w:rsidR="001F43F3" w:rsidRPr="00C1673C">
        <w:rPr>
          <w:rFonts w:cstheme="minorHAnsi"/>
          <w:sz w:val="22"/>
          <w:szCs w:val="18"/>
        </w:rPr>
        <w:t>±5 ppm</w:t>
      </w:r>
      <w:r w:rsidR="001F43F3">
        <w:rPr>
          <w:rFonts w:cstheme="minorHAnsi"/>
          <w:sz w:val="22"/>
          <w:szCs w:val="18"/>
        </w:rPr>
        <w:t>,</w:t>
      </w:r>
      <w:r w:rsidR="001F43F3" w:rsidRPr="000D191F">
        <w:rPr>
          <w:rFonts w:cstheme="minorHAnsi"/>
          <w:sz w:val="22"/>
          <w:szCs w:val="18"/>
        </w:rPr>
        <w:t xml:space="preserve"> </w:t>
      </w:r>
      <w:r w:rsidR="001F43F3">
        <w:rPr>
          <w:rFonts w:cstheme="minorHAnsi"/>
          <w:sz w:val="22"/>
          <w:szCs w:val="18"/>
        </w:rPr>
        <w:t xml:space="preserve">MSMS spectra had to have </w:t>
      </w:r>
      <w:r w:rsidR="001F43F3" w:rsidRPr="000D191F">
        <w:rPr>
          <w:rFonts w:cstheme="minorHAnsi"/>
          <w:sz w:val="22"/>
          <w:szCs w:val="18"/>
        </w:rPr>
        <w:t>partial agreement with an online library, and retention time consistent with the compound class</w:t>
      </w:r>
      <w:r w:rsidR="001F43F3">
        <w:rPr>
          <w:rFonts w:cstheme="minorHAnsi"/>
          <w:sz w:val="22"/>
          <w:szCs w:val="18"/>
        </w:rPr>
        <w:t xml:space="preserve">. </w:t>
      </w:r>
      <w:r w:rsidR="001F43F3" w:rsidRPr="005E1E0E">
        <w:rPr>
          <w:rFonts w:cstheme="minorHAnsi"/>
          <w:sz w:val="22"/>
          <w:szCs w:val="18"/>
        </w:rPr>
        <w:t>All Level 1–2 annotations were manually verified for spectral quality and biological plausibility.</w:t>
      </w:r>
    </w:p>
    <w:p w14:paraId="787F2B26" w14:textId="77777777" w:rsidR="00F24387" w:rsidRDefault="00F24387"/>
    <w:p w14:paraId="3A845443" w14:textId="77777777" w:rsidR="007379D5" w:rsidRPr="007379D5" w:rsidRDefault="007114C6" w:rsidP="007379D5">
      <w:pPr>
        <w:pStyle w:val="Bibliography"/>
        <w:rPr>
          <w:rFonts w:ascii="Aptos" w:hAnsi="Aptos"/>
        </w:rPr>
      </w:pPr>
      <w:r>
        <w:fldChar w:fldCharType="begin"/>
      </w:r>
      <w:r>
        <w:instrText xml:space="preserve"> ADDIN ZOTERO_BIBL {"uncited":[],"omitted":[],"custom":[]} CSL_BIBLIOGRAPHY </w:instrText>
      </w:r>
      <w:r>
        <w:fldChar w:fldCharType="separate"/>
      </w:r>
      <w:r w:rsidR="007379D5" w:rsidRPr="007379D5">
        <w:rPr>
          <w:rFonts w:ascii="Aptos" w:hAnsi="Aptos"/>
        </w:rPr>
        <w:t>[1]</w:t>
      </w:r>
      <w:r w:rsidR="007379D5" w:rsidRPr="007379D5">
        <w:rPr>
          <w:rFonts w:ascii="Aptos" w:hAnsi="Aptos"/>
        </w:rPr>
        <w:tab/>
        <w:t>H.B. Skogvold, E.S. Sand, K.B.P. Elgstøen, Global Metabolomics Using LC-MS for Clinical Applications, in: M. Giera, E. Sánchez-López (Eds.), Clin. Metabolomics Methods Protoc., Springer US, New York, NY, 2025: pp. 23–39. https://doi.org/10.1007/978-1-0716-4116-3_2.</w:t>
      </w:r>
    </w:p>
    <w:p w14:paraId="01A15766" w14:textId="77777777" w:rsidR="007379D5" w:rsidRPr="007379D5" w:rsidRDefault="007379D5" w:rsidP="007379D5">
      <w:pPr>
        <w:pStyle w:val="Bibliography"/>
        <w:rPr>
          <w:rFonts w:ascii="Aptos" w:hAnsi="Aptos"/>
        </w:rPr>
      </w:pPr>
      <w:r w:rsidRPr="007379D5">
        <w:rPr>
          <w:rFonts w:ascii="Aptos" w:hAnsi="Aptos"/>
        </w:rPr>
        <w:t>[2]</w:t>
      </w:r>
      <w:r w:rsidRPr="007379D5">
        <w:rPr>
          <w:rFonts w:ascii="Aptos" w:hAnsi="Aptos"/>
        </w:rPr>
        <w:tab/>
        <w:t>S.J.T. Guttorm, S.R.H. Wilson, E.K. Amundsen, H. Rootwelt, K.B.P. Elgstøen, Scheduled Data-Dependent Acquisition MS Provides Enhanced Identification and Sensitivity in Clinical Lipidomics, Anal. Chim. Acta (2025) 344426. https://doi.org/10.1016/j.aca.2025.344426.</w:t>
      </w:r>
    </w:p>
    <w:p w14:paraId="25A29B5B" w14:textId="77777777" w:rsidR="007379D5" w:rsidRPr="007379D5" w:rsidRDefault="007379D5" w:rsidP="007379D5">
      <w:pPr>
        <w:pStyle w:val="Bibliography"/>
        <w:rPr>
          <w:rFonts w:ascii="Aptos" w:hAnsi="Aptos"/>
        </w:rPr>
      </w:pPr>
      <w:r w:rsidRPr="007379D5">
        <w:rPr>
          <w:rFonts w:ascii="Aptos" w:hAnsi="Aptos"/>
        </w:rPr>
        <w:t>[3]</w:t>
      </w:r>
      <w:r w:rsidRPr="007379D5">
        <w:rPr>
          <w:rFonts w:ascii="Aptos" w:hAnsi="Aptos"/>
        </w:rPr>
        <w:tab/>
        <w:t>E.L. Schymanski, J. Jeon, R. Gulde, K. Fenner, M. Ruff, H.P. Singer, J. Hollender, Identifying Small Molecules via High Resolution Mass Spectrometry: Communicating Confidence, Environ. Sci. Technol. 48 (2014) 2097–2098. https://doi.org/10.1021/es5002105.</w:t>
      </w:r>
    </w:p>
    <w:p w14:paraId="0CA9A3D8" w14:textId="07C1A7B6" w:rsidR="00527948" w:rsidRDefault="007114C6">
      <w:r>
        <w:fldChar w:fldCharType="end"/>
      </w:r>
    </w:p>
    <w:sectPr w:rsidR="00527948" w:rsidSect="00EB138B">
      <w:footerReference w:type="default" r:id="rId12"/>
      <w:pgSz w:w="15840" w:h="12240" w:orient="landscape"/>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D3E14" w14:textId="77777777" w:rsidR="00637402" w:rsidRDefault="00637402" w:rsidP="00883DBF">
      <w:pPr>
        <w:spacing w:after="0" w:line="240" w:lineRule="auto"/>
      </w:pPr>
      <w:r>
        <w:separator/>
      </w:r>
    </w:p>
  </w:endnote>
  <w:endnote w:type="continuationSeparator" w:id="0">
    <w:p w14:paraId="0701D5CF" w14:textId="77777777" w:rsidR="00637402" w:rsidRDefault="00637402" w:rsidP="00883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5603855"/>
      <w:docPartObj>
        <w:docPartGallery w:val="Page Numbers (Bottom of Page)"/>
        <w:docPartUnique/>
      </w:docPartObj>
    </w:sdtPr>
    <w:sdtEndPr/>
    <w:sdtContent>
      <w:sdt>
        <w:sdtPr>
          <w:id w:val="1728636285"/>
          <w:docPartObj>
            <w:docPartGallery w:val="Page Numbers (Top of Page)"/>
            <w:docPartUnique/>
          </w:docPartObj>
        </w:sdtPr>
        <w:sdtEndPr/>
        <w:sdtContent>
          <w:p w14:paraId="2E464732" w14:textId="1BB14AA9" w:rsidR="00883DBF" w:rsidRDefault="00883DBF">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FBC7F64" w14:textId="77777777" w:rsidR="00883DBF" w:rsidRDefault="00883D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8F40F" w14:textId="77777777" w:rsidR="00637402" w:rsidRDefault="00637402" w:rsidP="00883DBF">
      <w:pPr>
        <w:spacing w:after="0" w:line="240" w:lineRule="auto"/>
      </w:pPr>
      <w:r>
        <w:separator/>
      </w:r>
    </w:p>
  </w:footnote>
  <w:footnote w:type="continuationSeparator" w:id="0">
    <w:p w14:paraId="0ACBBD20" w14:textId="77777777" w:rsidR="00637402" w:rsidRDefault="00637402" w:rsidP="00883D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42279"/>
    <w:multiLevelType w:val="multilevel"/>
    <w:tmpl w:val="445CE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F6497"/>
    <w:multiLevelType w:val="multilevel"/>
    <w:tmpl w:val="6F2A1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1E51F0"/>
    <w:multiLevelType w:val="multilevel"/>
    <w:tmpl w:val="304E8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6A30DD"/>
    <w:multiLevelType w:val="multilevel"/>
    <w:tmpl w:val="7D103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C22544"/>
    <w:multiLevelType w:val="multilevel"/>
    <w:tmpl w:val="CA26A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F9176F"/>
    <w:multiLevelType w:val="multilevel"/>
    <w:tmpl w:val="6BD0A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CF630A"/>
    <w:multiLevelType w:val="multilevel"/>
    <w:tmpl w:val="61824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9B3F42"/>
    <w:multiLevelType w:val="multilevel"/>
    <w:tmpl w:val="28721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6D68FB"/>
    <w:multiLevelType w:val="multilevel"/>
    <w:tmpl w:val="620AB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2A4B68"/>
    <w:multiLevelType w:val="multilevel"/>
    <w:tmpl w:val="43FA2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3D3409"/>
    <w:multiLevelType w:val="multilevel"/>
    <w:tmpl w:val="0B2E3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CB0B36"/>
    <w:multiLevelType w:val="multilevel"/>
    <w:tmpl w:val="B5B45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8F715D"/>
    <w:multiLevelType w:val="multilevel"/>
    <w:tmpl w:val="B4AC9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C16754"/>
    <w:multiLevelType w:val="multilevel"/>
    <w:tmpl w:val="AC782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DC1ECF"/>
    <w:multiLevelType w:val="multilevel"/>
    <w:tmpl w:val="2D9AF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285CB6"/>
    <w:multiLevelType w:val="multilevel"/>
    <w:tmpl w:val="1D386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9F5C96"/>
    <w:multiLevelType w:val="multilevel"/>
    <w:tmpl w:val="78F6D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8D245B"/>
    <w:multiLevelType w:val="multilevel"/>
    <w:tmpl w:val="C5EE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AE0132"/>
    <w:multiLevelType w:val="multilevel"/>
    <w:tmpl w:val="2392D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3A013A"/>
    <w:multiLevelType w:val="multilevel"/>
    <w:tmpl w:val="94C84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639040">
    <w:abstractNumId w:val="6"/>
  </w:num>
  <w:num w:numId="2" w16cid:durableId="1830365929">
    <w:abstractNumId w:val="5"/>
  </w:num>
  <w:num w:numId="3" w16cid:durableId="113448467">
    <w:abstractNumId w:val="0"/>
  </w:num>
  <w:num w:numId="4" w16cid:durableId="168259173">
    <w:abstractNumId w:val="12"/>
  </w:num>
  <w:num w:numId="5" w16cid:durableId="1853647416">
    <w:abstractNumId w:val="14"/>
  </w:num>
  <w:num w:numId="6" w16cid:durableId="723484521">
    <w:abstractNumId w:val="18"/>
  </w:num>
  <w:num w:numId="7" w16cid:durableId="760295309">
    <w:abstractNumId w:val="10"/>
  </w:num>
  <w:num w:numId="8" w16cid:durableId="2112310965">
    <w:abstractNumId w:val="9"/>
  </w:num>
  <w:num w:numId="9" w16cid:durableId="1557662739">
    <w:abstractNumId w:val="7"/>
  </w:num>
  <w:num w:numId="10" w16cid:durableId="1783916663">
    <w:abstractNumId w:val="3"/>
  </w:num>
  <w:num w:numId="11" w16cid:durableId="526254461">
    <w:abstractNumId w:val="13"/>
  </w:num>
  <w:num w:numId="12" w16cid:durableId="84228948">
    <w:abstractNumId w:val="15"/>
  </w:num>
  <w:num w:numId="13" w16cid:durableId="1860044106">
    <w:abstractNumId w:val="2"/>
  </w:num>
  <w:num w:numId="14" w16cid:durableId="233050691">
    <w:abstractNumId w:val="17"/>
  </w:num>
  <w:num w:numId="15" w16cid:durableId="1417480475">
    <w:abstractNumId w:val="8"/>
  </w:num>
  <w:num w:numId="16" w16cid:durableId="1693654286">
    <w:abstractNumId w:val="4"/>
  </w:num>
  <w:num w:numId="17" w16cid:durableId="1018577528">
    <w:abstractNumId w:val="1"/>
  </w:num>
  <w:num w:numId="18" w16cid:durableId="1487087164">
    <w:abstractNumId w:val="11"/>
  </w:num>
  <w:num w:numId="19" w16cid:durableId="1431730553">
    <w:abstractNumId w:val="16"/>
  </w:num>
  <w:num w:numId="20" w16cid:durableId="146757869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501"/>
    <w:rsid w:val="0000329A"/>
    <w:rsid w:val="00022A2F"/>
    <w:rsid w:val="000271FA"/>
    <w:rsid w:val="00041AA5"/>
    <w:rsid w:val="000447E0"/>
    <w:rsid w:val="0004662E"/>
    <w:rsid w:val="00061904"/>
    <w:rsid w:val="00062680"/>
    <w:rsid w:val="00082D72"/>
    <w:rsid w:val="0009524D"/>
    <w:rsid w:val="00095F92"/>
    <w:rsid w:val="000A0712"/>
    <w:rsid w:val="000A2869"/>
    <w:rsid w:val="000A2C67"/>
    <w:rsid w:val="000A332F"/>
    <w:rsid w:val="000A4678"/>
    <w:rsid w:val="000A6DCF"/>
    <w:rsid w:val="000B2EE1"/>
    <w:rsid w:val="000B3123"/>
    <w:rsid w:val="000C367B"/>
    <w:rsid w:val="000D191F"/>
    <w:rsid w:val="000D3F50"/>
    <w:rsid w:val="000D6085"/>
    <w:rsid w:val="000F2F1D"/>
    <w:rsid w:val="00111A0C"/>
    <w:rsid w:val="00116BA3"/>
    <w:rsid w:val="001358F0"/>
    <w:rsid w:val="00140797"/>
    <w:rsid w:val="001455A3"/>
    <w:rsid w:val="00146BB6"/>
    <w:rsid w:val="001619F7"/>
    <w:rsid w:val="0016259B"/>
    <w:rsid w:val="00164033"/>
    <w:rsid w:val="001643EB"/>
    <w:rsid w:val="00175E9D"/>
    <w:rsid w:val="00184559"/>
    <w:rsid w:val="00187B24"/>
    <w:rsid w:val="00191CFA"/>
    <w:rsid w:val="001955D4"/>
    <w:rsid w:val="001955FF"/>
    <w:rsid w:val="001A1CBC"/>
    <w:rsid w:val="001B23B3"/>
    <w:rsid w:val="001D6F6B"/>
    <w:rsid w:val="001F43F3"/>
    <w:rsid w:val="00203325"/>
    <w:rsid w:val="00203F84"/>
    <w:rsid w:val="00204EA2"/>
    <w:rsid w:val="00205C52"/>
    <w:rsid w:val="002512EC"/>
    <w:rsid w:val="0025282B"/>
    <w:rsid w:val="002904FA"/>
    <w:rsid w:val="00292569"/>
    <w:rsid w:val="002A20E0"/>
    <w:rsid w:val="002A6AFE"/>
    <w:rsid w:val="002C4221"/>
    <w:rsid w:val="002D72C0"/>
    <w:rsid w:val="002E1466"/>
    <w:rsid w:val="002F703F"/>
    <w:rsid w:val="00311807"/>
    <w:rsid w:val="00322C19"/>
    <w:rsid w:val="00333564"/>
    <w:rsid w:val="00340E46"/>
    <w:rsid w:val="00343250"/>
    <w:rsid w:val="0035318D"/>
    <w:rsid w:val="00360901"/>
    <w:rsid w:val="0037286E"/>
    <w:rsid w:val="003801CD"/>
    <w:rsid w:val="00380C35"/>
    <w:rsid w:val="00384DEB"/>
    <w:rsid w:val="003B4E3B"/>
    <w:rsid w:val="003C3524"/>
    <w:rsid w:val="003C72F3"/>
    <w:rsid w:val="003F6350"/>
    <w:rsid w:val="00420DA9"/>
    <w:rsid w:val="00427E6A"/>
    <w:rsid w:val="00436A09"/>
    <w:rsid w:val="00445C51"/>
    <w:rsid w:val="00446B24"/>
    <w:rsid w:val="004644A8"/>
    <w:rsid w:val="00465DDB"/>
    <w:rsid w:val="00484CD3"/>
    <w:rsid w:val="004A11A7"/>
    <w:rsid w:val="004A2B57"/>
    <w:rsid w:val="004B076A"/>
    <w:rsid w:val="004C3FAF"/>
    <w:rsid w:val="004C68AF"/>
    <w:rsid w:val="004D7A52"/>
    <w:rsid w:val="004F02E8"/>
    <w:rsid w:val="00502DA0"/>
    <w:rsid w:val="005047C8"/>
    <w:rsid w:val="005162C3"/>
    <w:rsid w:val="00523F00"/>
    <w:rsid w:val="00527948"/>
    <w:rsid w:val="00530162"/>
    <w:rsid w:val="0053238C"/>
    <w:rsid w:val="00560A60"/>
    <w:rsid w:val="0056758E"/>
    <w:rsid w:val="005857B8"/>
    <w:rsid w:val="005B184B"/>
    <w:rsid w:val="005C22E5"/>
    <w:rsid w:val="005D06A0"/>
    <w:rsid w:val="005E0B66"/>
    <w:rsid w:val="005E1E0E"/>
    <w:rsid w:val="005E5C28"/>
    <w:rsid w:val="005F1832"/>
    <w:rsid w:val="006001E9"/>
    <w:rsid w:val="006050E3"/>
    <w:rsid w:val="006140DF"/>
    <w:rsid w:val="00630851"/>
    <w:rsid w:val="00631E61"/>
    <w:rsid w:val="00636D38"/>
    <w:rsid w:val="00637402"/>
    <w:rsid w:val="00654189"/>
    <w:rsid w:val="00654544"/>
    <w:rsid w:val="00654DC7"/>
    <w:rsid w:val="006601C5"/>
    <w:rsid w:val="006663D5"/>
    <w:rsid w:val="00692EE7"/>
    <w:rsid w:val="00695E63"/>
    <w:rsid w:val="006A2780"/>
    <w:rsid w:val="006A446A"/>
    <w:rsid w:val="006A4A2D"/>
    <w:rsid w:val="006B23EC"/>
    <w:rsid w:val="006C0036"/>
    <w:rsid w:val="006C309C"/>
    <w:rsid w:val="006D31E6"/>
    <w:rsid w:val="006D5EBD"/>
    <w:rsid w:val="00706804"/>
    <w:rsid w:val="0071003A"/>
    <w:rsid w:val="007114C6"/>
    <w:rsid w:val="00724DD9"/>
    <w:rsid w:val="00736F3B"/>
    <w:rsid w:val="0073795B"/>
    <w:rsid w:val="007379D5"/>
    <w:rsid w:val="00756A2C"/>
    <w:rsid w:val="0075773D"/>
    <w:rsid w:val="00761FF8"/>
    <w:rsid w:val="00777E16"/>
    <w:rsid w:val="00786501"/>
    <w:rsid w:val="00797DFF"/>
    <w:rsid w:val="007C3D0F"/>
    <w:rsid w:val="007C7F9A"/>
    <w:rsid w:val="007E3828"/>
    <w:rsid w:val="007E426F"/>
    <w:rsid w:val="007F1C58"/>
    <w:rsid w:val="007F22B3"/>
    <w:rsid w:val="00821786"/>
    <w:rsid w:val="00822084"/>
    <w:rsid w:val="00835228"/>
    <w:rsid w:val="00841B77"/>
    <w:rsid w:val="00845655"/>
    <w:rsid w:val="00861A1F"/>
    <w:rsid w:val="00864066"/>
    <w:rsid w:val="008818D8"/>
    <w:rsid w:val="00883DBF"/>
    <w:rsid w:val="0088489E"/>
    <w:rsid w:val="00887FB8"/>
    <w:rsid w:val="00893C95"/>
    <w:rsid w:val="00895591"/>
    <w:rsid w:val="008A5018"/>
    <w:rsid w:val="008B3041"/>
    <w:rsid w:val="008E4D02"/>
    <w:rsid w:val="008E5F8C"/>
    <w:rsid w:val="0090032C"/>
    <w:rsid w:val="00903099"/>
    <w:rsid w:val="009053D8"/>
    <w:rsid w:val="00910274"/>
    <w:rsid w:val="00927211"/>
    <w:rsid w:val="00933326"/>
    <w:rsid w:val="00943E5B"/>
    <w:rsid w:val="00951F64"/>
    <w:rsid w:val="009522A6"/>
    <w:rsid w:val="0095396A"/>
    <w:rsid w:val="00963596"/>
    <w:rsid w:val="009667F8"/>
    <w:rsid w:val="00971F36"/>
    <w:rsid w:val="00982620"/>
    <w:rsid w:val="009A4AEA"/>
    <w:rsid w:val="009A7076"/>
    <w:rsid w:val="009C306D"/>
    <w:rsid w:val="009C4440"/>
    <w:rsid w:val="009C629C"/>
    <w:rsid w:val="009E6B6E"/>
    <w:rsid w:val="009F6586"/>
    <w:rsid w:val="00A02353"/>
    <w:rsid w:val="00A03B5A"/>
    <w:rsid w:val="00A078DF"/>
    <w:rsid w:val="00A43B80"/>
    <w:rsid w:val="00A45553"/>
    <w:rsid w:val="00A522B8"/>
    <w:rsid w:val="00A812FB"/>
    <w:rsid w:val="00A9512D"/>
    <w:rsid w:val="00AA450E"/>
    <w:rsid w:val="00AA59F2"/>
    <w:rsid w:val="00AB4181"/>
    <w:rsid w:val="00AB4486"/>
    <w:rsid w:val="00AB58D9"/>
    <w:rsid w:val="00AC74A2"/>
    <w:rsid w:val="00AC7756"/>
    <w:rsid w:val="00AE047E"/>
    <w:rsid w:val="00AF0D8C"/>
    <w:rsid w:val="00AF1A51"/>
    <w:rsid w:val="00B0431A"/>
    <w:rsid w:val="00B101D7"/>
    <w:rsid w:val="00B231F1"/>
    <w:rsid w:val="00B27E11"/>
    <w:rsid w:val="00B515AB"/>
    <w:rsid w:val="00B560CF"/>
    <w:rsid w:val="00B673F2"/>
    <w:rsid w:val="00B80275"/>
    <w:rsid w:val="00B832AD"/>
    <w:rsid w:val="00B96CB9"/>
    <w:rsid w:val="00BA0C4B"/>
    <w:rsid w:val="00BA1819"/>
    <w:rsid w:val="00BB045B"/>
    <w:rsid w:val="00BE4C6C"/>
    <w:rsid w:val="00BE7222"/>
    <w:rsid w:val="00C029F2"/>
    <w:rsid w:val="00C13CE2"/>
    <w:rsid w:val="00C1673C"/>
    <w:rsid w:val="00C30446"/>
    <w:rsid w:val="00C33395"/>
    <w:rsid w:val="00C33E42"/>
    <w:rsid w:val="00C364F8"/>
    <w:rsid w:val="00C42194"/>
    <w:rsid w:val="00C50CD6"/>
    <w:rsid w:val="00C57F51"/>
    <w:rsid w:val="00C64A1B"/>
    <w:rsid w:val="00C74A87"/>
    <w:rsid w:val="00C86AD2"/>
    <w:rsid w:val="00C9082B"/>
    <w:rsid w:val="00C94EC5"/>
    <w:rsid w:val="00CA3D17"/>
    <w:rsid w:val="00CA5E78"/>
    <w:rsid w:val="00CD459C"/>
    <w:rsid w:val="00CD777A"/>
    <w:rsid w:val="00CF7155"/>
    <w:rsid w:val="00D079EF"/>
    <w:rsid w:val="00D16134"/>
    <w:rsid w:val="00D16CF7"/>
    <w:rsid w:val="00D23472"/>
    <w:rsid w:val="00D309C3"/>
    <w:rsid w:val="00D3528A"/>
    <w:rsid w:val="00D40287"/>
    <w:rsid w:val="00D46205"/>
    <w:rsid w:val="00D54A2A"/>
    <w:rsid w:val="00D66AAA"/>
    <w:rsid w:val="00D74732"/>
    <w:rsid w:val="00D75B32"/>
    <w:rsid w:val="00D77184"/>
    <w:rsid w:val="00D87E85"/>
    <w:rsid w:val="00DA2992"/>
    <w:rsid w:val="00DB4CC8"/>
    <w:rsid w:val="00DB685E"/>
    <w:rsid w:val="00DE5AA8"/>
    <w:rsid w:val="00E3002E"/>
    <w:rsid w:val="00E3275C"/>
    <w:rsid w:val="00E35884"/>
    <w:rsid w:val="00E40640"/>
    <w:rsid w:val="00E4547A"/>
    <w:rsid w:val="00E53913"/>
    <w:rsid w:val="00E57A90"/>
    <w:rsid w:val="00E6761A"/>
    <w:rsid w:val="00E71FC8"/>
    <w:rsid w:val="00E73FA0"/>
    <w:rsid w:val="00E84FE5"/>
    <w:rsid w:val="00E8731D"/>
    <w:rsid w:val="00E874EA"/>
    <w:rsid w:val="00EB138B"/>
    <w:rsid w:val="00EB26C4"/>
    <w:rsid w:val="00EB6024"/>
    <w:rsid w:val="00EC22EE"/>
    <w:rsid w:val="00ED3989"/>
    <w:rsid w:val="00ED5D37"/>
    <w:rsid w:val="00EF1A1B"/>
    <w:rsid w:val="00EF5967"/>
    <w:rsid w:val="00EF6987"/>
    <w:rsid w:val="00F158A1"/>
    <w:rsid w:val="00F2298F"/>
    <w:rsid w:val="00F24387"/>
    <w:rsid w:val="00F3696D"/>
    <w:rsid w:val="00F405D3"/>
    <w:rsid w:val="00F40865"/>
    <w:rsid w:val="00F413DD"/>
    <w:rsid w:val="00F44F7B"/>
    <w:rsid w:val="00F50A29"/>
    <w:rsid w:val="00F5422F"/>
    <w:rsid w:val="00F55CFD"/>
    <w:rsid w:val="00F607EA"/>
    <w:rsid w:val="00F8417D"/>
    <w:rsid w:val="00FA1826"/>
    <w:rsid w:val="00FC197F"/>
    <w:rsid w:val="00FC283F"/>
    <w:rsid w:val="00FE38CE"/>
    <w:rsid w:val="00FF5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DA3B9"/>
  <w15:chartTrackingRefBased/>
  <w15:docId w15:val="{F3139410-5423-41E1-AA3F-DC45ED7D9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65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65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65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65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65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65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65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65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65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5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65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65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65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65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65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65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65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6501"/>
    <w:rPr>
      <w:rFonts w:eastAsiaTheme="majorEastAsia" w:cstheme="majorBidi"/>
      <w:color w:val="272727" w:themeColor="text1" w:themeTint="D8"/>
    </w:rPr>
  </w:style>
  <w:style w:type="paragraph" w:styleId="Title">
    <w:name w:val="Title"/>
    <w:basedOn w:val="Normal"/>
    <w:next w:val="Normal"/>
    <w:link w:val="TitleChar"/>
    <w:uiPriority w:val="10"/>
    <w:qFormat/>
    <w:rsid w:val="007865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65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65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65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6501"/>
    <w:pPr>
      <w:spacing w:before="160"/>
      <w:jc w:val="center"/>
    </w:pPr>
    <w:rPr>
      <w:i/>
      <w:iCs/>
      <w:color w:val="404040" w:themeColor="text1" w:themeTint="BF"/>
    </w:rPr>
  </w:style>
  <w:style w:type="character" w:customStyle="1" w:styleId="QuoteChar">
    <w:name w:val="Quote Char"/>
    <w:basedOn w:val="DefaultParagraphFont"/>
    <w:link w:val="Quote"/>
    <w:uiPriority w:val="29"/>
    <w:rsid w:val="00786501"/>
    <w:rPr>
      <w:i/>
      <w:iCs/>
      <w:color w:val="404040" w:themeColor="text1" w:themeTint="BF"/>
    </w:rPr>
  </w:style>
  <w:style w:type="paragraph" w:styleId="ListParagraph">
    <w:name w:val="List Paragraph"/>
    <w:basedOn w:val="Normal"/>
    <w:uiPriority w:val="34"/>
    <w:qFormat/>
    <w:rsid w:val="00786501"/>
    <w:pPr>
      <w:ind w:left="720"/>
      <w:contextualSpacing/>
    </w:pPr>
  </w:style>
  <w:style w:type="character" w:styleId="IntenseEmphasis">
    <w:name w:val="Intense Emphasis"/>
    <w:basedOn w:val="DefaultParagraphFont"/>
    <w:uiPriority w:val="21"/>
    <w:qFormat/>
    <w:rsid w:val="00786501"/>
    <w:rPr>
      <w:i/>
      <w:iCs/>
      <w:color w:val="0F4761" w:themeColor="accent1" w:themeShade="BF"/>
    </w:rPr>
  </w:style>
  <w:style w:type="paragraph" w:styleId="IntenseQuote">
    <w:name w:val="Intense Quote"/>
    <w:basedOn w:val="Normal"/>
    <w:next w:val="Normal"/>
    <w:link w:val="IntenseQuoteChar"/>
    <w:uiPriority w:val="30"/>
    <w:qFormat/>
    <w:rsid w:val="007865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6501"/>
    <w:rPr>
      <w:i/>
      <w:iCs/>
      <w:color w:val="0F4761" w:themeColor="accent1" w:themeShade="BF"/>
    </w:rPr>
  </w:style>
  <w:style w:type="character" w:styleId="IntenseReference">
    <w:name w:val="Intense Reference"/>
    <w:basedOn w:val="DefaultParagraphFont"/>
    <w:uiPriority w:val="32"/>
    <w:qFormat/>
    <w:rsid w:val="00786501"/>
    <w:rPr>
      <w:b/>
      <w:bCs/>
      <w:smallCaps/>
      <w:color w:val="0F4761" w:themeColor="accent1" w:themeShade="BF"/>
      <w:spacing w:val="5"/>
    </w:rPr>
  </w:style>
  <w:style w:type="paragraph" w:customStyle="1" w:styleId="Body">
    <w:name w:val="Body"/>
    <w:link w:val="BodyChar"/>
    <w:rsid w:val="003C3524"/>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u w:color="000000"/>
      <w:bdr w:val="nil"/>
      <w:lang w:eastAsia="nb-NO"/>
      <w14:textOutline w14:w="0" w14:cap="flat" w14:cmpd="sng" w14:algn="ctr">
        <w14:noFill/>
        <w14:prstDash w14:val="solid"/>
        <w14:bevel/>
      </w14:textOutline>
      <w14:ligatures w14:val="none"/>
    </w:rPr>
  </w:style>
  <w:style w:type="character" w:customStyle="1" w:styleId="BodyChar">
    <w:name w:val="Body Char"/>
    <w:basedOn w:val="DefaultParagraphFont"/>
    <w:link w:val="Body"/>
    <w:rsid w:val="003C3524"/>
    <w:rPr>
      <w:rFonts w:ascii="Times New Roman" w:eastAsia="Arial Unicode MS" w:hAnsi="Times New Roman" w:cs="Arial Unicode MS"/>
      <w:color w:val="000000"/>
      <w:kern w:val="0"/>
      <w:u w:color="000000"/>
      <w:bdr w:val="nil"/>
      <w:lang w:eastAsia="nb-NO"/>
      <w14:textOutline w14:w="0" w14:cap="flat" w14:cmpd="sng" w14:algn="ctr">
        <w14:noFill/>
        <w14:prstDash w14:val="solid"/>
        <w14:bevel/>
      </w14:textOutline>
      <w14:ligatures w14:val="none"/>
    </w:rPr>
  </w:style>
  <w:style w:type="paragraph" w:styleId="Bibliography">
    <w:name w:val="Bibliography"/>
    <w:basedOn w:val="Normal"/>
    <w:next w:val="Normal"/>
    <w:uiPriority w:val="37"/>
    <w:unhideWhenUsed/>
    <w:rsid w:val="007114C6"/>
  </w:style>
  <w:style w:type="paragraph" w:customStyle="1" w:styleId="BodyA">
    <w:name w:val="Body A"/>
    <w:rsid w:val="008818D8"/>
    <w:pPr>
      <w:pBdr>
        <w:top w:val="nil"/>
        <w:left w:val="nil"/>
        <w:bottom w:val="nil"/>
        <w:right w:val="nil"/>
        <w:between w:val="nil"/>
        <w:bar w:val="nil"/>
      </w:pBdr>
      <w:spacing w:after="0" w:line="240" w:lineRule="auto"/>
    </w:pPr>
    <w:rPr>
      <w:rFonts w:ascii="Calibri" w:eastAsia="Arial Unicode MS" w:hAnsi="Calibri" w:cs="Arial Unicode MS"/>
      <w:color w:val="000000"/>
      <w:kern w:val="0"/>
      <w:u w:color="000000"/>
      <w:bdr w:val="nil"/>
      <w:lang w:eastAsia="nb-NO"/>
      <w14:textOutline w14:w="0" w14:cap="flat" w14:cmpd="sng" w14:algn="ctr">
        <w14:noFill/>
        <w14:prstDash w14:val="solid"/>
        <w14:bevel/>
      </w14:textOutline>
      <w14:ligatures w14:val="none"/>
    </w:rPr>
  </w:style>
  <w:style w:type="character" w:styleId="CommentReference">
    <w:name w:val="annotation reference"/>
    <w:basedOn w:val="DefaultParagraphFont"/>
    <w:uiPriority w:val="99"/>
    <w:semiHidden/>
    <w:unhideWhenUsed/>
    <w:rsid w:val="008818D8"/>
    <w:rPr>
      <w:sz w:val="16"/>
      <w:szCs w:val="16"/>
    </w:rPr>
  </w:style>
  <w:style w:type="paragraph" w:styleId="CommentText">
    <w:name w:val="annotation text"/>
    <w:basedOn w:val="Normal"/>
    <w:link w:val="CommentTextChar"/>
    <w:uiPriority w:val="99"/>
    <w:unhideWhenUsed/>
    <w:rsid w:val="008818D8"/>
    <w:pPr>
      <w:spacing w:line="240" w:lineRule="auto"/>
    </w:pPr>
    <w:rPr>
      <w:kern w:val="0"/>
      <w:sz w:val="20"/>
      <w:szCs w:val="20"/>
      <w14:ligatures w14:val="none"/>
    </w:rPr>
  </w:style>
  <w:style w:type="character" w:customStyle="1" w:styleId="CommentTextChar">
    <w:name w:val="Comment Text Char"/>
    <w:basedOn w:val="DefaultParagraphFont"/>
    <w:link w:val="CommentText"/>
    <w:uiPriority w:val="99"/>
    <w:rsid w:val="008818D8"/>
    <w:rPr>
      <w:kern w:val="0"/>
      <w:sz w:val="20"/>
      <w:szCs w:val="20"/>
      <w14:ligatures w14:val="none"/>
    </w:rPr>
  </w:style>
  <w:style w:type="character" w:customStyle="1" w:styleId="normaltextrun">
    <w:name w:val="normaltextrun"/>
    <w:basedOn w:val="DefaultParagraphFont"/>
    <w:rsid w:val="008818D8"/>
  </w:style>
  <w:style w:type="paragraph" w:styleId="Caption">
    <w:name w:val="caption"/>
    <w:basedOn w:val="Normal"/>
    <w:next w:val="Normal"/>
    <w:uiPriority w:val="35"/>
    <w:unhideWhenUsed/>
    <w:qFormat/>
    <w:rsid w:val="00F55CFD"/>
    <w:pPr>
      <w:spacing w:after="200" w:line="240" w:lineRule="auto"/>
    </w:pPr>
    <w:rPr>
      <w:i/>
      <w:iCs/>
      <w:color w:val="0E2841" w:themeColor="text2"/>
      <w:sz w:val="18"/>
      <w:szCs w:val="18"/>
    </w:rPr>
  </w:style>
  <w:style w:type="character" w:styleId="Hyperlink">
    <w:name w:val="Hyperlink"/>
    <w:basedOn w:val="DefaultParagraphFont"/>
    <w:uiPriority w:val="99"/>
    <w:unhideWhenUsed/>
    <w:rsid w:val="00D75B32"/>
    <w:rPr>
      <w:color w:val="467886" w:themeColor="hyperlink"/>
      <w:u w:val="single"/>
    </w:rPr>
  </w:style>
  <w:style w:type="character" w:styleId="UnresolvedMention">
    <w:name w:val="Unresolved Mention"/>
    <w:basedOn w:val="DefaultParagraphFont"/>
    <w:uiPriority w:val="99"/>
    <w:semiHidden/>
    <w:unhideWhenUsed/>
    <w:rsid w:val="00D75B32"/>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B832AD"/>
    <w:rPr>
      <w:b/>
      <w:bCs/>
      <w:kern w:val="2"/>
      <w14:ligatures w14:val="standardContextual"/>
    </w:rPr>
  </w:style>
  <w:style w:type="character" w:customStyle="1" w:styleId="CommentSubjectChar">
    <w:name w:val="Comment Subject Char"/>
    <w:basedOn w:val="CommentTextChar"/>
    <w:link w:val="CommentSubject"/>
    <w:uiPriority w:val="99"/>
    <w:semiHidden/>
    <w:rsid w:val="00B832AD"/>
    <w:rPr>
      <w:b/>
      <w:bCs/>
      <w:kern w:val="0"/>
      <w:sz w:val="20"/>
      <w:szCs w:val="20"/>
      <w14:ligatures w14:val="none"/>
    </w:rPr>
  </w:style>
  <w:style w:type="paragraph" w:styleId="Revision">
    <w:name w:val="Revision"/>
    <w:hidden/>
    <w:uiPriority w:val="99"/>
    <w:semiHidden/>
    <w:rsid w:val="005857B8"/>
    <w:pPr>
      <w:spacing w:after="0" w:line="240" w:lineRule="auto"/>
    </w:pPr>
  </w:style>
  <w:style w:type="paragraph" w:styleId="Header">
    <w:name w:val="header"/>
    <w:basedOn w:val="Normal"/>
    <w:link w:val="HeaderChar"/>
    <w:uiPriority w:val="99"/>
    <w:unhideWhenUsed/>
    <w:rsid w:val="00883D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3DBF"/>
  </w:style>
  <w:style w:type="paragraph" w:styleId="Footer">
    <w:name w:val="footer"/>
    <w:basedOn w:val="Normal"/>
    <w:link w:val="FooterChar"/>
    <w:uiPriority w:val="99"/>
    <w:unhideWhenUsed/>
    <w:rsid w:val="00883D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3DBF"/>
  </w:style>
  <w:style w:type="character" w:styleId="LineNumber">
    <w:name w:val="line number"/>
    <w:basedOn w:val="DefaultParagraphFont"/>
    <w:uiPriority w:val="99"/>
    <w:semiHidden/>
    <w:unhideWhenUsed/>
    <w:rsid w:val="00DA29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67684">
      <w:bodyDiv w:val="1"/>
      <w:marLeft w:val="0"/>
      <w:marRight w:val="0"/>
      <w:marTop w:val="0"/>
      <w:marBottom w:val="0"/>
      <w:divBdr>
        <w:top w:val="none" w:sz="0" w:space="0" w:color="auto"/>
        <w:left w:val="none" w:sz="0" w:space="0" w:color="auto"/>
        <w:bottom w:val="none" w:sz="0" w:space="0" w:color="auto"/>
        <w:right w:val="none" w:sz="0" w:space="0" w:color="auto"/>
      </w:divBdr>
      <w:divsChild>
        <w:div w:id="1355572511">
          <w:marLeft w:val="0"/>
          <w:marRight w:val="0"/>
          <w:marTop w:val="0"/>
          <w:marBottom w:val="0"/>
          <w:divBdr>
            <w:top w:val="none" w:sz="0" w:space="0" w:color="auto"/>
            <w:left w:val="none" w:sz="0" w:space="0" w:color="auto"/>
            <w:bottom w:val="none" w:sz="0" w:space="0" w:color="auto"/>
            <w:right w:val="none" w:sz="0" w:space="0" w:color="auto"/>
          </w:divBdr>
        </w:div>
      </w:divsChild>
    </w:div>
    <w:div w:id="80218852">
      <w:bodyDiv w:val="1"/>
      <w:marLeft w:val="0"/>
      <w:marRight w:val="0"/>
      <w:marTop w:val="0"/>
      <w:marBottom w:val="0"/>
      <w:divBdr>
        <w:top w:val="none" w:sz="0" w:space="0" w:color="auto"/>
        <w:left w:val="none" w:sz="0" w:space="0" w:color="auto"/>
        <w:bottom w:val="none" w:sz="0" w:space="0" w:color="auto"/>
        <w:right w:val="none" w:sz="0" w:space="0" w:color="auto"/>
      </w:divBdr>
    </w:div>
    <w:div w:id="126751401">
      <w:bodyDiv w:val="1"/>
      <w:marLeft w:val="0"/>
      <w:marRight w:val="0"/>
      <w:marTop w:val="0"/>
      <w:marBottom w:val="0"/>
      <w:divBdr>
        <w:top w:val="none" w:sz="0" w:space="0" w:color="auto"/>
        <w:left w:val="none" w:sz="0" w:space="0" w:color="auto"/>
        <w:bottom w:val="none" w:sz="0" w:space="0" w:color="auto"/>
        <w:right w:val="none" w:sz="0" w:space="0" w:color="auto"/>
      </w:divBdr>
      <w:divsChild>
        <w:div w:id="2044817019">
          <w:marLeft w:val="0"/>
          <w:marRight w:val="0"/>
          <w:marTop w:val="0"/>
          <w:marBottom w:val="0"/>
          <w:divBdr>
            <w:top w:val="none" w:sz="0" w:space="0" w:color="auto"/>
            <w:left w:val="none" w:sz="0" w:space="0" w:color="auto"/>
            <w:bottom w:val="none" w:sz="0" w:space="0" w:color="auto"/>
            <w:right w:val="none" w:sz="0" w:space="0" w:color="auto"/>
          </w:divBdr>
        </w:div>
        <w:div w:id="98064416">
          <w:marLeft w:val="0"/>
          <w:marRight w:val="0"/>
          <w:marTop w:val="0"/>
          <w:marBottom w:val="0"/>
          <w:divBdr>
            <w:top w:val="none" w:sz="0" w:space="0" w:color="auto"/>
            <w:left w:val="none" w:sz="0" w:space="0" w:color="auto"/>
            <w:bottom w:val="none" w:sz="0" w:space="0" w:color="auto"/>
            <w:right w:val="none" w:sz="0" w:space="0" w:color="auto"/>
          </w:divBdr>
        </w:div>
        <w:div w:id="1616904255">
          <w:marLeft w:val="0"/>
          <w:marRight w:val="0"/>
          <w:marTop w:val="0"/>
          <w:marBottom w:val="0"/>
          <w:divBdr>
            <w:top w:val="none" w:sz="0" w:space="0" w:color="auto"/>
            <w:left w:val="none" w:sz="0" w:space="0" w:color="auto"/>
            <w:bottom w:val="none" w:sz="0" w:space="0" w:color="auto"/>
            <w:right w:val="none" w:sz="0" w:space="0" w:color="auto"/>
          </w:divBdr>
        </w:div>
      </w:divsChild>
    </w:div>
    <w:div w:id="137767639">
      <w:bodyDiv w:val="1"/>
      <w:marLeft w:val="0"/>
      <w:marRight w:val="0"/>
      <w:marTop w:val="0"/>
      <w:marBottom w:val="0"/>
      <w:divBdr>
        <w:top w:val="none" w:sz="0" w:space="0" w:color="auto"/>
        <w:left w:val="none" w:sz="0" w:space="0" w:color="auto"/>
        <w:bottom w:val="none" w:sz="0" w:space="0" w:color="auto"/>
        <w:right w:val="none" w:sz="0" w:space="0" w:color="auto"/>
      </w:divBdr>
      <w:divsChild>
        <w:div w:id="1245139693">
          <w:marLeft w:val="0"/>
          <w:marRight w:val="0"/>
          <w:marTop w:val="0"/>
          <w:marBottom w:val="0"/>
          <w:divBdr>
            <w:top w:val="none" w:sz="0" w:space="0" w:color="auto"/>
            <w:left w:val="none" w:sz="0" w:space="0" w:color="auto"/>
            <w:bottom w:val="none" w:sz="0" w:space="0" w:color="auto"/>
            <w:right w:val="none" w:sz="0" w:space="0" w:color="auto"/>
          </w:divBdr>
        </w:div>
        <w:div w:id="1907643358">
          <w:marLeft w:val="0"/>
          <w:marRight w:val="0"/>
          <w:marTop w:val="0"/>
          <w:marBottom w:val="0"/>
          <w:divBdr>
            <w:top w:val="none" w:sz="0" w:space="0" w:color="auto"/>
            <w:left w:val="none" w:sz="0" w:space="0" w:color="auto"/>
            <w:bottom w:val="none" w:sz="0" w:space="0" w:color="auto"/>
            <w:right w:val="none" w:sz="0" w:space="0" w:color="auto"/>
          </w:divBdr>
        </w:div>
      </w:divsChild>
    </w:div>
    <w:div w:id="177280359">
      <w:bodyDiv w:val="1"/>
      <w:marLeft w:val="0"/>
      <w:marRight w:val="0"/>
      <w:marTop w:val="0"/>
      <w:marBottom w:val="0"/>
      <w:divBdr>
        <w:top w:val="none" w:sz="0" w:space="0" w:color="auto"/>
        <w:left w:val="none" w:sz="0" w:space="0" w:color="auto"/>
        <w:bottom w:val="none" w:sz="0" w:space="0" w:color="auto"/>
        <w:right w:val="none" w:sz="0" w:space="0" w:color="auto"/>
      </w:divBdr>
      <w:divsChild>
        <w:div w:id="982587027">
          <w:marLeft w:val="0"/>
          <w:marRight w:val="0"/>
          <w:marTop w:val="0"/>
          <w:marBottom w:val="0"/>
          <w:divBdr>
            <w:top w:val="none" w:sz="0" w:space="0" w:color="auto"/>
            <w:left w:val="none" w:sz="0" w:space="0" w:color="auto"/>
            <w:bottom w:val="none" w:sz="0" w:space="0" w:color="auto"/>
            <w:right w:val="none" w:sz="0" w:space="0" w:color="auto"/>
          </w:divBdr>
        </w:div>
        <w:div w:id="259725841">
          <w:marLeft w:val="0"/>
          <w:marRight w:val="0"/>
          <w:marTop w:val="0"/>
          <w:marBottom w:val="0"/>
          <w:divBdr>
            <w:top w:val="none" w:sz="0" w:space="0" w:color="auto"/>
            <w:left w:val="none" w:sz="0" w:space="0" w:color="auto"/>
            <w:bottom w:val="none" w:sz="0" w:space="0" w:color="auto"/>
            <w:right w:val="none" w:sz="0" w:space="0" w:color="auto"/>
          </w:divBdr>
        </w:div>
      </w:divsChild>
    </w:div>
    <w:div w:id="179782957">
      <w:bodyDiv w:val="1"/>
      <w:marLeft w:val="0"/>
      <w:marRight w:val="0"/>
      <w:marTop w:val="0"/>
      <w:marBottom w:val="0"/>
      <w:divBdr>
        <w:top w:val="none" w:sz="0" w:space="0" w:color="auto"/>
        <w:left w:val="none" w:sz="0" w:space="0" w:color="auto"/>
        <w:bottom w:val="none" w:sz="0" w:space="0" w:color="auto"/>
        <w:right w:val="none" w:sz="0" w:space="0" w:color="auto"/>
      </w:divBdr>
      <w:divsChild>
        <w:div w:id="1123579662">
          <w:marLeft w:val="0"/>
          <w:marRight w:val="0"/>
          <w:marTop w:val="0"/>
          <w:marBottom w:val="0"/>
          <w:divBdr>
            <w:top w:val="none" w:sz="0" w:space="0" w:color="auto"/>
            <w:left w:val="none" w:sz="0" w:space="0" w:color="auto"/>
            <w:bottom w:val="none" w:sz="0" w:space="0" w:color="auto"/>
            <w:right w:val="none" w:sz="0" w:space="0" w:color="auto"/>
          </w:divBdr>
        </w:div>
        <w:div w:id="177081506">
          <w:marLeft w:val="0"/>
          <w:marRight w:val="0"/>
          <w:marTop w:val="0"/>
          <w:marBottom w:val="0"/>
          <w:divBdr>
            <w:top w:val="none" w:sz="0" w:space="0" w:color="auto"/>
            <w:left w:val="none" w:sz="0" w:space="0" w:color="auto"/>
            <w:bottom w:val="none" w:sz="0" w:space="0" w:color="auto"/>
            <w:right w:val="none" w:sz="0" w:space="0" w:color="auto"/>
          </w:divBdr>
        </w:div>
        <w:div w:id="470709301">
          <w:marLeft w:val="0"/>
          <w:marRight w:val="0"/>
          <w:marTop w:val="0"/>
          <w:marBottom w:val="0"/>
          <w:divBdr>
            <w:top w:val="none" w:sz="0" w:space="0" w:color="auto"/>
            <w:left w:val="none" w:sz="0" w:space="0" w:color="auto"/>
            <w:bottom w:val="none" w:sz="0" w:space="0" w:color="auto"/>
            <w:right w:val="none" w:sz="0" w:space="0" w:color="auto"/>
          </w:divBdr>
        </w:div>
        <w:div w:id="1186402311">
          <w:marLeft w:val="0"/>
          <w:marRight w:val="0"/>
          <w:marTop w:val="0"/>
          <w:marBottom w:val="0"/>
          <w:divBdr>
            <w:top w:val="none" w:sz="0" w:space="0" w:color="auto"/>
            <w:left w:val="none" w:sz="0" w:space="0" w:color="auto"/>
            <w:bottom w:val="none" w:sz="0" w:space="0" w:color="auto"/>
            <w:right w:val="none" w:sz="0" w:space="0" w:color="auto"/>
          </w:divBdr>
        </w:div>
        <w:div w:id="1530608023">
          <w:marLeft w:val="0"/>
          <w:marRight w:val="0"/>
          <w:marTop w:val="0"/>
          <w:marBottom w:val="0"/>
          <w:divBdr>
            <w:top w:val="none" w:sz="0" w:space="0" w:color="auto"/>
            <w:left w:val="none" w:sz="0" w:space="0" w:color="auto"/>
            <w:bottom w:val="none" w:sz="0" w:space="0" w:color="auto"/>
            <w:right w:val="none" w:sz="0" w:space="0" w:color="auto"/>
          </w:divBdr>
        </w:div>
        <w:div w:id="2000769353">
          <w:marLeft w:val="0"/>
          <w:marRight w:val="0"/>
          <w:marTop w:val="0"/>
          <w:marBottom w:val="0"/>
          <w:divBdr>
            <w:top w:val="none" w:sz="0" w:space="0" w:color="auto"/>
            <w:left w:val="none" w:sz="0" w:space="0" w:color="auto"/>
            <w:bottom w:val="none" w:sz="0" w:space="0" w:color="auto"/>
            <w:right w:val="none" w:sz="0" w:space="0" w:color="auto"/>
          </w:divBdr>
        </w:div>
      </w:divsChild>
    </w:div>
    <w:div w:id="199559744">
      <w:bodyDiv w:val="1"/>
      <w:marLeft w:val="0"/>
      <w:marRight w:val="0"/>
      <w:marTop w:val="0"/>
      <w:marBottom w:val="0"/>
      <w:divBdr>
        <w:top w:val="none" w:sz="0" w:space="0" w:color="auto"/>
        <w:left w:val="none" w:sz="0" w:space="0" w:color="auto"/>
        <w:bottom w:val="none" w:sz="0" w:space="0" w:color="auto"/>
        <w:right w:val="none" w:sz="0" w:space="0" w:color="auto"/>
      </w:divBdr>
      <w:divsChild>
        <w:div w:id="69664918">
          <w:marLeft w:val="0"/>
          <w:marRight w:val="0"/>
          <w:marTop w:val="0"/>
          <w:marBottom w:val="0"/>
          <w:divBdr>
            <w:top w:val="none" w:sz="0" w:space="0" w:color="auto"/>
            <w:left w:val="none" w:sz="0" w:space="0" w:color="auto"/>
            <w:bottom w:val="none" w:sz="0" w:space="0" w:color="auto"/>
            <w:right w:val="none" w:sz="0" w:space="0" w:color="auto"/>
          </w:divBdr>
        </w:div>
      </w:divsChild>
    </w:div>
    <w:div w:id="243689907">
      <w:bodyDiv w:val="1"/>
      <w:marLeft w:val="0"/>
      <w:marRight w:val="0"/>
      <w:marTop w:val="0"/>
      <w:marBottom w:val="0"/>
      <w:divBdr>
        <w:top w:val="none" w:sz="0" w:space="0" w:color="auto"/>
        <w:left w:val="none" w:sz="0" w:space="0" w:color="auto"/>
        <w:bottom w:val="none" w:sz="0" w:space="0" w:color="auto"/>
        <w:right w:val="none" w:sz="0" w:space="0" w:color="auto"/>
      </w:divBdr>
      <w:divsChild>
        <w:div w:id="1242326644">
          <w:marLeft w:val="0"/>
          <w:marRight w:val="0"/>
          <w:marTop w:val="0"/>
          <w:marBottom w:val="0"/>
          <w:divBdr>
            <w:top w:val="none" w:sz="0" w:space="0" w:color="auto"/>
            <w:left w:val="none" w:sz="0" w:space="0" w:color="auto"/>
            <w:bottom w:val="none" w:sz="0" w:space="0" w:color="auto"/>
            <w:right w:val="none" w:sz="0" w:space="0" w:color="auto"/>
          </w:divBdr>
        </w:div>
      </w:divsChild>
    </w:div>
    <w:div w:id="250965892">
      <w:bodyDiv w:val="1"/>
      <w:marLeft w:val="0"/>
      <w:marRight w:val="0"/>
      <w:marTop w:val="0"/>
      <w:marBottom w:val="0"/>
      <w:divBdr>
        <w:top w:val="none" w:sz="0" w:space="0" w:color="auto"/>
        <w:left w:val="none" w:sz="0" w:space="0" w:color="auto"/>
        <w:bottom w:val="none" w:sz="0" w:space="0" w:color="auto"/>
        <w:right w:val="none" w:sz="0" w:space="0" w:color="auto"/>
      </w:divBdr>
      <w:divsChild>
        <w:div w:id="1166869155">
          <w:marLeft w:val="0"/>
          <w:marRight w:val="0"/>
          <w:marTop w:val="0"/>
          <w:marBottom w:val="0"/>
          <w:divBdr>
            <w:top w:val="none" w:sz="0" w:space="0" w:color="auto"/>
            <w:left w:val="none" w:sz="0" w:space="0" w:color="auto"/>
            <w:bottom w:val="none" w:sz="0" w:space="0" w:color="auto"/>
            <w:right w:val="none" w:sz="0" w:space="0" w:color="auto"/>
          </w:divBdr>
        </w:div>
        <w:div w:id="671369679">
          <w:marLeft w:val="0"/>
          <w:marRight w:val="0"/>
          <w:marTop w:val="0"/>
          <w:marBottom w:val="0"/>
          <w:divBdr>
            <w:top w:val="none" w:sz="0" w:space="0" w:color="auto"/>
            <w:left w:val="none" w:sz="0" w:space="0" w:color="auto"/>
            <w:bottom w:val="none" w:sz="0" w:space="0" w:color="auto"/>
            <w:right w:val="none" w:sz="0" w:space="0" w:color="auto"/>
          </w:divBdr>
        </w:div>
        <w:div w:id="755440869">
          <w:marLeft w:val="0"/>
          <w:marRight w:val="0"/>
          <w:marTop w:val="0"/>
          <w:marBottom w:val="0"/>
          <w:divBdr>
            <w:top w:val="none" w:sz="0" w:space="0" w:color="auto"/>
            <w:left w:val="none" w:sz="0" w:space="0" w:color="auto"/>
            <w:bottom w:val="none" w:sz="0" w:space="0" w:color="auto"/>
            <w:right w:val="none" w:sz="0" w:space="0" w:color="auto"/>
          </w:divBdr>
        </w:div>
      </w:divsChild>
    </w:div>
    <w:div w:id="324093144">
      <w:bodyDiv w:val="1"/>
      <w:marLeft w:val="0"/>
      <w:marRight w:val="0"/>
      <w:marTop w:val="0"/>
      <w:marBottom w:val="0"/>
      <w:divBdr>
        <w:top w:val="none" w:sz="0" w:space="0" w:color="auto"/>
        <w:left w:val="none" w:sz="0" w:space="0" w:color="auto"/>
        <w:bottom w:val="none" w:sz="0" w:space="0" w:color="auto"/>
        <w:right w:val="none" w:sz="0" w:space="0" w:color="auto"/>
      </w:divBdr>
      <w:divsChild>
        <w:div w:id="499127351">
          <w:marLeft w:val="0"/>
          <w:marRight w:val="0"/>
          <w:marTop w:val="0"/>
          <w:marBottom w:val="0"/>
          <w:divBdr>
            <w:top w:val="none" w:sz="0" w:space="0" w:color="auto"/>
            <w:left w:val="none" w:sz="0" w:space="0" w:color="auto"/>
            <w:bottom w:val="none" w:sz="0" w:space="0" w:color="auto"/>
            <w:right w:val="none" w:sz="0" w:space="0" w:color="auto"/>
          </w:divBdr>
        </w:div>
      </w:divsChild>
    </w:div>
    <w:div w:id="373623724">
      <w:bodyDiv w:val="1"/>
      <w:marLeft w:val="0"/>
      <w:marRight w:val="0"/>
      <w:marTop w:val="0"/>
      <w:marBottom w:val="0"/>
      <w:divBdr>
        <w:top w:val="none" w:sz="0" w:space="0" w:color="auto"/>
        <w:left w:val="none" w:sz="0" w:space="0" w:color="auto"/>
        <w:bottom w:val="none" w:sz="0" w:space="0" w:color="auto"/>
        <w:right w:val="none" w:sz="0" w:space="0" w:color="auto"/>
      </w:divBdr>
      <w:divsChild>
        <w:div w:id="542789727">
          <w:marLeft w:val="0"/>
          <w:marRight w:val="0"/>
          <w:marTop w:val="0"/>
          <w:marBottom w:val="0"/>
          <w:divBdr>
            <w:top w:val="none" w:sz="0" w:space="0" w:color="auto"/>
            <w:left w:val="none" w:sz="0" w:space="0" w:color="auto"/>
            <w:bottom w:val="none" w:sz="0" w:space="0" w:color="auto"/>
            <w:right w:val="none" w:sz="0" w:space="0" w:color="auto"/>
          </w:divBdr>
        </w:div>
        <w:div w:id="1654945054">
          <w:marLeft w:val="0"/>
          <w:marRight w:val="0"/>
          <w:marTop w:val="0"/>
          <w:marBottom w:val="0"/>
          <w:divBdr>
            <w:top w:val="none" w:sz="0" w:space="0" w:color="auto"/>
            <w:left w:val="none" w:sz="0" w:space="0" w:color="auto"/>
            <w:bottom w:val="none" w:sz="0" w:space="0" w:color="auto"/>
            <w:right w:val="none" w:sz="0" w:space="0" w:color="auto"/>
          </w:divBdr>
        </w:div>
        <w:div w:id="445932006">
          <w:marLeft w:val="0"/>
          <w:marRight w:val="0"/>
          <w:marTop w:val="0"/>
          <w:marBottom w:val="0"/>
          <w:divBdr>
            <w:top w:val="none" w:sz="0" w:space="0" w:color="auto"/>
            <w:left w:val="none" w:sz="0" w:space="0" w:color="auto"/>
            <w:bottom w:val="none" w:sz="0" w:space="0" w:color="auto"/>
            <w:right w:val="none" w:sz="0" w:space="0" w:color="auto"/>
          </w:divBdr>
        </w:div>
        <w:div w:id="1463617464">
          <w:marLeft w:val="0"/>
          <w:marRight w:val="0"/>
          <w:marTop w:val="0"/>
          <w:marBottom w:val="0"/>
          <w:divBdr>
            <w:top w:val="none" w:sz="0" w:space="0" w:color="auto"/>
            <w:left w:val="none" w:sz="0" w:space="0" w:color="auto"/>
            <w:bottom w:val="none" w:sz="0" w:space="0" w:color="auto"/>
            <w:right w:val="none" w:sz="0" w:space="0" w:color="auto"/>
          </w:divBdr>
        </w:div>
        <w:div w:id="372537887">
          <w:marLeft w:val="0"/>
          <w:marRight w:val="0"/>
          <w:marTop w:val="0"/>
          <w:marBottom w:val="0"/>
          <w:divBdr>
            <w:top w:val="none" w:sz="0" w:space="0" w:color="auto"/>
            <w:left w:val="none" w:sz="0" w:space="0" w:color="auto"/>
            <w:bottom w:val="none" w:sz="0" w:space="0" w:color="auto"/>
            <w:right w:val="none" w:sz="0" w:space="0" w:color="auto"/>
          </w:divBdr>
        </w:div>
        <w:div w:id="342242378">
          <w:marLeft w:val="0"/>
          <w:marRight w:val="0"/>
          <w:marTop w:val="0"/>
          <w:marBottom w:val="0"/>
          <w:divBdr>
            <w:top w:val="none" w:sz="0" w:space="0" w:color="auto"/>
            <w:left w:val="none" w:sz="0" w:space="0" w:color="auto"/>
            <w:bottom w:val="none" w:sz="0" w:space="0" w:color="auto"/>
            <w:right w:val="none" w:sz="0" w:space="0" w:color="auto"/>
          </w:divBdr>
        </w:div>
      </w:divsChild>
    </w:div>
    <w:div w:id="392699005">
      <w:bodyDiv w:val="1"/>
      <w:marLeft w:val="0"/>
      <w:marRight w:val="0"/>
      <w:marTop w:val="0"/>
      <w:marBottom w:val="0"/>
      <w:divBdr>
        <w:top w:val="none" w:sz="0" w:space="0" w:color="auto"/>
        <w:left w:val="none" w:sz="0" w:space="0" w:color="auto"/>
        <w:bottom w:val="none" w:sz="0" w:space="0" w:color="auto"/>
        <w:right w:val="none" w:sz="0" w:space="0" w:color="auto"/>
      </w:divBdr>
      <w:divsChild>
        <w:div w:id="90707398">
          <w:marLeft w:val="0"/>
          <w:marRight w:val="0"/>
          <w:marTop w:val="0"/>
          <w:marBottom w:val="0"/>
          <w:divBdr>
            <w:top w:val="none" w:sz="0" w:space="0" w:color="auto"/>
            <w:left w:val="none" w:sz="0" w:space="0" w:color="auto"/>
            <w:bottom w:val="none" w:sz="0" w:space="0" w:color="auto"/>
            <w:right w:val="none" w:sz="0" w:space="0" w:color="auto"/>
          </w:divBdr>
        </w:div>
        <w:div w:id="1669792039">
          <w:marLeft w:val="0"/>
          <w:marRight w:val="0"/>
          <w:marTop w:val="0"/>
          <w:marBottom w:val="0"/>
          <w:divBdr>
            <w:top w:val="none" w:sz="0" w:space="0" w:color="auto"/>
            <w:left w:val="none" w:sz="0" w:space="0" w:color="auto"/>
            <w:bottom w:val="none" w:sz="0" w:space="0" w:color="auto"/>
            <w:right w:val="none" w:sz="0" w:space="0" w:color="auto"/>
          </w:divBdr>
        </w:div>
        <w:div w:id="882715912">
          <w:marLeft w:val="0"/>
          <w:marRight w:val="0"/>
          <w:marTop w:val="0"/>
          <w:marBottom w:val="0"/>
          <w:divBdr>
            <w:top w:val="none" w:sz="0" w:space="0" w:color="auto"/>
            <w:left w:val="none" w:sz="0" w:space="0" w:color="auto"/>
            <w:bottom w:val="none" w:sz="0" w:space="0" w:color="auto"/>
            <w:right w:val="none" w:sz="0" w:space="0" w:color="auto"/>
          </w:divBdr>
        </w:div>
      </w:divsChild>
    </w:div>
    <w:div w:id="425804579">
      <w:bodyDiv w:val="1"/>
      <w:marLeft w:val="0"/>
      <w:marRight w:val="0"/>
      <w:marTop w:val="0"/>
      <w:marBottom w:val="0"/>
      <w:divBdr>
        <w:top w:val="none" w:sz="0" w:space="0" w:color="auto"/>
        <w:left w:val="none" w:sz="0" w:space="0" w:color="auto"/>
        <w:bottom w:val="none" w:sz="0" w:space="0" w:color="auto"/>
        <w:right w:val="none" w:sz="0" w:space="0" w:color="auto"/>
      </w:divBdr>
      <w:divsChild>
        <w:div w:id="109780912">
          <w:marLeft w:val="0"/>
          <w:marRight w:val="0"/>
          <w:marTop w:val="0"/>
          <w:marBottom w:val="0"/>
          <w:divBdr>
            <w:top w:val="none" w:sz="0" w:space="0" w:color="auto"/>
            <w:left w:val="none" w:sz="0" w:space="0" w:color="auto"/>
            <w:bottom w:val="none" w:sz="0" w:space="0" w:color="auto"/>
            <w:right w:val="none" w:sz="0" w:space="0" w:color="auto"/>
          </w:divBdr>
        </w:div>
        <w:div w:id="1172523497">
          <w:marLeft w:val="0"/>
          <w:marRight w:val="0"/>
          <w:marTop w:val="0"/>
          <w:marBottom w:val="0"/>
          <w:divBdr>
            <w:top w:val="none" w:sz="0" w:space="0" w:color="auto"/>
            <w:left w:val="none" w:sz="0" w:space="0" w:color="auto"/>
            <w:bottom w:val="none" w:sz="0" w:space="0" w:color="auto"/>
            <w:right w:val="none" w:sz="0" w:space="0" w:color="auto"/>
          </w:divBdr>
        </w:div>
      </w:divsChild>
    </w:div>
    <w:div w:id="464397503">
      <w:bodyDiv w:val="1"/>
      <w:marLeft w:val="0"/>
      <w:marRight w:val="0"/>
      <w:marTop w:val="0"/>
      <w:marBottom w:val="0"/>
      <w:divBdr>
        <w:top w:val="none" w:sz="0" w:space="0" w:color="auto"/>
        <w:left w:val="none" w:sz="0" w:space="0" w:color="auto"/>
        <w:bottom w:val="none" w:sz="0" w:space="0" w:color="auto"/>
        <w:right w:val="none" w:sz="0" w:space="0" w:color="auto"/>
      </w:divBdr>
      <w:divsChild>
        <w:div w:id="1777872922">
          <w:marLeft w:val="0"/>
          <w:marRight w:val="0"/>
          <w:marTop w:val="0"/>
          <w:marBottom w:val="0"/>
          <w:divBdr>
            <w:top w:val="none" w:sz="0" w:space="0" w:color="auto"/>
            <w:left w:val="none" w:sz="0" w:space="0" w:color="auto"/>
            <w:bottom w:val="none" w:sz="0" w:space="0" w:color="auto"/>
            <w:right w:val="none" w:sz="0" w:space="0" w:color="auto"/>
          </w:divBdr>
        </w:div>
        <w:div w:id="1761834313">
          <w:marLeft w:val="0"/>
          <w:marRight w:val="0"/>
          <w:marTop w:val="0"/>
          <w:marBottom w:val="0"/>
          <w:divBdr>
            <w:top w:val="none" w:sz="0" w:space="0" w:color="auto"/>
            <w:left w:val="none" w:sz="0" w:space="0" w:color="auto"/>
            <w:bottom w:val="none" w:sz="0" w:space="0" w:color="auto"/>
            <w:right w:val="none" w:sz="0" w:space="0" w:color="auto"/>
          </w:divBdr>
        </w:div>
      </w:divsChild>
    </w:div>
    <w:div w:id="535508478">
      <w:bodyDiv w:val="1"/>
      <w:marLeft w:val="0"/>
      <w:marRight w:val="0"/>
      <w:marTop w:val="0"/>
      <w:marBottom w:val="0"/>
      <w:divBdr>
        <w:top w:val="none" w:sz="0" w:space="0" w:color="auto"/>
        <w:left w:val="none" w:sz="0" w:space="0" w:color="auto"/>
        <w:bottom w:val="none" w:sz="0" w:space="0" w:color="auto"/>
        <w:right w:val="none" w:sz="0" w:space="0" w:color="auto"/>
      </w:divBdr>
      <w:divsChild>
        <w:div w:id="1211722057">
          <w:marLeft w:val="0"/>
          <w:marRight w:val="0"/>
          <w:marTop w:val="0"/>
          <w:marBottom w:val="0"/>
          <w:divBdr>
            <w:top w:val="none" w:sz="0" w:space="0" w:color="auto"/>
            <w:left w:val="none" w:sz="0" w:space="0" w:color="auto"/>
            <w:bottom w:val="none" w:sz="0" w:space="0" w:color="auto"/>
            <w:right w:val="none" w:sz="0" w:space="0" w:color="auto"/>
          </w:divBdr>
        </w:div>
        <w:div w:id="1271278382">
          <w:marLeft w:val="0"/>
          <w:marRight w:val="0"/>
          <w:marTop w:val="0"/>
          <w:marBottom w:val="0"/>
          <w:divBdr>
            <w:top w:val="none" w:sz="0" w:space="0" w:color="auto"/>
            <w:left w:val="none" w:sz="0" w:space="0" w:color="auto"/>
            <w:bottom w:val="none" w:sz="0" w:space="0" w:color="auto"/>
            <w:right w:val="none" w:sz="0" w:space="0" w:color="auto"/>
          </w:divBdr>
        </w:div>
        <w:div w:id="344206731">
          <w:marLeft w:val="0"/>
          <w:marRight w:val="0"/>
          <w:marTop w:val="0"/>
          <w:marBottom w:val="0"/>
          <w:divBdr>
            <w:top w:val="none" w:sz="0" w:space="0" w:color="auto"/>
            <w:left w:val="none" w:sz="0" w:space="0" w:color="auto"/>
            <w:bottom w:val="none" w:sz="0" w:space="0" w:color="auto"/>
            <w:right w:val="none" w:sz="0" w:space="0" w:color="auto"/>
          </w:divBdr>
        </w:div>
        <w:div w:id="1203859991">
          <w:marLeft w:val="0"/>
          <w:marRight w:val="0"/>
          <w:marTop w:val="0"/>
          <w:marBottom w:val="0"/>
          <w:divBdr>
            <w:top w:val="none" w:sz="0" w:space="0" w:color="auto"/>
            <w:left w:val="none" w:sz="0" w:space="0" w:color="auto"/>
            <w:bottom w:val="none" w:sz="0" w:space="0" w:color="auto"/>
            <w:right w:val="none" w:sz="0" w:space="0" w:color="auto"/>
          </w:divBdr>
        </w:div>
        <w:div w:id="292450162">
          <w:marLeft w:val="0"/>
          <w:marRight w:val="0"/>
          <w:marTop w:val="0"/>
          <w:marBottom w:val="0"/>
          <w:divBdr>
            <w:top w:val="none" w:sz="0" w:space="0" w:color="auto"/>
            <w:left w:val="none" w:sz="0" w:space="0" w:color="auto"/>
            <w:bottom w:val="none" w:sz="0" w:space="0" w:color="auto"/>
            <w:right w:val="none" w:sz="0" w:space="0" w:color="auto"/>
          </w:divBdr>
        </w:div>
        <w:div w:id="27875572">
          <w:marLeft w:val="0"/>
          <w:marRight w:val="0"/>
          <w:marTop w:val="0"/>
          <w:marBottom w:val="0"/>
          <w:divBdr>
            <w:top w:val="none" w:sz="0" w:space="0" w:color="auto"/>
            <w:left w:val="none" w:sz="0" w:space="0" w:color="auto"/>
            <w:bottom w:val="none" w:sz="0" w:space="0" w:color="auto"/>
            <w:right w:val="none" w:sz="0" w:space="0" w:color="auto"/>
          </w:divBdr>
        </w:div>
        <w:div w:id="624890388">
          <w:marLeft w:val="0"/>
          <w:marRight w:val="0"/>
          <w:marTop w:val="0"/>
          <w:marBottom w:val="0"/>
          <w:divBdr>
            <w:top w:val="none" w:sz="0" w:space="0" w:color="auto"/>
            <w:left w:val="none" w:sz="0" w:space="0" w:color="auto"/>
            <w:bottom w:val="none" w:sz="0" w:space="0" w:color="auto"/>
            <w:right w:val="none" w:sz="0" w:space="0" w:color="auto"/>
          </w:divBdr>
        </w:div>
      </w:divsChild>
    </w:div>
    <w:div w:id="608466212">
      <w:bodyDiv w:val="1"/>
      <w:marLeft w:val="0"/>
      <w:marRight w:val="0"/>
      <w:marTop w:val="0"/>
      <w:marBottom w:val="0"/>
      <w:divBdr>
        <w:top w:val="none" w:sz="0" w:space="0" w:color="auto"/>
        <w:left w:val="none" w:sz="0" w:space="0" w:color="auto"/>
        <w:bottom w:val="none" w:sz="0" w:space="0" w:color="auto"/>
        <w:right w:val="none" w:sz="0" w:space="0" w:color="auto"/>
      </w:divBdr>
      <w:divsChild>
        <w:div w:id="1425028224">
          <w:marLeft w:val="0"/>
          <w:marRight w:val="0"/>
          <w:marTop w:val="0"/>
          <w:marBottom w:val="0"/>
          <w:divBdr>
            <w:top w:val="none" w:sz="0" w:space="0" w:color="auto"/>
            <w:left w:val="none" w:sz="0" w:space="0" w:color="auto"/>
            <w:bottom w:val="none" w:sz="0" w:space="0" w:color="auto"/>
            <w:right w:val="none" w:sz="0" w:space="0" w:color="auto"/>
          </w:divBdr>
        </w:div>
      </w:divsChild>
    </w:div>
    <w:div w:id="656687406">
      <w:bodyDiv w:val="1"/>
      <w:marLeft w:val="0"/>
      <w:marRight w:val="0"/>
      <w:marTop w:val="0"/>
      <w:marBottom w:val="0"/>
      <w:divBdr>
        <w:top w:val="none" w:sz="0" w:space="0" w:color="auto"/>
        <w:left w:val="none" w:sz="0" w:space="0" w:color="auto"/>
        <w:bottom w:val="none" w:sz="0" w:space="0" w:color="auto"/>
        <w:right w:val="none" w:sz="0" w:space="0" w:color="auto"/>
      </w:divBdr>
      <w:divsChild>
        <w:div w:id="61560935">
          <w:marLeft w:val="0"/>
          <w:marRight w:val="0"/>
          <w:marTop w:val="0"/>
          <w:marBottom w:val="0"/>
          <w:divBdr>
            <w:top w:val="none" w:sz="0" w:space="0" w:color="auto"/>
            <w:left w:val="none" w:sz="0" w:space="0" w:color="auto"/>
            <w:bottom w:val="none" w:sz="0" w:space="0" w:color="auto"/>
            <w:right w:val="none" w:sz="0" w:space="0" w:color="auto"/>
          </w:divBdr>
        </w:div>
        <w:div w:id="99420582">
          <w:marLeft w:val="0"/>
          <w:marRight w:val="0"/>
          <w:marTop w:val="0"/>
          <w:marBottom w:val="0"/>
          <w:divBdr>
            <w:top w:val="none" w:sz="0" w:space="0" w:color="auto"/>
            <w:left w:val="none" w:sz="0" w:space="0" w:color="auto"/>
            <w:bottom w:val="none" w:sz="0" w:space="0" w:color="auto"/>
            <w:right w:val="none" w:sz="0" w:space="0" w:color="auto"/>
          </w:divBdr>
        </w:div>
      </w:divsChild>
    </w:div>
    <w:div w:id="821971164">
      <w:bodyDiv w:val="1"/>
      <w:marLeft w:val="0"/>
      <w:marRight w:val="0"/>
      <w:marTop w:val="0"/>
      <w:marBottom w:val="0"/>
      <w:divBdr>
        <w:top w:val="none" w:sz="0" w:space="0" w:color="auto"/>
        <w:left w:val="none" w:sz="0" w:space="0" w:color="auto"/>
        <w:bottom w:val="none" w:sz="0" w:space="0" w:color="auto"/>
        <w:right w:val="none" w:sz="0" w:space="0" w:color="auto"/>
      </w:divBdr>
      <w:divsChild>
        <w:div w:id="2038192744">
          <w:marLeft w:val="0"/>
          <w:marRight w:val="0"/>
          <w:marTop w:val="0"/>
          <w:marBottom w:val="0"/>
          <w:divBdr>
            <w:top w:val="none" w:sz="0" w:space="0" w:color="auto"/>
            <w:left w:val="none" w:sz="0" w:space="0" w:color="auto"/>
            <w:bottom w:val="none" w:sz="0" w:space="0" w:color="auto"/>
            <w:right w:val="none" w:sz="0" w:space="0" w:color="auto"/>
          </w:divBdr>
        </w:div>
        <w:div w:id="1701736896">
          <w:marLeft w:val="0"/>
          <w:marRight w:val="0"/>
          <w:marTop w:val="0"/>
          <w:marBottom w:val="0"/>
          <w:divBdr>
            <w:top w:val="none" w:sz="0" w:space="0" w:color="auto"/>
            <w:left w:val="none" w:sz="0" w:space="0" w:color="auto"/>
            <w:bottom w:val="none" w:sz="0" w:space="0" w:color="auto"/>
            <w:right w:val="none" w:sz="0" w:space="0" w:color="auto"/>
          </w:divBdr>
        </w:div>
        <w:div w:id="143934690">
          <w:marLeft w:val="0"/>
          <w:marRight w:val="0"/>
          <w:marTop w:val="0"/>
          <w:marBottom w:val="0"/>
          <w:divBdr>
            <w:top w:val="none" w:sz="0" w:space="0" w:color="auto"/>
            <w:left w:val="none" w:sz="0" w:space="0" w:color="auto"/>
            <w:bottom w:val="none" w:sz="0" w:space="0" w:color="auto"/>
            <w:right w:val="none" w:sz="0" w:space="0" w:color="auto"/>
          </w:divBdr>
        </w:div>
        <w:div w:id="1087269733">
          <w:marLeft w:val="0"/>
          <w:marRight w:val="0"/>
          <w:marTop w:val="0"/>
          <w:marBottom w:val="0"/>
          <w:divBdr>
            <w:top w:val="none" w:sz="0" w:space="0" w:color="auto"/>
            <w:left w:val="none" w:sz="0" w:space="0" w:color="auto"/>
            <w:bottom w:val="none" w:sz="0" w:space="0" w:color="auto"/>
            <w:right w:val="none" w:sz="0" w:space="0" w:color="auto"/>
          </w:divBdr>
        </w:div>
      </w:divsChild>
    </w:div>
    <w:div w:id="844707772">
      <w:bodyDiv w:val="1"/>
      <w:marLeft w:val="0"/>
      <w:marRight w:val="0"/>
      <w:marTop w:val="0"/>
      <w:marBottom w:val="0"/>
      <w:divBdr>
        <w:top w:val="none" w:sz="0" w:space="0" w:color="auto"/>
        <w:left w:val="none" w:sz="0" w:space="0" w:color="auto"/>
        <w:bottom w:val="none" w:sz="0" w:space="0" w:color="auto"/>
        <w:right w:val="none" w:sz="0" w:space="0" w:color="auto"/>
      </w:divBdr>
      <w:divsChild>
        <w:div w:id="1721514449">
          <w:marLeft w:val="0"/>
          <w:marRight w:val="0"/>
          <w:marTop w:val="0"/>
          <w:marBottom w:val="0"/>
          <w:divBdr>
            <w:top w:val="none" w:sz="0" w:space="0" w:color="auto"/>
            <w:left w:val="none" w:sz="0" w:space="0" w:color="auto"/>
            <w:bottom w:val="none" w:sz="0" w:space="0" w:color="auto"/>
            <w:right w:val="none" w:sz="0" w:space="0" w:color="auto"/>
          </w:divBdr>
        </w:div>
        <w:div w:id="555898037">
          <w:marLeft w:val="0"/>
          <w:marRight w:val="0"/>
          <w:marTop w:val="0"/>
          <w:marBottom w:val="0"/>
          <w:divBdr>
            <w:top w:val="none" w:sz="0" w:space="0" w:color="auto"/>
            <w:left w:val="none" w:sz="0" w:space="0" w:color="auto"/>
            <w:bottom w:val="none" w:sz="0" w:space="0" w:color="auto"/>
            <w:right w:val="none" w:sz="0" w:space="0" w:color="auto"/>
          </w:divBdr>
        </w:div>
        <w:div w:id="1162701951">
          <w:marLeft w:val="0"/>
          <w:marRight w:val="0"/>
          <w:marTop w:val="0"/>
          <w:marBottom w:val="0"/>
          <w:divBdr>
            <w:top w:val="none" w:sz="0" w:space="0" w:color="auto"/>
            <w:left w:val="none" w:sz="0" w:space="0" w:color="auto"/>
            <w:bottom w:val="none" w:sz="0" w:space="0" w:color="auto"/>
            <w:right w:val="none" w:sz="0" w:space="0" w:color="auto"/>
          </w:divBdr>
        </w:div>
        <w:div w:id="1569220923">
          <w:marLeft w:val="0"/>
          <w:marRight w:val="0"/>
          <w:marTop w:val="0"/>
          <w:marBottom w:val="0"/>
          <w:divBdr>
            <w:top w:val="none" w:sz="0" w:space="0" w:color="auto"/>
            <w:left w:val="none" w:sz="0" w:space="0" w:color="auto"/>
            <w:bottom w:val="none" w:sz="0" w:space="0" w:color="auto"/>
            <w:right w:val="none" w:sz="0" w:space="0" w:color="auto"/>
          </w:divBdr>
        </w:div>
      </w:divsChild>
    </w:div>
    <w:div w:id="932124325">
      <w:bodyDiv w:val="1"/>
      <w:marLeft w:val="0"/>
      <w:marRight w:val="0"/>
      <w:marTop w:val="0"/>
      <w:marBottom w:val="0"/>
      <w:divBdr>
        <w:top w:val="none" w:sz="0" w:space="0" w:color="auto"/>
        <w:left w:val="none" w:sz="0" w:space="0" w:color="auto"/>
        <w:bottom w:val="none" w:sz="0" w:space="0" w:color="auto"/>
        <w:right w:val="none" w:sz="0" w:space="0" w:color="auto"/>
      </w:divBdr>
      <w:divsChild>
        <w:div w:id="1279218612">
          <w:marLeft w:val="0"/>
          <w:marRight w:val="0"/>
          <w:marTop w:val="0"/>
          <w:marBottom w:val="0"/>
          <w:divBdr>
            <w:top w:val="none" w:sz="0" w:space="0" w:color="auto"/>
            <w:left w:val="none" w:sz="0" w:space="0" w:color="auto"/>
            <w:bottom w:val="none" w:sz="0" w:space="0" w:color="auto"/>
            <w:right w:val="none" w:sz="0" w:space="0" w:color="auto"/>
          </w:divBdr>
        </w:div>
      </w:divsChild>
    </w:div>
    <w:div w:id="951090972">
      <w:bodyDiv w:val="1"/>
      <w:marLeft w:val="0"/>
      <w:marRight w:val="0"/>
      <w:marTop w:val="0"/>
      <w:marBottom w:val="0"/>
      <w:divBdr>
        <w:top w:val="none" w:sz="0" w:space="0" w:color="auto"/>
        <w:left w:val="none" w:sz="0" w:space="0" w:color="auto"/>
        <w:bottom w:val="none" w:sz="0" w:space="0" w:color="auto"/>
        <w:right w:val="none" w:sz="0" w:space="0" w:color="auto"/>
      </w:divBdr>
      <w:divsChild>
        <w:div w:id="42757488">
          <w:marLeft w:val="0"/>
          <w:marRight w:val="0"/>
          <w:marTop w:val="0"/>
          <w:marBottom w:val="0"/>
          <w:divBdr>
            <w:top w:val="none" w:sz="0" w:space="0" w:color="auto"/>
            <w:left w:val="none" w:sz="0" w:space="0" w:color="auto"/>
            <w:bottom w:val="none" w:sz="0" w:space="0" w:color="auto"/>
            <w:right w:val="none" w:sz="0" w:space="0" w:color="auto"/>
          </w:divBdr>
        </w:div>
        <w:div w:id="303313383">
          <w:marLeft w:val="0"/>
          <w:marRight w:val="0"/>
          <w:marTop w:val="0"/>
          <w:marBottom w:val="0"/>
          <w:divBdr>
            <w:top w:val="none" w:sz="0" w:space="0" w:color="auto"/>
            <w:left w:val="none" w:sz="0" w:space="0" w:color="auto"/>
            <w:bottom w:val="none" w:sz="0" w:space="0" w:color="auto"/>
            <w:right w:val="none" w:sz="0" w:space="0" w:color="auto"/>
          </w:divBdr>
        </w:div>
        <w:div w:id="167327506">
          <w:marLeft w:val="0"/>
          <w:marRight w:val="0"/>
          <w:marTop w:val="0"/>
          <w:marBottom w:val="0"/>
          <w:divBdr>
            <w:top w:val="none" w:sz="0" w:space="0" w:color="auto"/>
            <w:left w:val="none" w:sz="0" w:space="0" w:color="auto"/>
            <w:bottom w:val="none" w:sz="0" w:space="0" w:color="auto"/>
            <w:right w:val="none" w:sz="0" w:space="0" w:color="auto"/>
          </w:divBdr>
        </w:div>
        <w:div w:id="926578173">
          <w:marLeft w:val="0"/>
          <w:marRight w:val="0"/>
          <w:marTop w:val="0"/>
          <w:marBottom w:val="0"/>
          <w:divBdr>
            <w:top w:val="none" w:sz="0" w:space="0" w:color="auto"/>
            <w:left w:val="none" w:sz="0" w:space="0" w:color="auto"/>
            <w:bottom w:val="none" w:sz="0" w:space="0" w:color="auto"/>
            <w:right w:val="none" w:sz="0" w:space="0" w:color="auto"/>
          </w:divBdr>
        </w:div>
        <w:div w:id="536553800">
          <w:marLeft w:val="0"/>
          <w:marRight w:val="0"/>
          <w:marTop w:val="0"/>
          <w:marBottom w:val="0"/>
          <w:divBdr>
            <w:top w:val="none" w:sz="0" w:space="0" w:color="auto"/>
            <w:left w:val="none" w:sz="0" w:space="0" w:color="auto"/>
            <w:bottom w:val="none" w:sz="0" w:space="0" w:color="auto"/>
            <w:right w:val="none" w:sz="0" w:space="0" w:color="auto"/>
          </w:divBdr>
        </w:div>
        <w:div w:id="962661525">
          <w:marLeft w:val="0"/>
          <w:marRight w:val="0"/>
          <w:marTop w:val="0"/>
          <w:marBottom w:val="0"/>
          <w:divBdr>
            <w:top w:val="none" w:sz="0" w:space="0" w:color="auto"/>
            <w:left w:val="none" w:sz="0" w:space="0" w:color="auto"/>
            <w:bottom w:val="none" w:sz="0" w:space="0" w:color="auto"/>
            <w:right w:val="none" w:sz="0" w:space="0" w:color="auto"/>
          </w:divBdr>
        </w:div>
      </w:divsChild>
    </w:div>
    <w:div w:id="975842084">
      <w:bodyDiv w:val="1"/>
      <w:marLeft w:val="0"/>
      <w:marRight w:val="0"/>
      <w:marTop w:val="0"/>
      <w:marBottom w:val="0"/>
      <w:divBdr>
        <w:top w:val="none" w:sz="0" w:space="0" w:color="auto"/>
        <w:left w:val="none" w:sz="0" w:space="0" w:color="auto"/>
        <w:bottom w:val="none" w:sz="0" w:space="0" w:color="auto"/>
        <w:right w:val="none" w:sz="0" w:space="0" w:color="auto"/>
      </w:divBdr>
      <w:divsChild>
        <w:div w:id="1068108781">
          <w:marLeft w:val="0"/>
          <w:marRight w:val="0"/>
          <w:marTop w:val="0"/>
          <w:marBottom w:val="0"/>
          <w:divBdr>
            <w:top w:val="none" w:sz="0" w:space="0" w:color="auto"/>
            <w:left w:val="none" w:sz="0" w:space="0" w:color="auto"/>
            <w:bottom w:val="none" w:sz="0" w:space="0" w:color="auto"/>
            <w:right w:val="none" w:sz="0" w:space="0" w:color="auto"/>
          </w:divBdr>
        </w:div>
        <w:div w:id="2146971368">
          <w:marLeft w:val="0"/>
          <w:marRight w:val="0"/>
          <w:marTop w:val="0"/>
          <w:marBottom w:val="0"/>
          <w:divBdr>
            <w:top w:val="none" w:sz="0" w:space="0" w:color="auto"/>
            <w:left w:val="none" w:sz="0" w:space="0" w:color="auto"/>
            <w:bottom w:val="none" w:sz="0" w:space="0" w:color="auto"/>
            <w:right w:val="none" w:sz="0" w:space="0" w:color="auto"/>
          </w:divBdr>
        </w:div>
        <w:div w:id="257493471">
          <w:marLeft w:val="0"/>
          <w:marRight w:val="0"/>
          <w:marTop w:val="0"/>
          <w:marBottom w:val="0"/>
          <w:divBdr>
            <w:top w:val="none" w:sz="0" w:space="0" w:color="auto"/>
            <w:left w:val="none" w:sz="0" w:space="0" w:color="auto"/>
            <w:bottom w:val="none" w:sz="0" w:space="0" w:color="auto"/>
            <w:right w:val="none" w:sz="0" w:space="0" w:color="auto"/>
          </w:divBdr>
        </w:div>
        <w:div w:id="712972301">
          <w:marLeft w:val="0"/>
          <w:marRight w:val="0"/>
          <w:marTop w:val="0"/>
          <w:marBottom w:val="0"/>
          <w:divBdr>
            <w:top w:val="none" w:sz="0" w:space="0" w:color="auto"/>
            <w:left w:val="none" w:sz="0" w:space="0" w:color="auto"/>
            <w:bottom w:val="none" w:sz="0" w:space="0" w:color="auto"/>
            <w:right w:val="none" w:sz="0" w:space="0" w:color="auto"/>
          </w:divBdr>
        </w:div>
      </w:divsChild>
    </w:div>
    <w:div w:id="980619103">
      <w:bodyDiv w:val="1"/>
      <w:marLeft w:val="0"/>
      <w:marRight w:val="0"/>
      <w:marTop w:val="0"/>
      <w:marBottom w:val="0"/>
      <w:divBdr>
        <w:top w:val="none" w:sz="0" w:space="0" w:color="auto"/>
        <w:left w:val="none" w:sz="0" w:space="0" w:color="auto"/>
        <w:bottom w:val="none" w:sz="0" w:space="0" w:color="auto"/>
        <w:right w:val="none" w:sz="0" w:space="0" w:color="auto"/>
      </w:divBdr>
      <w:divsChild>
        <w:div w:id="1497182149">
          <w:marLeft w:val="0"/>
          <w:marRight w:val="0"/>
          <w:marTop w:val="0"/>
          <w:marBottom w:val="0"/>
          <w:divBdr>
            <w:top w:val="none" w:sz="0" w:space="0" w:color="auto"/>
            <w:left w:val="none" w:sz="0" w:space="0" w:color="auto"/>
            <w:bottom w:val="none" w:sz="0" w:space="0" w:color="auto"/>
            <w:right w:val="none" w:sz="0" w:space="0" w:color="auto"/>
          </w:divBdr>
        </w:div>
        <w:div w:id="765611395">
          <w:marLeft w:val="0"/>
          <w:marRight w:val="0"/>
          <w:marTop w:val="0"/>
          <w:marBottom w:val="0"/>
          <w:divBdr>
            <w:top w:val="none" w:sz="0" w:space="0" w:color="auto"/>
            <w:left w:val="none" w:sz="0" w:space="0" w:color="auto"/>
            <w:bottom w:val="none" w:sz="0" w:space="0" w:color="auto"/>
            <w:right w:val="none" w:sz="0" w:space="0" w:color="auto"/>
          </w:divBdr>
        </w:div>
      </w:divsChild>
    </w:div>
    <w:div w:id="1050499967">
      <w:bodyDiv w:val="1"/>
      <w:marLeft w:val="0"/>
      <w:marRight w:val="0"/>
      <w:marTop w:val="0"/>
      <w:marBottom w:val="0"/>
      <w:divBdr>
        <w:top w:val="none" w:sz="0" w:space="0" w:color="auto"/>
        <w:left w:val="none" w:sz="0" w:space="0" w:color="auto"/>
        <w:bottom w:val="none" w:sz="0" w:space="0" w:color="auto"/>
        <w:right w:val="none" w:sz="0" w:space="0" w:color="auto"/>
      </w:divBdr>
      <w:divsChild>
        <w:div w:id="1308362708">
          <w:marLeft w:val="0"/>
          <w:marRight w:val="0"/>
          <w:marTop w:val="0"/>
          <w:marBottom w:val="0"/>
          <w:divBdr>
            <w:top w:val="none" w:sz="0" w:space="0" w:color="auto"/>
            <w:left w:val="none" w:sz="0" w:space="0" w:color="auto"/>
            <w:bottom w:val="none" w:sz="0" w:space="0" w:color="auto"/>
            <w:right w:val="none" w:sz="0" w:space="0" w:color="auto"/>
          </w:divBdr>
        </w:div>
        <w:div w:id="1409114655">
          <w:marLeft w:val="0"/>
          <w:marRight w:val="0"/>
          <w:marTop w:val="0"/>
          <w:marBottom w:val="0"/>
          <w:divBdr>
            <w:top w:val="none" w:sz="0" w:space="0" w:color="auto"/>
            <w:left w:val="none" w:sz="0" w:space="0" w:color="auto"/>
            <w:bottom w:val="none" w:sz="0" w:space="0" w:color="auto"/>
            <w:right w:val="none" w:sz="0" w:space="0" w:color="auto"/>
          </w:divBdr>
        </w:div>
        <w:div w:id="1583678839">
          <w:marLeft w:val="0"/>
          <w:marRight w:val="0"/>
          <w:marTop w:val="0"/>
          <w:marBottom w:val="0"/>
          <w:divBdr>
            <w:top w:val="none" w:sz="0" w:space="0" w:color="auto"/>
            <w:left w:val="none" w:sz="0" w:space="0" w:color="auto"/>
            <w:bottom w:val="none" w:sz="0" w:space="0" w:color="auto"/>
            <w:right w:val="none" w:sz="0" w:space="0" w:color="auto"/>
          </w:divBdr>
        </w:div>
      </w:divsChild>
    </w:div>
    <w:div w:id="1124349143">
      <w:bodyDiv w:val="1"/>
      <w:marLeft w:val="0"/>
      <w:marRight w:val="0"/>
      <w:marTop w:val="0"/>
      <w:marBottom w:val="0"/>
      <w:divBdr>
        <w:top w:val="none" w:sz="0" w:space="0" w:color="auto"/>
        <w:left w:val="none" w:sz="0" w:space="0" w:color="auto"/>
        <w:bottom w:val="none" w:sz="0" w:space="0" w:color="auto"/>
        <w:right w:val="none" w:sz="0" w:space="0" w:color="auto"/>
      </w:divBdr>
    </w:div>
    <w:div w:id="1140346896">
      <w:bodyDiv w:val="1"/>
      <w:marLeft w:val="0"/>
      <w:marRight w:val="0"/>
      <w:marTop w:val="0"/>
      <w:marBottom w:val="0"/>
      <w:divBdr>
        <w:top w:val="none" w:sz="0" w:space="0" w:color="auto"/>
        <w:left w:val="none" w:sz="0" w:space="0" w:color="auto"/>
        <w:bottom w:val="none" w:sz="0" w:space="0" w:color="auto"/>
        <w:right w:val="none" w:sz="0" w:space="0" w:color="auto"/>
      </w:divBdr>
    </w:div>
    <w:div w:id="1211645562">
      <w:bodyDiv w:val="1"/>
      <w:marLeft w:val="0"/>
      <w:marRight w:val="0"/>
      <w:marTop w:val="0"/>
      <w:marBottom w:val="0"/>
      <w:divBdr>
        <w:top w:val="none" w:sz="0" w:space="0" w:color="auto"/>
        <w:left w:val="none" w:sz="0" w:space="0" w:color="auto"/>
        <w:bottom w:val="none" w:sz="0" w:space="0" w:color="auto"/>
        <w:right w:val="none" w:sz="0" w:space="0" w:color="auto"/>
      </w:divBdr>
    </w:div>
    <w:div w:id="1217357619">
      <w:bodyDiv w:val="1"/>
      <w:marLeft w:val="0"/>
      <w:marRight w:val="0"/>
      <w:marTop w:val="0"/>
      <w:marBottom w:val="0"/>
      <w:divBdr>
        <w:top w:val="none" w:sz="0" w:space="0" w:color="auto"/>
        <w:left w:val="none" w:sz="0" w:space="0" w:color="auto"/>
        <w:bottom w:val="none" w:sz="0" w:space="0" w:color="auto"/>
        <w:right w:val="none" w:sz="0" w:space="0" w:color="auto"/>
      </w:divBdr>
      <w:divsChild>
        <w:div w:id="1473525141">
          <w:marLeft w:val="0"/>
          <w:marRight w:val="0"/>
          <w:marTop w:val="0"/>
          <w:marBottom w:val="0"/>
          <w:divBdr>
            <w:top w:val="none" w:sz="0" w:space="0" w:color="auto"/>
            <w:left w:val="none" w:sz="0" w:space="0" w:color="auto"/>
            <w:bottom w:val="none" w:sz="0" w:space="0" w:color="auto"/>
            <w:right w:val="none" w:sz="0" w:space="0" w:color="auto"/>
          </w:divBdr>
        </w:div>
        <w:div w:id="563488034">
          <w:marLeft w:val="0"/>
          <w:marRight w:val="0"/>
          <w:marTop w:val="0"/>
          <w:marBottom w:val="0"/>
          <w:divBdr>
            <w:top w:val="none" w:sz="0" w:space="0" w:color="auto"/>
            <w:left w:val="none" w:sz="0" w:space="0" w:color="auto"/>
            <w:bottom w:val="none" w:sz="0" w:space="0" w:color="auto"/>
            <w:right w:val="none" w:sz="0" w:space="0" w:color="auto"/>
          </w:divBdr>
        </w:div>
        <w:div w:id="510989031">
          <w:marLeft w:val="0"/>
          <w:marRight w:val="0"/>
          <w:marTop w:val="0"/>
          <w:marBottom w:val="0"/>
          <w:divBdr>
            <w:top w:val="none" w:sz="0" w:space="0" w:color="auto"/>
            <w:left w:val="none" w:sz="0" w:space="0" w:color="auto"/>
            <w:bottom w:val="none" w:sz="0" w:space="0" w:color="auto"/>
            <w:right w:val="none" w:sz="0" w:space="0" w:color="auto"/>
          </w:divBdr>
        </w:div>
        <w:div w:id="902911285">
          <w:marLeft w:val="0"/>
          <w:marRight w:val="0"/>
          <w:marTop w:val="0"/>
          <w:marBottom w:val="0"/>
          <w:divBdr>
            <w:top w:val="none" w:sz="0" w:space="0" w:color="auto"/>
            <w:left w:val="none" w:sz="0" w:space="0" w:color="auto"/>
            <w:bottom w:val="none" w:sz="0" w:space="0" w:color="auto"/>
            <w:right w:val="none" w:sz="0" w:space="0" w:color="auto"/>
          </w:divBdr>
        </w:div>
        <w:div w:id="23600552">
          <w:marLeft w:val="0"/>
          <w:marRight w:val="0"/>
          <w:marTop w:val="0"/>
          <w:marBottom w:val="0"/>
          <w:divBdr>
            <w:top w:val="none" w:sz="0" w:space="0" w:color="auto"/>
            <w:left w:val="none" w:sz="0" w:space="0" w:color="auto"/>
            <w:bottom w:val="none" w:sz="0" w:space="0" w:color="auto"/>
            <w:right w:val="none" w:sz="0" w:space="0" w:color="auto"/>
          </w:divBdr>
        </w:div>
        <w:div w:id="1314605063">
          <w:marLeft w:val="0"/>
          <w:marRight w:val="0"/>
          <w:marTop w:val="0"/>
          <w:marBottom w:val="0"/>
          <w:divBdr>
            <w:top w:val="none" w:sz="0" w:space="0" w:color="auto"/>
            <w:left w:val="none" w:sz="0" w:space="0" w:color="auto"/>
            <w:bottom w:val="none" w:sz="0" w:space="0" w:color="auto"/>
            <w:right w:val="none" w:sz="0" w:space="0" w:color="auto"/>
          </w:divBdr>
        </w:div>
      </w:divsChild>
    </w:div>
    <w:div w:id="1219168343">
      <w:bodyDiv w:val="1"/>
      <w:marLeft w:val="0"/>
      <w:marRight w:val="0"/>
      <w:marTop w:val="0"/>
      <w:marBottom w:val="0"/>
      <w:divBdr>
        <w:top w:val="none" w:sz="0" w:space="0" w:color="auto"/>
        <w:left w:val="none" w:sz="0" w:space="0" w:color="auto"/>
        <w:bottom w:val="none" w:sz="0" w:space="0" w:color="auto"/>
        <w:right w:val="none" w:sz="0" w:space="0" w:color="auto"/>
      </w:divBdr>
      <w:divsChild>
        <w:div w:id="1090617291">
          <w:marLeft w:val="0"/>
          <w:marRight w:val="0"/>
          <w:marTop w:val="0"/>
          <w:marBottom w:val="0"/>
          <w:divBdr>
            <w:top w:val="none" w:sz="0" w:space="0" w:color="auto"/>
            <w:left w:val="none" w:sz="0" w:space="0" w:color="auto"/>
            <w:bottom w:val="none" w:sz="0" w:space="0" w:color="auto"/>
            <w:right w:val="none" w:sz="0" w:space="0" w:color="auto"/>
          </w:divBdr>
        </w:div>
      </w:divsChild>
    </w:div>
    <w:div w:id="1231647368">
      <w:bodyDiv w:val="1"/>
      <w:marLeft w:val="0"/>
      <w:marRight w:val="0"/>
      <w:marTop w:val="0"/>
      <w:marBottom w:val="0"/>
      <w:divBdr>
        <w:top w:val="none" w:sz="0" w:space="0" w:color="auto"/>
        <w:left w:val="none" w:sz="0" w:space="0" w:color="auto"/>
        <w:bottom w:val="none" w:sz="0" w:space="0" w:color="auto"/>
        <w:right w:val="none" w:sz="0" w:space="0" w:color="auto"/>
      </w:divBdr>
      <w:divsChild>
        <w:div w:id="1127972720">
          <w:marLeft w:val="0"/>
          <w:marRight w:val="0"/>
          <w:marTop w:val="0"/>
          <w:marBottom w:val="0"/>
          <w:divBdr>
            <w:top w:val="none" w:sz="0" w:space="0" w:color="auto"/>
            <w:left w:val="none" w:sz="0" w:space="0" w:color="auto"/>
            <w:bottom w:val="none" w:sz="0" w:space="0" w:color="auto"/>
            <w:right w:val="none" w:sz="0" w:space="0" w:color="auto"/>
          </w:divBdr>
        </w:div>
        <w:div w:id="607977921">
          <w:marLeft w:val="0"/>
          <w:marRight w:val="0"/>
          <w:marTop w:val="0"/>
          <w:marBottom w:val="0"/>
          <w:divBdr>
            <w:top w:val="none" w:sz="0" w:space="0" w:color="auto"/>
            <w:left w:val="none" w:sz="0" w:space="0" w:color="auto"/>
            <w:bottom w:val="none" w:sz="0" w:space="0" w:color="auto"/>
            <w:right w:val="none" w:sz="0" w:space="0" w:color="auto"/>
          </w:divBdr>
        </w:div>
      </w:divsChild>
    </w:div>
    <w:div w:id="1319384155">
      <w:bodyDiv w:val="1"/>
      <w:marLeft w:val="0"/>
      <w:marRight w:val="0"/>
      <w:marTop w:val="0"/>
      <w:marBottom w:val="0"/>
      <w:divBdr>
        <w:top w:val="none" w:sz="0" w:space="0" w:color="auto"/>
        <w:left w:val="none" w:sz="0" w:space="0" w:color="auto"/>
        <w:bottom w:val="none" w:sz="0" w:space="0" w:color="auto"/>
        <w:right w:val="none" w:sz="0" w:space="0" w:color="auto"/>
      </w:divBdr>
      <w:divsChild>
        <w:div w:id="42143644">
          <w:marLeft w:val="0"/>
          <w:marRight w:val="0"/>
          <w:marTop w:val="0"/>
          <w:marBottom w:val="0"/>
          <w:divBdr>
            <w:top w:val="none" w:sz="0" w:space="0" w:color="auto"/>
            <w:left w:val="none" w:sz="0" w:space="0" w:color="auto"/>
            <w:bottom w:val="none" w:sz="0" w:space="0" w:color="auto"/>
            <w:right w:val="none" w:sz="0" w:space="0" w:color="auto"/>
          </w:divBdr>
        </w:div>
      </w:divsChild>
    </w:div>
    <w:div w:id="1360624228">
      <w:bodyDiv w:val="1"/>
      <w:marLeft w:val="0"/>
      <w:marRight w:val="0"/>
      <w:marTop w:val="0"/>
      <w:marBottom w:val="0"/>
      <w:divBdr>
        <w:top w:val="none" w:sz="0" w:space="0" w:color="auto"/>
        <w:left w:val="none" w:sz="0" w:space="0" w:color="auto"/>
        <w:bottom w:val="none" w:sz="0" w:space="0" w:color="auto"/>
        <w:right w:val="none" w:sz="0" w:space="0" w:color="auto"/>
      </w:divBdr>
      <w:divsChild>
        <w:div w:id="1544094897">
          <w:marLeft w:val="0"/>
          <w:marRight w:val="0"/>
          <w:marTop w:val="0"/>
          <w:marBottom w:val="0"/>
          <w:divBdr>
            <w:top w:val="none" w:sz="0" w:space="0" w:color="auto"/>
            <w:left w:val="none" w:sz="0" w:space="0" w:color="auto"/>
            <w:bottom w:val="none" w:sz="0" w:space="0" w:color="auto"/>
            <w:right w:val="none" w:sz="0" w:space="0" w:color="auto"/>
          </w:divBdr>
        </w:div>
        <w:div w:id="171459281">
          <w:marLeft w:val="0"/>
          <w:marRight w:val="0"/>
          <w:marTop w:val="0"/>
          <w:marBottom w:val="0"/>
          <w:divBdr>
            <w:top w:val="none" w:sz="0" w:space="0" w:color="auto"/>
            <w:left w:val="none" w:sz="0" w:space="0" w:color="auto"/>
            <w:bottom w:val="none" w:sz="0" w:space="0" w:color="auto"/>
            <w:right w:val="none" w:sz="0" w:space="0" w:color="auto"/>
          </w:divBdr>
        </w:div>
        <w:div w:id="1934051021">
          <w:marLeft w:val="0"/>
          <w:marRight w:val="0"/>
          <w:marTop w:val="0"/>
          <w:marBottom w:val="0"/>
          <w:divBdr>
            <w:top w:val="none" w:sz="0" w:space="0" w:color="auto"/>
            <w:left w:val="none" w:sz="0" w:space="0" w:color="auto"/>
            <w:bottom w:val="none" w:sz="0" w:space="0" w:color="auto"/>
            <w:right w:val="none" w:sz="0" w:space="0" w:color="auto"/>
          </w:divBdr>
        </w:div>
      </w:divsChild>
    </w:div>
    <w:div w:id="1366177934">
      <w:bodyDiv w:val="1"/>
      <w:marLeft w:val="0"/>
      <w:marRight w:val="0"/>
      <w:marTop w:val="0"/>
      <w:marBottom w:val="0"/>
      <w:divBdr>
        <w:top w:val="none" w:sz="0" w:space="0" w:color="auto"/>
        <w:left w:val="none" w:sz="0" w:space="0" w:color="auto"/>
        <w:bottom w:val="none" w:sz="0" w:space="0" w:color="auto"/>
        <w:right w:val="none" w:sz="0" w:space="0" w:color="auto"/>
      </w:divBdr>
      <w:divsChild>
        <w:div w:id="86508419">
          <w:marLeft w:val="0"/>
          <w:marRight w:val="0"/>
          <w:marTop w:val="0"/>
          <w:marBottom w:val="0"/>
          <w:divBdr>
            <w:top w:val="none" w:sz="0" w:space="0" w:color="auto"/>
            <w:left w:val="none" w:sz="0" w:space="0" w:color="auto"/>
            <w:bottom w:val="none" w:sz="0" w:space="0" w:color="auto"/>
            <w:right w:val="none" w:sz="0" w:space="0" w:color="auto"/>
          </w:divBdr>
        </w:div>
        <w:div w:id="1047795433">
          <w:marLeft w:val="0"/>
          <w:marRight w:val="0"/>
          <w:marTop w:val="0"/>
          <w:marBottom w:val="0"/>
          <w:divBdr>
            <w:top w:val="none" w:sz="0" w:space="0" w:color="auto"/>
            <w:left w:val="none" w:sz="0" w:space="0" w:color="auto"/>
            <w:bottom w:val="none" w:sz="0" w:space="0" w:color="auto"/>
            <w:right w:val="none" w:sz="0" w:space="0" w:color="auto"/>
          </w:divBdr>
        </w:div>
        <w:div w:id="1822850399">
          <w:marLeft w:val="0"/>
          <w:marRight w:val="0"/>
          <w:marTop w:val="0"/>
          <w:marBottom w:val="0"/>
          <w:divBdr>
            <w:top w:val="none" w:sz="0" w:space="0" w:color="auto"/>
            <w:left w:val="none" w:sz="0" w:space="0" w:color="auto"/>
            <w:bottom w:val="none" w:sz="0" w:space="0" w:color="auto"/>
            <w:right w:val="none" w:sz="0" w:space="0" w:color="auto"/>
          </w:divBdr>
        </w:div>
        <w:div w:id="1379277945">
          <w:marLeft w:val="0"/>
          <w:marRight w:val="0"/>
          <w:marTop w:val="0"/>
          <w:marBottom w:val="0"/>
          <w:divBdr>
            <w:top w:val="none" w:sz="0" w:space="0" w:color="auto"/>
            <w:left w:val="none" w:sz="0" w:space="0" w:color="auto"/>
            <w:bottom w:val="none" w:sz="0" w:space="0" w:color="auto"/>
            <w:right w:val="none" w:sz="0" w:space="0" w:color="auto"/>
          </w:divBdr>
        </w:div>
      </w:divsChild>
    </w:div>
    <w:div w:id="1394235511">
      <w:bodyDiv w:val="1"/>
      <w:marLeft w:val="0"/>
      <w:marRight w:val="0"/>
      <w:marTop w:val="0"/>
      <w:marBottom w:val="0"/>
      <w:divBdr>
        <w:top w:val="none" w:sz="0" w:space="0" w:color="auto"/>
        <w:left w:val="none" w:sz="0" w:space="0" w:color="auto"/>
        <w:bottom w:val="none" w:sz="0" w:space="0" w:color="auto"/>
        <w:right w:val="none" w:sz="0" w:space="0" w:color="auto"/>
      </w:divBdr>
      <w:divsChild>
        <w:div w:id="1828739514">
          <w:marLeft w:val="0"/>
          <w:marRight w:val="0"/>
          <w:marTop w:val="0"/>
          <w:marBottom w:val="0"/>
          <w:divBdr>
            <w:top w:val="none" w:sz="0" w:space="0" w:color="auto"/>
            <w:left w:val="none" w:sz="0" w:space="0" w:color="auto"/>
            <w:bottom w:val="none" w:sz="0" w:space="0" w:color="auto"/>
            <w:right w:val="none" w:sz="0" w:space="0" w:color="auto"/>
          </w:divBdr>
        </w:div>
        <w:div w:id="1523469783">
          <w:marLeft w:val="0"/>
          <w:marRight w:val="0"/>
          <w:marTop w:val="0"/>
          <w:marBottom w:val="0"/>
          <w:divBdr>
            <w:top w:val="none" w:sz="0" w:space="0" w:color="auto"/>
            <w:left w:val="none" w:sz="0" w:space="0" w:color="auto"/>
            <w:bottom w:val="none" w:sz="0" w:space="0" w:color="auto"/>
            <w:right w:val="none" w:sz="0" w:space="0" w:color="auto"/>
          </w:divBdr>
        </w:div>
        <w:div w:id="1316688105">
          <w:marLeft w:val="0"/>
          <w:marRight w:val="0"/>
          <w:marTop w:val="0"/>
          <w:marBottom w:val="0"/>
          <w:divBdr>
            <w:top w:val="none" w:sz="0" w:space="0" w:color="auto"/>
            <w:left w:val="none" w:sz="0" w:space="0" w:color="auto"/>
            <w:bottom w:val="none" w:sz="0" w:space="0" w:color="auto"/>
            <w:right w:val="none" w:sz="0" w:space="0" w:color="auto"/>
          </w:divBdr>
        </w:div>
        <w:div w:id="1233782514">
          <w:marLeft w:val="0"/>
          <w:marRight w:val="0"/>
          <w:marTop w:val="0"/>
          <w:marBottom w:val="0"/>
          <w:divBdr>
            <w:top w:val="none" w:sz="0" w:space="0" w:color="auto"/>
            <w:left w:val="none" w:sz="0" w:space="0" w:color="auto"/>
            <w:bottom w:val="none" w:sz="0" w:space="0" w:color="auto"/>
            <w:right w:val="none" w:sz="0" w:space="0" w:color="auto"/>
          </w:divBdr>
        </w:div>
        <w:div w:id="1950886946">
          <w:marLeft w:val="0"/>
          <w:marRight w:val="0"/>
          <w:marTop w:val="0"/>
          <w:marBottom w:val="0"/>
          <w:divBdr>
            <w:top w:val="none" w:sz="0" w:space="0" w:color="auto"/>
            <w:left w:val="none" w:sz="0" w:space="0" w:color="auto"/>
            <w:bottom w:val="none" w:sz="0" w:space="0" w:color="auto"/>
            <w:right w:val="none" w:sz="0" w:space="0" w:color="auto"/>
          </w:divBdr>
        </w:div>
        <w:div w:id="380791584">
          <w:marLeft w:val="0"/>
          <w:marRight w:val="0"/>
          <w:marTop w:val="0"/>
          <w:marBottom w:val="0"/>
          <w:divBdr>
            <w:top w:val="none" w:sz="0" w:space="0" w:color="auto"/>
            <w:left w:val="none" w:sz="0" w:space="0" w:color="auto"/>
            <w:bottom w:val="none" w:sz="0" w:space="0" w:color="auto"/>
            <w:right w:val="none" w:sz="0" w:space="0" w:color="auto"/>
          </w:divBdr>
        </w:div>
      </w:divsChild>
    </w:div>
    <w:div w:id="1442139348">
      <w:bodyDiv w:val="1"/>
      <w:marLeft w:val="0"/>
      <w:marRight w:val="0"/>
      <w:marTop w:val="0"/>
      <w:marBottom w:val="0"/>
      <w:divBdr>
        <w:top w:val="none" w:sz="0" w:space="0" w:color="auto"/>
        <w:left w:val="none" w:sz="0" w:space="0" w:color="auto"/>
        <w:bottom w:val="none" w:sz="0" w:space="0" w:color="auto"/>
        <w:right w:val="none" w:sz="0" w:space="0" w:color="auto"/>
      </w:divBdr>
    </w:div>
    <w:div w:id="1448312369">
      <w:bodyDiv w:val="1"/>
      <w:marLeft w:val="0"/>
      <w:marRight w:val="0"/>
      <w:marTop w:val="0"/>
      <w:marBottom w:val="0"/>
      <w:divBdr>
        <w:top w:val="none" w:sz="0" w:space="0" w:color="auto"/>
        <w:left w:val="none" w:sz="0" w:space="0" w:color="auto"/>
        <w:bottom w:val="none" w:sz="0" w:space="0" w:color="auto"/>
        <w:right w:val="none" w:sz="0" w:space="0" w:color="auto"/>
      </w:divBdr>
      <w:divsChild>
        <w:div w:id="1999380739">
          <w:marLeft w:val="0"/>
          <w:marRight w:val="0"/>
          <w:marTop w:val="0"/>
          <w:marBottom w:val="0"/>
          <w:divBdr>
            <w:top w:val="none" w:sz="0" w:space="0" w:color="auto"/>
            <w:left w:val="none" w:sz="0" w:space="0" w:color="auto"/>
            <w:bottom w:val="none" w:sz="0" w:space="0" w:color="auto"/>
            <w:right w:val="none" w:sz="0" w:space="0" w:color="auto"/>
          </w:divBdr>
        </w:div>
        <w:div w:id="2099405948">
          <w:marLeft w:val="0"/>
          <w:marRight w:val="0"/>
          <w:marTop w:val="0"/>
          <w:marBottom w:val="0"/>
          <w:divBdr>
            <w:top w:val="none" w:sz="0" w:space="0" w:color="auto"/>
            <w:left w:val="none" w:sz="0" w:space="0" w:color="auto"/>
            <w:bottom w:val="none" w:sz="0" w:space="0" w:color="auto"/>
            <w:right w:val="none" w:sz="0" w:space="0" w:color="auto"/>
          </w:divBdr>
        </w:div>
        <w:div w:id="2080402566">
          <w:marLeft w:val="0"/>
          <w:marRight w:val="0"/>
          <w:marTop w:val="0"/>
          <w:marBottom w:val="0"/>
          <w:divBdr>
            <w:top w:val="none" w:sz="0" w:space="0" w:color="auto"/>
            <w:left w:val="none" w:sz="0" w:space="0" w:color="auto"/>
            <w:bottom w:val="none" w:sz="0" w:space="0" w:color="auto"/>
            <w:right w:val="none" w:sz="0" w:space="0" w:color="auto"/>
          </w:divBdr>
        </w:div>
        <w:div w:id="1791624968">
          <w:marLeft w:val="0"/>
          <w:marRight w:val="0"/>
          <w:marTop w:val="0"/>
          <w:marBottom w:val="0"/>
          <w:divBdr>
            <w:top w:val="none" w:sz="0" w:space="0" w:color="auto"/>
            <w:left w:val="none" w:sz="0" w:space="0" w:color="auto"/>
            <w:bottom w:val="none" w:sz="0" w:space="0" w:color="auto"/>
            <w:right w:val="none" w:sz="0" w:space="0" w:color="auto"/>
          </w:divBdr>
        </w:div>
      </w:divsChild>
    </w:div>
    <w:div w:id="1450513974">
      <w:bodyDiv w:val="1"/>
      <w:marLeft w:val="0"/>
      <w:marRight w:val="0"/>
      <w:marTop w:val="0"/>
      <w:marBottom w:val="0"/>
      <w:divBdr>
        <w:top w:val="none" w:sz="0" w:space="0" w:color="auto"/>
        <w:left w:val="none" w:sz="0" w:space="0" w:color="auto"/>
        <w:bottom w:val="none" w:sz="0" w:space="0" w:color="auto"/>
        <w:right w:val="none" w:sz="0" w:space="0" w:color="auto"/>
      </w:divBdr>
      <w:divsChild>
        <w:div w:id="1164317826">
          <w:marLeft w:val="0"/>
          <w:marRight w:val="0"/>
          <w:marTop w:val="0"/>
          <w:marBottom w:val="0"/>
          <w:divBdr>
            <w:top w:val="none" w:sz="0" w:space="0" w:color="auto"/>
            <w:left w:val="none" w:sz="0" w:space="0" w:color="auto"/>
            <w:bottom w:val="none" w:sz="0" w:space="0" w:color="auto"/>
            <w:right w:val="none" w:sz="0" w:space="0" w:color="auto"/>
          </w:divBdr>
        </w:div>
        <w:div w:id="1457336446">
          <w:marLeft w:val="0"/>
          <w:marRight w:val="0"/>
          <w:marTop w:val="0"/>
          <w:marBottom w:val="0"/>
          <w:divBdr>
            <w:top w:val="none" w:sz="0" w:space="0" w:color="auto"/>
            <w:left w:val="none" w:sz="0" w:space="0" w:color="auto"/>
            <w:bottom w:val="none" w:sz="0" w:space="0" w:color="auto"/>
            <w:right w:val="none" w:sz="0" w:space="0" w:color="auto"/>
          </w:divBdr>
        </w:div>
        <w:div w:id="1945573071">
          <w:marLeft w:val="0"/>
          <w:marRight w:val="0"/>
          <w:marTop w:val="0"/>
          <w:marBottom w:val="0"/>
          <w:divBdr>
            <w:top w:val="none" w:sz="0" w:space="0" w:color="auto"/>
            <w:left w:val="none" w:sz="0" w:space="0" w:color="auto"/>
            <w:bottom w:val="none" w:sz="0" w:space="0" w:color="auto"/>
            <w:right w:val="none" w:sz="0" w:space="0" w:color="auto"/>
          </w:divBdr>
        </w:div>
        <w:div w:id="290405039">
          <w:marLeft w:val="0"/>
          <w:marRight w:val="0"/>
          <w:marTop w:val="0"/>
          <w:marBottom w:val="0"/>
          <w:divBdr>
            <w:top w:val="none" w:sz="0" w:space="0" w:color="auto"/>
            <w:left w:val="none" w:sz="0" w:space="0" w:color="auto"/>
            <w:bottom w:val="none" w:sz="0" w:space="0" w:color="auto"/>
            <w:right w:val="none" w:sz="0" w:space="0" w:color="auto"/>
          </w:divBdr>
        </w:div>
      </w:divsChild>
    </w:div>
    <w:div w:id="1540971539">
      <w:bodyDiv w:val="1"/>
      <w:marLeft w:val="0"/>
      <w:marRight w:val="0"/>
      <w:marTop w:val="0"/>
      <w:marBottom w:val="0"/>
      <w:divBdr>
        <w:top w:val="none" w:sz="0" w:space="0" w:color="auto"/>
        <w:left w:val="none" w:sz="0" w:space="0" w:color="auto"/>
        <w:bottom w:val="none" w:sz="0" w:space="0" w:color="auto"/>
        <w:right w:val="none" w:sz="0" w:space="0" w:color="auto"/>
      </w:divBdr>
      <w:divsChild>
        <w:div w:id="1699047357">
          <w:marLeft w:val="0"/>
          <w:marRight w:val="0"/>
          <w:marTop w:val="0"/>
          <w:marBottom w:val="0"/>
          <w:divBdr>
            <w:top w:val="none" w:sz="0" w:space="0" w:color="auto"/>
            <w:left w:val="none" w:sz="0" w:space="0" w:color="auto"/>
            <w:bottom w:val="none" w:sz="0" w:space="0" w:color="auto"/>
            <w:right w:val="none" w:sz="0" w:space="0" w:color="auto"/>
          </w:divBdr>
        </w:div>
        <w:div w:id="1769738367">
          <w:marLeft w:val="0"/>
          <w:marRight w:val="0"/>
          <w:marTop w:val="0"/>
          <w:marBottom w:val="0"/>
          <w:divBdr>
            <w:top w:val="none" w:sz="0" w:space="0" w:color="auto"/>
            <w:left w:val="none" w:sz="0" w:space="0" w:color="auto"/>
            <w:bottom w:val="none" w:sz="0" w:space="0" w:color="auto"/>
            <w:right w:val="none" w:sz="0" w:space="0" w:color="auto"/>
          </w:divBdr>
        </w:div>
      </w:divsChild>
    </w:div>
    <w:div w:id="1636793678">
      <w:bodyDiv w:val="1"/>
      <w:marLeft w:val="0"/>
      <w:marRight w:val="0"/>
      <w:marTop w:val="0"/>
      <w:marBottom w:val="0"/>
      <w:divBdr>
        <w:top w:val="none" w:sz="0" w:space="0" w:color="auto"/>
        <w:left w:val="none" w:sz="0" w:space="0" w:color="auto"/>
        <w:bottom w:val="none" w:sz="0" w:space="0" w:color="auto"/>
        <w:right w:val="none" w:sz="0" w:space="0" w:color="auto"/>
      </w:divBdr>
      <w:divsChild>
        <w:div w:id="665207343">
          <w:marLeft w:val="0"/>
          <w:marRight w:val="0"/>
          <w:marTop w:val="0"/>
          <w:marBottom w:val="0"/>
          <w:divBdr>
            <w:top w:val="none" w:sz="0" w:space="0" w:color="auto"/>
            <w:left w:val="none" w:sz="0" w:space="0" w:color="auto"/>
            <w:bottom w:val="none" w:sz="0" w:space="0" w:color="auto"/>
            <w:right w:val="none" w:sz="0" w:space="0" w:color="auto"/>
          </w:divBdr>
        </w:div>
        <w:div w:id="281159251">
          <w:marLeft w:val="0"/>
          <w:marRight w:val="0"/>
          <w:marTop w:val="0"/>
          <w:marBottom w:val="0"/>
          <w:divBdr>
            <w:top w:val="none" w:sz="0" w:space="0" w:color="auto"/>
            <w:left w:val="none" w:sz="0" w:space="0" w:color="auto"/>
            <w:bottom w:val="none" w:sz="0" w:space="0" w:color="auto"/>
            <w:right w:val="none" w:sz="0" w:space="0" w:color="auto"/>
          </w:divBdr>
        </w:div>
      </w:divsChild>
    </w:div>
    <w:div w:id="1662274168">
      <w:bodyDiv w:val="1"/>
      <w:marLeft w:val="0"/>
      <w:marRight w:val="0"/>
      <w:marTop w:val="0"/>
      <w:marBottom w:val="0"/>
      <w:divBdr>
        <w:top w:val="none" w:sz="0" w:space="0" w:color="auto"/>
        <w:left w:val="none" w:sz="0" w:space="0" w:color="auto"/>
        <w:bottom w:val="none" w:sz="0" w:space="0" w:color="auto"/>
        <w:right w:val="none" w:sz="0" w:space="0" w:color="auto"/>
      </w:divBdr>
      <w:divsChild>
        <w:div w:id="1316105695">
          <w:marLeft w:val="0"/>
          <w:marRight w:val="0"/>
          <w:marTop w:val="0"/>
          <w:marBottom w:val="0"/>
          <w:divBdr>
            <w:top w:val="none" w:sz="0" w:space="0" w:color="auto"/>
            <w:left w:val="none" w:sz="0" w:space="0" w:color="auto"/>
            <w:bottom w:val="none" w:sz="0" w:space="0" w:color="auto"/>
            <w:right w:val="none" w:sz="0" w:space="0" w:color="auto"/>
          </w:divBdr>
        </w:div>
        <w:div w:id="1646155234">
          <w:marLeft w:val="0"/>
          <w:marRight w:val="0"/>
          <w:marTop w:val="0"/>
          <w:marBottom w:val="0"/>
          <w:divBdr>
            <w:top w:val="none" w:sz="0" w:space="0" w:color="auto"/>
            <w:left w:val="none" w:sz="0" w:space="0" w:color="auto"/>
            <w:bottom w:val="none" w:sz="0" w:space="0" w:color="auto"/>
            <w:right w:val="none" w:sz="0" w:space="0" w:color="auto"/>
          </w:divBdr>
        </w:div>
      </w:divsChild>
    </w:div>
    <w:div w:id="1672760273">
      <w:bodyDiv w:val="1"/>
      <w:marLeft w:val="0"/>
      <w:marRight w:val="0"/>
      <w:marTop w:val="0"/>
      <w:marBottom w:val="0"/>
      <w:divBdr>
        <w:top w:val="none" w:sz="0" w:space="0" w:color="auto"/>
        <w:left w:val="none" w:sz="0" w:space="0" w:color="auto"/>
        <w:bottom w:val="none" w:sz="0" w:space="0" w:color="auto"/>
        <w:right w:val="none" w:sz="0" w:space="0" w:color="auto"/>
      </w:divBdr>
      <w:divsChild>
        <w:div w:id="1211068822">
          <w:marLeft w:val="0"/>
          <w:marRight w:val="0"/>
          <w:marTop w:val="0"/>
          <w:marBottom w:val="0"/>
          <w:divBdr>
            <w:top w:val="none" w:sz="0" w:space="0" w:color="auto"/>
            <w:left w:val="none" w:sz="0" w:space="0" w:color="auto"/>
            <w:bottom w:val="none" w:sz="0" w:space="0" w:color="auto"/>
            <w:right w:val="none" w:sz="0" w:space="0" w:color="auto"/>
          </w:divBdr>
        </w:div>
        <w:div w:id="639922004">
          <w:marLeft w:val="0"/>
          <w:marRight w:val="0"/>
          <w:marTop w:val="0"/>
          <w:marBottom w:val="0"/>
          <w:divBdr>
            <w:top w:val="none" w:sz="0" w:space="0" w:color="auto"/>
            <w:left w:val="none" w:sz="0" w:space="0" w:color="auto"/>
            <w:bottom w:val="none" w:sz="0" w:space="0" w:color="auto"/>
            <w:right w:val="none" w:sz="0" w:space="0" w:color="auto"/>
          </w:divBdr>
        </w:div>
        <w:div w:id="142937152">
          <w:marLeft w:val="0"/>
          <w:marRight w:val="0"/>
          <w:marTop w:val="0"/>
          <w:marBottom w:val="0"/>
          <w:divBdr>
            <w:top w:val="none" w:sz="0" w:space="0" w:color="auto"/>
            <w:left w:val="none" w:sz="0" w:space="0" w:color="auto"/>
            <w:bottom w:val="none" w:sz="0" w:space="0" w:color="auto"/>
            <w:right w:val="none" w:sz="0" w:space="0" w:color="auto"/>
          </w:divBdr>
        </w:div>
        <w:div w:id="125201595">
          <w:marLeft w:val="0"/>
          <w:marRight w:val="0"/>
          <w:marTop w:val="0"/>
          <w:marBottom w:val="0"/>
          <w:divBdr>
            <w:top w:val="none" w:sz="0" w:space="0" w:color="auto"/>
            <w:left w:val="none" w:sz="0" w:space="0" w:color="auto"/>
            <w:bottom w:val="none" w:sz="0" w:space="0" w:color="auto"/>
            <w:right w:val="none" w:sz="0" w:space="0" w:color="auto"/>
          </w:divBdr>
        </w:div>
        <w:div w:id="1807309531">
          <w:marLeft w:val="0"/>
          <w:marRight w:val="0"/>
          <w:marTop w:val="0"/>
          <w:marBottom w:val="0"/>
          <w:divBdr>
            <w:top w:val="none" w:sz="0" w:space="0" w:color="auto"/>
            <w:left w:val="none" w:sz="0" w:space="0" w:color="auto"/>
            <w:bottom w:val="none" w:sz="0" w:space="0" w:color="auto"/>
            <w:right w:val="none" w:sz="0" w:space="0" w:color="auto"/>
          </w:divBdr>
        </w:div>
        <w:div w:id="530264432">
          <w:marLeft w:val="0"/>
          <w:marRight w:val="0"/>
          <w:marTop w:val="0"/>
          <w:marBottom w:val="0"/>
          <w:divBdr>
            <w:top w:val="none" w:sz="0" w:space="0" w:color="auto"/>
            <w:left w:val="none" w:sz="0" w:space="0" w:color="auto"/>
            <w:bottom w:val="none" w:sz="0" w:space="0" w:color="auto"/>
            <w:right w:val="none" w:sz="0" w:space="0" w:color="auto"/>
          </w:divBdr>
        </w:div>
        <w:div w:id="1046637775">
          <w:marLeft w:val="0"/>
          <w:marRight w:val="0"/>
          <w:marTop w:val="0"/>
          <w:marBottom w:val="0"/>
          <w:divBdr>
            <w:top w:val="none" w:sz="0" w:space="0" w:color="auto"/>
            <w:left w:val="none" w:sz="0" w:space="0" w:color="auto"/>
            <w:bottom w:val="none" w:sz="0" w:space="0" w:color="auto"/>
            <w:right w:val="none" w:sz="0" w:space="0" w:color="auto"/>
          </w:divBdr>
        </w:div>
      </w:divsChild>
    </w:div>
    <w:div w:id="1705517009">
      <w:bodyDiv w:val="1"/>
      <w:marLeft w:val="0"/>
      <w:marRight w:val="0"/>
      <w:marTop w:val="0"/>
      <w:marBottom w:val="0"/>
      <w:divBdr>
        <w:top w:val="none" w:sz="0" w:space="0" w:color="auto"/>
        <w:left w:val="none" w:sz="0" w:space="0" w:color="auto"/>
        <w:bottom w:val="none" w:sz="0" w:space="0" w:color="auto"/>
        <w:right w:val="none" w:sz="0" w:space="0" w:color="auto"/>
      </w:divBdr>
      <w:divsChild>
        <w:div w:id="710806439">
          <w:marLeft w:val="0"/>
          <w:marRight w:val="0"/>
          <w:marTop w:val="0"/>
          <w:marBottom w:val="0"/>
          <w:divBdr>
            <w:top w:val="none" w:sz="0" w:space="0" w:color="auto"/>
            <w:left w:val="none" w:sz="0" w:space="0" w:color="auto"/>
            <w:bottom w:val="none" w:sz="0" w:space="0" w:color="auto"/>
            <w:right w:val="none" w:sz="0" w:space="0" w:color="auto"/>
          </w:divBdr>
        </w:div>
        <w:div w:id="257981428">
          <w:marLeft w:val="0"/>
          <w:marRight w:val="0"/>
          <w:marTop w:val="0"/>
          <w:marBottom w:val="0"/>
          <w:divBdr>
            <w:top w:val="none" w:sz="0" w:space="0" w:color="auto"/>
            <w:left w:val="none" w:sz="0" w:space="0" w:color="auto"/>
            <w:bottom w:val="none" w:sz="0" w:space="0" w:color="auto"/>
            <w:right w:val="none" w:sz="0" w:space="0" w:color="auto"/>
          </w:divBdr>
        </w:div>
      </w:divsChild>
    </w:div>
    <w:div w:id="1769932795">
      <w:bodyDiv w:val="1"/>
      <w:marLeft w:val="0"/>
      <w:marRight w:val="0"/>
      <w:marTop w:val="0"/>
      <w:marBottom w:val="0"/>
      <w:divBdr>
        <w:top w:val="none" w:sz="0" w:space="0" w:color="auto"/>
        <w:left w:val="none" w:sz="0" w:space="0" w:color="auto"/>
        <w:bottom w:val="none" w:sz="0" w:space="0" w:color="auto"/>
        <w:right w:val="none" w:sz="0" w:space="0" w:color="auto"/>
      </w:divBdr>
      <w:divsChild>
        <w:div w:id="2110852438">
          <w:marLeft w:val="0"/>
          <w:marRight w:val="0"/>
          <w:marTop w:val="0"/>
          <w:marBottom w:val="0"/>
          <w:divBdr>
            <w:top w:val="none" w:sz="0" w:space="0" w:color="auto"/>
            <w:left w:val="none" w:sz="0" w:space="0" w:color="auto"/>
            <w:bottom w:val="none" w:sz="0" w:space="0" w:color="auto"/>
            <w:right w:val="none" w:sz="0" w:space="0" w:color="auto"/>
          </w:divBdr>
        </w:div>
        <w:div w:id="801726724">
          <w:marLeft w:val="0"/>
          <w:marRight w:val="0"/>
          <w:marTop w:val="0"/>
          <w:marBottom w:val="0"/>
          <w:divBdr>
            <w:top w:val="none" w:sz="0" w:space="0" w:color="auto"/>
            <w:left w:val="none" w:sz="0" w:space="0" w:color="auto"/>
            <w:bottom w:val="none" w:sz="0" w:space="0" w:color="auto"/>
            <w:right w:val="none" w:sz="0" w:space="0" w:color="auto"/>
          </w:divBdr>
        </w:div>
        <w:div w:id="129059668">
          <w:marLeft w:val="0"/>
          <w:marRight w:val="0"/>
          <w:marTop w:val="0"/>
          <w:marBottom w:val="0"/>
          <w:divBdr>
            <w:top w:val="none" w:sz="0" w:space="0" w:color="auto"/>
            <w:left w:val="none" w:sz="0" w:space="0" w:color="auto"/>
            <w:bottom w:val="none" w:sz="0" w:space="0" w:color="auto"/>
            <w:right w:val="none" w:sz="0" w:space="0" w:color="auto"/>
          </w:divBdr>
        </w:div>
      </w:divsChild>
    </w:div>
    <w:div w:id="1800221782">
      <w:bodyDiv w:val="1"/>
      <w:marLeft w:val="0"/>
      <w:marRight w:val="0"/>
      <w:marTop w:val="0"/>
      <w:marBottom w:val="0"/>
      <w:divBdr>
        <w:top w:val="none" w:sz="0" w:space="0" w:color="auto"/>
        <w:left w:val="none" w:sz="0" w:space="0" w:color="auto"/>
        <w:bottom w:val="none" w:sz="0" w:space="0" w:color="auto"/>
        <w:right w:val="none" w:sz="0" w:space="0" w:color="auto"/>
      </w:divBdr>
      <w:divsChild>
        <w:div w:id="627781228">
          <w:marLeft w:val="0"/>
          <w:marRight w:val="0"/>
          <w:marTop w:val="0"/>
          <w:marBottom w:val="0"/>
          <w:divBdr>
            <w:top w:val="none" w:sz="0" w:space="0" w:color="auto"/>
            <w:left w:val="none" w:sz="0" w:space="0" w:color="auto"/>
            <w:bottom w:val="none" w:sz="0" w:space="0" w:color="auto"/>
            <w:right w:val="none" w:sz="0" w:space="0" w:color="auto"/>
          </w:divBdr>
        </w:div>
      </w:divsChild>
    </w:div>
    <w:div w:id="1808011209">
      <w:bodyDiv w:val="1"/>
      <w:marLeft w:val="0"/>
      <w:marRight w:val="0"/>
      <w:marTop w:val="0"/>
      <w:marBottom w:val="0"/>
      <w:divBdr>
        <w:top w:val="none" w:sz="0" w:space="0" w:color="auto"/>
        <w:left w:val="none" w:sz="0" w:space="0" w:color="auto"/>
        <w:bottom w:val="none" w:sz="0" w:space="0" w:color="auto"/>
        <w:right w:val="none" w:sz="0" w:space="0" w:color="auto"/>
      </w:divBdr>
      <w:divsChild>
        <w:div w:id="628900405">
          <w:marLeft w:val="0"/>
          <w:marRight w:val="0"/>
          <w:marTop w:val="0"/>
          <w:marBottom w:val="0"/>
          <w:divBdr>
            <w:top w:val="none" w:sz="0" w:space="0" w:color="auto"/>
            <w:left w:val="none" w:sz="0" w:space="0" w:color="auto"/>
            <w:bottom w:val="none" w:sz="0" w:space="0" w:color="auto"/>
            <w:right w:val="none" w:sz="0" w:space="0" w:color="auto"/>
          </w:divBdr>
        </w:div>
        <w:div w:id="419764846">
          <w:marLeft w:val="0"/>
          <w:marRight w:val="0"/>
          <w:marTop w:val="0"/>
          <w:marBottom w:val="0"/>
          <w:divBdr>
            <w:top w:val="none" w:sz="0" w:space="0" w:color="auto"/>
            <w:left w:val="none" w:sz="0" w:space="0" w:color="auto"/>
            <w:bottom w:val="none" w:sz="0" w:space="0" w:color="auto"/>
            <w:right w:val="none" w:sz="0" w:space="0" w:color="auto"/>
          </w:divBdr>
        </w:div>
        <w:div w:id="1947467995">
          <w:marLeft w:val="0"/>
          <w:marRight w:val="0"/>
          <w:marTop w:val="0"/>
          <w:marBottom w:val="0"/>
          <w:divBdr>
            <w:top w:val="none" w:sz="0" w:space="0" w:color="auto"/>
            <w:left w:val="none" w:sz="0" w:space="0" w:color="auto"/>
            <w:bottom w:val="none" w:sz="0" w:space="0" w:color="auto"/>
            <w:right w:val="none" w:sz="0" w:space="0" w:color="auto"/>
          </w:divBdr>
        </w:div>
      </w:divsChild>
    </w:div>
    <w:div w:id="1979527375">
      <w:bodyDiv w:val="1"/>
      <w:marLeft w:val="0"/>
      <w:marRight w:val="0"/>
      <w:marTop w:val="0"/>
      <w:marBottom w:val="0"/>
      <w:divBdr>
        <w:top w:val="none" w:sz="0" w:space="0" w:color="auto"/>
        <w:left w:val="none" w:sz="0" w:space="0" w:color="auto"/>
        <w:bottom w:val="none" w:sz="0" w:space="0" w:color="auto"/>
        <w:right w:val="none" w:sz="0" w:space="0" w:color="auto"/>
      </w:divBdr>
      <w:divsChild>
        <w:div w:id="342391600">
          <w:marLeft w:val="0"/>
          <w:marRight w:val="0"/>
          <w:marTop w:val="0"/>
          <w:marBottom w:val="0"/>
          <w:divBdr>
            <w:top w:val="none" w:sz="0" w:space="0" w:color="auto"/>
            <w:left w:val="none" w:sz="0" w:space="0" w:color="auto"/>
            <w:bottom w:val="none" w:sz="0" w:space="0" w:color="auto"/>
            <w:right w:val="none" w:sz="0" w:space="0" w:color="auto"/>
          </w:divBdr>
        </w:div>
        <w:div w:id="266353726">
          <w:marLeft w:val="0"/>
          <w:marRight w:val="0"/>
          <w:marTop w:val="0"/>
          <w:marBottom w:val="0"/>
          <w:divBdr>
            <w:top w:val="none" w:sz="0" w:space="0" w:color="auto"/>
            <w:left w:val="none" w:sz="0" w:space="0" w:color="auto"/>
            <w:bottom w:val="none" w:sz="0" w:space="0" w:color="auto"/>
            <w:right w:val="none" w:sz="0" w:space="0" w:color="auto"/>
          </w:divBdr>
        </w:div>
        <w:div w:id="974481475">
          <w:marLeft w:val="0"/>
          <w:marRight w:val="0"/>
          <w:marTop w:val="0"/>
          <w:marBottom w:val="0"/>
          <w:divBdr>
            <w:top w:val="none" w:sz="0" w:space="0" w:color="auto"/>
            <w:left w:val="none" w:sz="0" w:space="0" w:color="auto"/>
            <w:bottom w:val="none" w:sz="0" w:space="0" w:color="auto"/>
            <w:right w:val="none" w:sz="0" w:space="0" w:color="auto"/>
          </w:divBdr>
        </w:div>
        <w:div w:id="1866821987">
          <w:marLeft w:val="0"/>
          <w:marRight w:val="0"/>
          <w:marTop w:val="0"/>
          <w:marBottom w:val="0"/>
          <w:divBdr>
            <w:top w:val="none" w:sz="0" w:space="0" w:color="auto"/>
            <w:left w:val="none" w:sz="0" w:space="0" w:color="auto"/>
            <w:bottom w:val="none" w:sz="0" w:space="0" w:color="auto"/>
            <w:right w:val="none" w:sz="0" w:space="0" w:color="auto"/>
          </w:divBdr>
        </w:div>
        <w:div w:id="476579011">
          <w:marLeft w:val="0"/>
          <w:marRight w:val="0"/>
          <w:marTop w:val="0"/>
          <w:marBottom w:val="0"/>
          <w:divBdr>
            <w:top w:val="none" w:sz="0" w:space="0" w:color="auto"/>
            <w:left w:val="none" w:sz="0" w:space="0" w:color="auto"/>
            <w:bottom w:val="none" w:sz="0" w:space="0" w:color="auto"/>
            <w:right w:val="none" w:sz="0" w:space="0" w:color="auto"/>
          </w:divBdr>
        </w:div>
        <w:div w:id="931428820">
          <w:marLeft w:val="0"/>
          <w:marRight w:val="0"/>
          <w:marTop w:val="0"/>
          <w:marBottom w:val="0"/>
          <w:divBdr>
            <w:top w:val="none" w:sz="0" w:space="0" w:color="auto"/>
            <w:left w:val="none" w:sz="0" w:space="0" w:color="auto"/>
            <w:bottom w:val="none" w:sz="0" w:space="0" w:color="auto"/>
            <w:right w:val="none" w:sz="0" w:space="0" w:color="auto"/>
          </w:divBdr>
        </w:div>
      </w:divsChild>
    </w:div>
    <w:div w:id="2034726177">
      <w:bodyDiv w:val="1"/>
      <w:marLeft w:val="0"/>
      <w:marRight w:val="0"/>
      <w:marTop w:val="0"/>
      <w:marBottom w:val="0"/>
      <w:divBdr>
        <w:top w:val="none" w:sz="0" w:space="0" w:color="auto"/>
        <w:left w:val="none" w:sz="0" w:space="0" w:color="auto"/>
        <w:bottom w:val="none" w:sz="0" w:space="0" w:color="auto"/>
        <w:right w:val="none" w:sz="0" w:space="0" w:color="auto"/>
      </w:divBdr>
      <w:divsChild>
        <w:div w:id="1527408005">
          <w:marLeft w:val="0"/>
          <w:marRight w:val="0"/>
          <w:marTop w:val="0"/>
          <w:marBottom w:val="0"/>
          <w:divBdr>
            <w:top w:val="none" w:sz="0" w:space="0" w:color="auto"/>
            <w:left w:val="none" w:sz="0" w:space="0" w:color="auto"/>
            <w:bottom w:val="none" w:sz="0" w:space="0" w:color="auto"/>
            <w:right w:val="none" w:sz="0" w:space="0" w:color="auto"/>
          </w:divBdr>
        </w:div>
        <w:div w:id="1470590113">
          <w:marLeft w:val="0"/>
          <w:marRight w:val="0"/>
          <w:marTop w:val="0"/>
          <w:marBottom w:val="0"/>
          <w:divBdr>
            <w:top w:val="none" w:sz="0" w:space="0" w:color="auto"/>
            <w:left w:val="none" w:sz="0" w:space="0" w:color="auto"/>
            <w:bottom w:val="none" w:sz="0" w:space="0" w:color="auto"/>
            <w:right w:val="none" w:sz="0" w:space="0" w:color="auto"/>
          </w:divBdr>
        </w:div>
      </w:divsChild>
    </w:div>
    <w:div w:id="2037655675">
      <w:bodyDiv w:val="1"/>
      <w:marLeft w:val="0"/>
      <w:marRight w:val="0"/>
      <w:marTop w:val="0"/>
      <w:marBottom w:val="0"/>
      <w:divBdr>
        <w:top w:val="none" w:sz="0" w:space="0" w:color="auto"/>
        <w:left w:val="none" w:sz="0" w:space="0" w:color="auto"/>
        <w:bottom w:val="none" w:sz="0" w:space="0" w:color="auto"/>
        <w:right w:val="none" w:sz="0" w:space="0" w:color="auto"/>
      </w:divBdr>
      <w:divsChild>
        <w:div w:id="541406794">
          <w:marLeft w:val="0"/>
          <w:marRight w:val="0"/>
          <w:marTop w:val="0"/>
          <w:marBottom w:val="0"/>
          <w:divBdr>
            <w:top w:val="none" w:sz="0" w:space="0" w:color="auto"/>
            <w:left w:val="none" w:sz="0" w:space="0" w:color="auto"/>
            <w:bottom w:val="none" w:sz="0" w:space="0" w:color="auto"/>
            <w:right w:val="none" w:sz="0" w:space="0" w:color="auto"/>
          </w:divBdr>
        </w:div>
        <w:div w:id="1110319282">
          <w:marLeft w:val="0"/>
          <w:marRight w:val="0"/>
          <w:marTop w:val="0"/>
          <w:marBottom w:val="0"/>
          <w:divBdr>
            <w:top w:val="none" w:sz="0" w:space="0" w:color="auto"/>
            <w:left w:val="none" w:sz="0" w:space="0" w:color="auto"/>
            <w:bottom w:val="none" w:sz="0" w:space="0" w:color="auto"/>
            <w:right w:val="none" w:sz="0" w:space="0" w:color="auto"/>
          </w:divBdr>
        </w:div>
        <w:div w:id="1878813430">
          <w:marLeft w:val="0"/>
          <w:marRight w:val="0"/>
          <w:marTop w:val="0"/>
          <w:marBottom w:val="0"/>
          <w:divBdr>
            <w:top w:val="none" w:sz="0" w:space="0" w:color="auto"/>
            <w:left w:val="none" w:sz="0" w:space="0" w:color="auto"/>
            <w:bottom w:val="none" w:sz="0" w:space="0" w:color="auto"/>
            <w:right w:val="none" w:sz="0" w:space="0" w:color="auto"/>
          </w:divBdr>
        </w:div>
      </w:divsChild>
    </w:div>
    <w:div w:id="2111848453">
      <w:bodyDiv w:val="1"/>
      <w:marLeft w:val="0"/>
      <w:marRight w:val="0"/>
      <w:marTop w:val="0"/>
      <w:marBottom w:val="0"/>
      <w:divBdr>
        <w:top w:val="none" w:sz="0" w:space="0" w:color="auto"/>
        <w:left w:val="none" w:sz="0" w:space="0" w:color="auto"/>
        <w:bottom w:val="none" w:sz="0" w:space="0" w:color="auto"/>
        <w:right w:val="none" w:sz="0" w:space="0" w:color="auto"/>
      </w:divBdr>
      <w:divsChild>
        <w:div w:id="1083987870">
          <w:marLeft w:val="0"/>
          <w:marRight w:val="0"/>
          <w:marTop w:val="0"/>
          <w:marBottom w:val="0"/>
          <w:divBdr>
            <w:top w:val="none" w:sz="0" w:space="0" w:color="auto"/>
            <w:left w:val="none" w:sz="0" w:space="0" w:color="auto"/>
            <w:bottom w:val="none" w:sz="0" w:space="0" w:color="auto"/>
            <w:right w:val="none" w:sz="0" w:space="0" w:color="auto"/>
          </w:divBdr>
        </w:div>
        <w:div w:id="17173131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D3F25-8BF0-4B7F-BBB0-FF4E8FFD1475}">
  <ds:schemaRefs>
    <ds:schemaRef ds:uri="http://schemas.openxmlformats.org/officeDocument/2006/bibliography"/>
  </ds:schemaRefs>
</ds:datastoreItem>
</file>

<file path=docMetadata/LabelInfo.xml><?xml version="1.0" encoding="utf-8"?>
<clbl:labelList xmlns:clbl="http://schemas.microsoft.com/office/2020/mipLabelMetadata">
  <clbl:label id="{fec81f12-6286-4550-8911-f446fcdafa1f}" enabled="0" method="" siteId="{fec81f12-6286-4550-8911-f446fcdafa1f}" removed="1"/>
</clbl:labelList>
</file>

<file path=docProps/app.xml><?xml version="1.0" encoding="utf-8"?>
<Properties xmlns="http://schemas.openxmlformats.org/officeDocument/2006/extended-properties" xmlns:vt="http://schemas.openxmlformats.org/officeDocument/2006/docPropsVTypes">
  <Template>Normal</Template>
  <TotalTime>2564</TotalTime>
  <Pages>13</Pages>
  <Words>4285</Words>
  <Characters>24428</Characters>
  <Application>Microsoft Office Word</Application>
  <DocSecurity>0</DocSecurity>
  <Lines>203</Lines>
  <Paragraphs>57</Paragraphs>
  <ScaleCrop>false</ScaleCrop>
  <Company/>
  <LinksUpToDate>false</LinksUpToDate>
  <CharactersWithSpaces>28656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Sander Johannes Thorbjørnsen Guttorm</dc:creator>
  <cp:keywords/>
  <dc:description/>
  <cp:lastModifiedBy>Sander Johannes Thorbjørnsen Guttorm</cp:lastModifiedBy>
  <cp:revision>236</cp:revision>
  <dcterms:created xsi:type="dcterms:W3CDTF">2025-09-10T11:41:00Z</dcterms:created>
  <dcterms:modified xsi:type="dcterms:W3CDTF">2026-03-20T11:15:00Z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zotero-version="7.0.11"&gt;&lt;session id="zBpzaSnd"/&gt;&lt;style id="http://www.zotero.org/styles/analytical-chemistry-research" hasBibliography="1" bibliographyStyleHasBeenSet="1"/&gt;&lt;prefs&gt;&lt;pref name="fieldType" value="Field"/&gt;&lt;pref name="aut</vt:lpwstr>
  </property>
  <property fmtid="{D5CDD505-2E9C-101B-9397-08002B2CF9AE}" pid="3" name="ZOTERO_PREF_2">
    <vt:lpwstr>omaticJournalAbbreviations" value="true"/&gt;&lt;/prefs&gt;&lt;/data&gt;</vt:lpwstr>
  </property>
</Properties>
</file>