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42"/>
          <w:szCs w:val="42"/>
        </w:rPr>
      </w:pPr>
      <w:r w:rsidDel="00000000" w:rsidR="00000000" w:rsidRPr="00000000">
        <w:rPr>
          <w:sz w:val="42"/>
          <w:szCs w:val="42"/>
          <w:rtl w:val="0"/>
        </w:rPr>
        <w:t xml:space="preserve">Supplementary Information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sz w:val="42"/>
          <w:szCs w:val="42"/>
        </w:rPr>
      </w:pPr>
      <w:r w:rsidDel="00000000" w:rsidR="00000000" w:rsidRPr="00000000">
        <w:rPr>
          <w:sz w:val="42"/>
          <w:szCs w:val="42"/>
          <w:rtl w:val="0"/>
        </w:rPr>
        <w:t xml:space="preserve">Network-Based Integration of Metabolomics Data from Large-Scale Repositories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color w:val="000000"/>
          <w:sz w:val="18"/>
          <w:szCs w:val="1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color w:val="000000"/>
          <w:sz w:val="18"/>
          <w:szCs w:val="18"/>
        </w:rPr>
      </w:pPr>
      <w:r w:rsidDel="00000000" w:rsidR="00000000" w:rsidRPr="00000000">
        <w:rPr>
          <w:color w:val="000000"/>
          <w:sz w:val="18"/>
          <w:szCs w:val="18"/>
          <w:rtl w:val="0"/>
        </w:rPr>
        <w:t xml:space="preserve">Cecilia Wieder</w:t>
      </w:r>
      <w:r w:rsidDel="00000000" w:rsidR="00000000" w:rsidRPr="00000000">
        <w:rPr>
          <w:color w:val="000000"/>
          <w:sz w:val="18"/>
          <w:szCs w:val="18"/>
          <w:vertAlign w:val="superscript"/>
          <w:rtl w:val="0"/>
        </w:rPr>
        <w:t xml:space="preserve">1</w:t>
      </w:r>
      <w:r w:rsidDel="00000000" w:rsidR="00000000" w:rsidRPr="00000000">
        <w:rPr>
          <w:color w:val="000000"/>
          <w:sz w:val="18"/>
          <w:szCs w:val="18"/>
          <w:rtl w:val="0"/>
        </w:rPr>
        <w:t xml:space="preserve">, Eloisa Rocha Liedl</w:t>
      </w:r>
      <w:r w:rsidDel="00000000" w:rsidR="00000000" w:rsidRPr="00000000">
        <w:rPr>
          <w:color w:val="000000"/>
          <w:sz w:val="18"/>
          <w:szCs w:val="18"/>
          <w:vertAlign w:val="superscript"/>
          <w:rtl w:val="0"/>
        </w:rPr>
        <w:t xml:space="preserve">1</w:t>
      </w:r>
      <w:r w:rsidDel="00000000" w:rsidR="00000000" w:rsidRPr="00000000">
        <w:rPr>
          <w:color w:val="000000"/>
          <w:sz w:val="18"/>
          <w:szCs w:val="18"/>
          <w:rtl w:val="0"/>
        </w:rPr>
        <w:t xml:space="preserve">, Thomas Payne</w:t>
      </w:r>
      <w:r w:rsidDel="00000000" w:rsidR="00000000" w:rsidRPr="00000000">
        <w:rPr>
          <w:color w:val="000000"/>
          <w:sz w:val="18"/>
          <w:szCs w:val="18"/>
          <w:vertAlign w:val="superscript"/>
          <w:rtl w:val="0"/>
        </w:rPr>
        <w:t xml:space="preserve">2</w:t>
      </w:r>
      <w:r w:rsidDel="00000000" w:rsidR="00000000" w:rsidRPr="00000000">
        <w:rPr>
          <w:color w:val="000000"/>
          <w:sz w:val="18"/>
          <w:szCs w:val="18"/>
          <w:rtl w:val="0"/>
        </w:rPr>
        <w:t xml:space="preserve">, Ozgur Yurekten</w:t>
      </w:r>
      <w:r w:rsidDel="00000000" w:rsidR="00000000" w:rsidRPr="00000000">
        <w:rPr>
          <w:color w:val="000000"/>
          <w:sz w:val="18"/>
          <w:szCs w:val="18"/>
          <w:vertAlign w:val="superscript"/>
          <w:rtl w:val="0"/>
        </w:rPr>
        <w:t xml:space="preserve">2</w:t>
      </w:r>
      <w:r w:rsidDel="00000000" w:rsidR="00000000" w:rsidRPr="00000000">
        <w:rPr>
          <w:color w:val="000000"/>
          <w:sz w:val="18"/>
          <w:szCs w:val="18"/>
          <w:rtl w:val="0"/>
        </w:rPr>
        <w:t xml:space="preserve">, Callum Martin</w:t>
      </w:r>
      <w:r w:rsidDel="00000000" w:rsidR="00000000" w:rsidRPr="00000000">
        <w:rPr>
          <w:color w:val="000000"/>
          <w:sz w:val="18"/>
          <w:szCs w:val="18"/>
          <w:vertAlign w:val="superscript"/>
          <w:rtl w:val="0"/>
        </w:rPr>
        <w:t xml:space="preserve">2</w:t>
      </w:r>
      <w:r w:rsidDel="00000000" w:rsidR="00000000" w:rsidRPr="00000000">
        <w:rPr>
          <w:color w:val="000000"/>
          <w:sz w:val="18"/>
          <w:szCs w:val="18"/>
          <w:rtl w:val="0"/>
        </w:rPr>
        <w:t xml:space="preserve">, Felix Xavier Amaladoss</w:t>
      </w:r>
      <w:r w:rsidDel="00000000" w:rsidR="00000000" w:rsidRPr="00000000">
        <w:rPr>
          <w:color w:val="000000"/>
          <w:sz w:val="18"/>
          <w:szCs w:val="18"/>
          <w:vertAlign w:val="superscript"/>
          <w:rtl w:val="0"/>
        </w:rPr>
        <w:t xml:space="preserve">2</w:t>
      </w:r>
      <w:r w:rsidDel="00000000" w:rsidR="00000000" w:rsidRPr="00000000">
        <w:rPr>
          <w:color w:val="000000"/>
          <w:sz w:val="18"/>
          <w:szCs w:val="18"/>
          <w:rtl w:val="0"/>
        </w:rPr>
        <w:t xml:space="preserve">, Noemi Tejera Hernandez</w:t>
      </w:r>
      <w:r w:rsidDel="00000000" w:rsidR="00000000" w:rsidRPr="00000000">
        <w:rPr>
          <w:color w:val="000000"/>
          <w:sz w:val="18"/>
          <w:szCs w:val="18"/>
          <w:vertAlign w:val="superscript"/>
          <w:rtl w:val="0"/>
        </w:rPr>
        <w:t xml:space="preserve">2</w:t>
      </w:r>
      <w:r w:rsidDel="00000000" w:rsidR="00000000" w:rsidRPr="00000000">
        <w:rPr>
          <w:color w:val="000000"/>
          <w:sz w:val="18"/>
          <w:szCs w:val="18"/>
          <w:rtl w:val="0"/>
        </w:rPr>
        <w:t xml:space="preserve">, Wanchang Lin</w:t>
      </w:r>
      <w:r w:rsidDel="00000000" w:rsidR="00000000" w:rsidRPr="00000000">
        <w:rPr>
          <w:color w:val="000000"/>
          <w:sz w:val="18"/>
          <w:szCs w:val="18"/>
          <w:vertAlign w:val="superscript"/>
          <w:rtl w:val="0"/>
        </w:rPr>
        <w:t xml:space="preserve">3</w:t>
      </w:r>
      <w:r w:rsidDel="00000000" w:rsidR="00000000" w:rsidRPr="00000000">
        <w:rPr>
          <w:color w:val="000000"/>
          <w:sz w:val="18"/>
          <w:szCs w:val="18"/>
          <w:rtl w:val="0"/>
        </w:rPr>
        <w:t xml:space="preserve">, </w:t>
      </w:r>
      <w:r w:rsidDel="00000000" w:rsidR="00000000" w:rsidRPr="00000000">
        <w:rPr>
          <w:sz w:val="18"/>
          <w:szCs w:val="18"/>
          <w:rtl w:val="0"/>
        </w:rPr>
        <w:t xml:space="preserve">Yasin El Abiead</w:t>
      </w:r>
      <w:r w:rsidDel="00000000" w:rsidR="00000000" w:rsidRPr="00000000">
        <w:rPr>
          <w:sz w:val="18"/>
          <w:szCs w:val="18"/>
          <w:vertAlign w:val="superscript"/>
          <w:rtl w:val="0"/>
        </w:rPr>
        <w:t xml:space="preserve">4</w:t>
      </w:r>
      <w:r w:rsidDel="00000000" w:rsidR="00000000" w:rsidRPr="00000000">
        <w:rPr>
          <w:sz w:val="18"/>
          <w:szCs w:val="18"/>
          <w:rtl w:val="0"/>
        </w:rPr>
        <w:t xml:space="preserve">, </w:t>
      </w:r>
      <w:r w:rsidDel="00000000" w:rsidR="00000000" w:rsidRPr="00000000">
        <w:rPr>
          <w:color w:val="000000"/>
          <w:sz w:val="18"/>
          <w:szCs w:val="18"/>
          <w:rtl w:val="0"/>
        </w:rPr>
        <w:t xml:space="preserve">Pieter C Dorrestein</w:t>
      </w:r>
      <w:r w:rsidDel="00000000" w:rsidR="00000000" w:rsidRPr="00000000">
        <w:rPr>
          <w:sz w:val="18"/>
          <w:szCs w:val="18"/>
          <w:vertAlign w:val="superscript"/>
          <w:rtl w:val="0"/>
        </w:rPr>
        <w:t xml:space="preserve">5</w:t>
      </w:r>
      <w:r w:rsidDel="00000000" w:rsidR="00000000" w:rsidRPr="00000000">
        <w:rPr>
          <w:color w:val="000000"/>
          <w:sz w:val="18"/>
          <w:szCs w:val="18"/>
          <w:rtl w:val="0"/>
        </w:rPr>
        <w:t xml:space="preserve">, Claire O’Donovan</w:t>
      </w:r>
      <w:r w:rsidDel="00000000" w:rsidR="00000000" w:rsidRPr="00000000">
        <w:rPr>
          <w:color w:val="000000"/>
          <w:sz w:val="18"/>
          <w:szCs w:val="18"/>
          <w:vertAlign w:val="superscript"/>
          <w:rtl w:val="0"/>
        </w:rPr>
        <w:t xml:space="preserve">2</w:t>
      </w:r>
      <w:r w:rsidDel="00000000" w:rsidR="00000000" w:rsidRPr="00000000">
        <w:rPr>
          <w:color w:val="000000"/>
          <w:sz w:val="18"/>
          <w:szCs w:val="18"/>
          <w:rtl w:val="0"/>
        </w:rPr>
        <w:t xml:space="preserve">, Juan Antonio Vizca</w:t>
      </w:r>
      <w:r w:rsidDel="00000000" w:rsidR="00000000" w:rsidRPr="00000000">
        <w:rPr>
          <w:sz w:val="18"/>
          <w:szCs w:val="18"/>
          <w:rtl w:val="0"/>
        </w:rPr>
        <w:t xml:space="preserve">í</w:t>
      </w:r>
      <w:r w:rsidDel="00000000" w:rsidR="00000000" w:rsidRPr="00000000">
        <w:rPr>
          <w:color w:val="000000"/>
          <w:sz w:val="18"/>
          <w:szCs w:val="18"/>
          <w:rtl w:val="0"/>
        </w:rPr>
        <w:t xml:space="preserve">n</w:t>
      </w:r>
      <w:r w:rsidDel="00000000" w:rsidR="00000000" w:rsidRPr="00000000">
        <w:rPr>
          <w:sz w:val="18"/>
          <w:szCs w:val="18"/>
          <w:rtl w:val="0"/>
        </w:rPr>
        <w:t xml:space="preserve">o</w:t>
      </w:r>
      <w:r w:rsidDel="00000000" w:rsidR="00000000" w:rsidRPr="00000000">
        <w:rPr>
          <w:sz w:val="18"/>
          <w:szCs w:val="18"/>
          <w:vertAlign w:val="superscript"/>
          <w:rtl w:val="0"/>
        </w:rPr>
        <w:t xml:space="preserve">2</w:t>
      </w:r>
      <w:r w:rsidDel="00000000" w:rsidR="00000000" w:rsidRPr="00000000">
        <w:rPr>
          <w:color w:val="000000"/>
          <w:sz w:val="18"/>
          <w:szCs w:val="18"/>
          <w:rtl w:val="0"/>
        </w:rPr>
        <w:t xml:space="preserve">, Warwick Dunn</w:t>
      </w:r>
      <w:r w:rsidDel="00000000" w:rsidR="00000000" w:rsidRPr="00000000">
        <w:rPr>
          <w:color w:val="000000"/>
          <w:sz w:val="18"/>
          <w:szCs w:val="18"/>
          <w:vertAlign w:val="superscript"/>
          <w:rtl w:val="0"/>
        </w:rPr>
        <w:t xml:space="preserve">3</w:t>
      </w:r>
      <w:r w:rsidDel="00000000" w:rsidR="00000000" w:rsidRPr="00000000">
        <w:rPr>
          <w:color w:val="000000"/>
          <w:sz w:val="18"/>
          <w:szCs w:val="18"/>
          <w:rtl w:val="0"/>
        </w:rPr>
        <w:t xml:space="preserve">, Timothy Ebbels</w:t>
      </w:r>
      <w:r w:rsidDel="00000000" w:rsidR="00000000" w:rsidRPr="00000000">
        <w:rPr>
          <w:color w:val="000000"/>
          <w:sz w:val="18"/>
          <w:szCs w:val="18"/>
          <w:vertAlign w:val="superscript"/>
          <w:rtl w:val="0"/>
        </w:rPr>
        <w:t xml:space="preserve">1</w:t>
      </w:r>
      <w:r w:rsidDel="00000000" w:rsidR="00000000" w:rsidRPr="00000000">
        <w:rPr>
          <w:color w:val="000000"/>
          <w:sz w:val="18"/>
          <w:szCs w:val="18"/>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sz w:val="18"/>
          <w:szCs w:val="18"/>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240" w:lineRule="auto"/>
        <w:ind w:left="720" w:hanging="360"/>
        <w:jc w:val="left"/>
        <w:rPr>
          <w:sz w:val="18"/>
          <w:szCs w:val="18"/>
        </w:rPr>
      </w:pPr>
      <w:r w:rsidDel="00000000" w:rsidR="00000000" w:rsidRPr="00000000">
        <w:rPr>
          <w:sz w:val="18"/>
          <w:szCs w:val="18"/>
          <w:rtl w:val="0"/>
        </w:rPr>
        <w:t xml:space="preserve">Section of Bioinformatics, Division of Systems Medicine, Department of Metabolism, Digestion &amp; Reproduction, Imperial College London,  Hammersmith Hospital, Du Cane Road, London W12 0NN, UK</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240" w:lineRule="auto"/>
        <w:ind w:left="720" w:hanging="360"/>
        <w:jc w:val="left"/>
        <w:rPr>
          <w:sz w:val="18"/>
          <w:szCs w:val="18"/>
        </w:rPr>
      </w:pPr>
      <w:r w:rsidDel="00000000" w:rsidR="00000000" w:rsidRPr="00000000">
        <w:rPr>
          <w:sz w:val="18"/>
          <w:szCs w:val="18"/>
          <w:rtl w:val="0"/>
        </w:rPr>
        <w:t xml:space="preserve">European Molecular Biology Laboratory, European Bioinformatics Institute (EMBL-EBI), Wellcome Trust Genome Campus, Hinxton, Cambridge CB10 1SD, UK</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line="240" w:lineRule="auto"/>
        <w:ind w:left="720" w:hanging="360"/>
        <w:jc w:val="left"/>
        <w:rPr>
          <w:sz w:val="18"/>
          <w:szCs w:val="18"/>
        </w:rPr>
      </w:pPr>
      <w:r w:rsidDel="00000000" w:rsidR="00000000" w:rsidRPr="00000000">
        <w:rPr>
          <w:sz w:val="18"/>
          <w:szCs w:val="18"/>
          <w:rtl w:val="0"/>
        </w:rPr>
        <w:t xml:space="preserve">Centre for Metabolomics Research, Department of Biochemistry, Cell and Systems Biology, Institute of Systems, Molecular and Integrative Biology, University of Liverpool, Liverpool, L69 7ZB, UK</w:t>
      </w:r>
    </w:p>
    <w:p w:rsidR="00000000" w:rsidDel="00000000" w:rsidP="00000000" w:rsidRDefault="00000000" w:rsidRPr="00000000" w14:paraId="0000000A">
      <w:pPr>
        <w:numPr>
          <w:ilvl w:val="0"/>
          <w:numId w:val="1"/>
        </w:numPr>
        <w:spacing w:after="60" w:before="60" w:line="240" w:lineRule="auto"/>
        <w:ind w:left="720" w:hanging="360"/>
        <w:jc w:val="left"/>
        <w:rPr>
          <w:sz w:val="18"/>
          <w:szCs w:val="18"/>
        </w:rPr>
      </w:pPr>
      <w:r w:rsidDel="00000000" w:rsidR="00000000" w:rsidRPr="00000000">
        <w:rPr>
          <w:color w:val="1d1c1d"/>
          <w:sz w:val="18"/>
          <w:szCs w:val="18"/>
          <w:rtl w:val="0"/>
        </w:rPr>
        <w:t xml:space="preserve">BOKU University, Institute of Analytical Chemistry, Department of Natural Sciences and Sustainable Resources</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240" w:lineRule="auto"/>
        <w:ind w:left="720" w:hanging="360"/>
        <w:jc w:val="left"/>
        <w:rPr>
          <w:sz w:val="18"/>
          <w:szCs w:val="18"/>
        </w:rPr>
      </w:pPr>
      <w:r w:rsidDel="00000000" w:rsidR="00000000" w:rsidRPr="00000000">
        <w:rPr>
          <w:sz w:val="18"/>
          <w:szCs w:val="18"/>
          <w:rtl w:val="0"/>
        </w:rPr>
        <w:t xml:space="preserve">Skaggs School of Pharmacy and Pharmaceutical Sciences, University of California, San Diego, La Jolla, CA 92093</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left"/>
        <w:rPr>
          <w:sz w:val="18"/>
          <w:szCs w:val="18"/>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left"/>
        <w:rPr>
          <w:sz w:val="18"/>
          <w:szCs w:val="18"/>
        </w:rPr>
      </w:pPr>
      <w:r w:rsidDel="00000000" w:rsidR="00000000" w:rsidRPr="00000000">
        <w:rPr>
          <w:sz w:val="18"/>
          <w:szCs w:val="18"/>
          <w:rtl w:val="0"/>
        </w:rPr>
        <w:t xml:space="preserve">*Corresponding author: </w:t>
      </w:r>
      <w:hyperlink r:id="rId7">
        <w:r w:rsidDel="00000000" w:rsidR="00000000" w:rsidRPr="00000000">
          <w:rPr>
            <w:color w:val="1155cc"/>
            <w:sz w:val="18"/>
            <w:szCs w:val="18"/>
            <w:u w:val="single"/>
            <w:rtl w:val="0"/>
          </w:rPr>
          <w:t xml:space="preserve">t.ebbels@imperial.ac.uk</w:t>
        </w:r>
      </w:hyperlink>
      <w:r w:rsidDel="00000000" w:rsidR="00000000" w:rsidRPr="00000000">
        <w:rPr>
          <w:sz w:val="18"/>
          <w:szCs w:val="18"/>
          <w:rtl w:val="0"/>
        </w:rPr>
        <w:t xml:space="preserve"> </w:t>
      </w:r>
    </w:p>
    <w:p w:rsidR="00000000" w:rsidDel="00000000" w:rsidP="00000000" w:rsidRDefault="00000000" w:rsidRPr="00000000" w14:paraId="0000000E">
      <w:pPr>
        <w:rPr>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F">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Table S1: Studies from Metabolomics Workbench used to construct the cross-phenotype metabolite-level meta network of Figure 4. </w:t>
      </w:r>
    </w:p>
    <w:tbl>
      <w:tblPr>
        <w:tblStyle w:val="Table1"/>
        <w:tblW w:w="84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2232"/>
        <w:gridCol w:w="1596"/>
        <w:gridCol w:w="1144"/>
        <w:gridCol w:w="1536"/>
        <w:tblGridChange w:id="0">
          <w:tblGrid>
            <w:gridCol w:w="1980"/>
            <w:gridCol w:w="2232"/>
            <w:gridCol w:w="1596"/>
            <w:gridCol w:w="1144"/>
            <w:gridCol w:w="1536"/>
          </w:tblGrid>
        </w:tblGridChange>
      </w:tblGrid>
      <w:tr>
        <w:trPr>
          <w:cantSplit w:val="0"/>
          <w:tblHeader w:val="0"/>
        </w:trPr>
        <w:tc>
          <w:tcPr/>
          <w:p w:rsidR="00000000" w:rsidDel="00000000" w:rsidP="00000000" w:rsidRDefault="00000000" w:rsidRPr="00000000" w14:paraId="00000011">
            <w:pPr>
              <w:rPr/>
            </w:pPr>
            <w:r w:rsidDel="00000000" w:rsidR="00000000" w:rsidRPr="00000000">
              <w:rPr>
                <w:rtl w:val="0"/>
              </w:rPr>
              <w:t xml:space="preserve">Metabolomics Workbench study ID (publication)*</w:t>
            </w:r>
          </w:p>
        </w:tc>
        <w:tc>
          <w:tcPr/>
          <w:p w:rsidR="00000000" w:rsidDel="00000000" w:rsidP="00000000" w:rsidRDefault="00000000" w:rsidRPr="00000000" w14:paraId="00000012">
            <w:pPr>
              <w:rPr/>
            </w:pPr>
            <w:r w:rsidDel="00000000" w:rsidR="00000000" w:rsidRPr="00000000">
              <w:rPr>
                <w:rtl w:val="0"/>
              </w:rPr>
              <w:t xml:space="preserve">Disease/outcome</w:t>
            </w:r>
          </w:p>
        </w:tc>
        <w:tc>
          <w:tcPr/>
          <w:p w:rsidR="00000000" w:rsidDel="00000000" w:rsidP="00000000" w:rsidRDefault="00000000" w:rsidRPr="00000000" w14:paraId="00000013">
            <w:pPr>
              <w:rPr/>
            </w:pPr>
            <w:r w:rsidDel="00000000" w:rsidR="00000000" w:rsidRPr="00000000">
              <w:rPr>
                <w:rtl w:val="0"/>
              </w:rPr>
              <w:t xml:space="preserve">Assay</w:t>
            </w:r>
          </w:p>
        </w:tc>
        <w:tc>
          <w:tcPr/>
          <w:p w:rsidR="00000000" w:rsidDel="00000000" w:rsidP="00000000" w:rsidRDefault="00000000" w:rsidRPr="00000000" w14:paraId="00000014">
            <w:pPr>
              <w:rPr/>
            </w:pPr>
            <w:r w:rsidDel="00000000" w:rsidR="00000000" w:rsidRPr="00000000">
              <w:rPr>
                <w:rtl w:val="0"/>
              </w:rPr>
              <w:t xml:space="preserve">Sample size</w:t>
            </w:r>
          </w:p>
        </w:tc>
        <w:tc>
          <w:tcPr/>
          <w:p w:rsidR="00000000" w:rsidDel="00000000" w:rsidP="00000000" w:rsidRDefault="00000000" w:rsidRPr="00000000" w14:paraId="00000015">
            <w:pPr>
              <w:rPr/>
            </w:pPr>
            <w:r w:rsidDel="00000000" w:rsidR="00000000" w:rsidRPr="00000000">
              <w:rPr>
                <w:rtl w:val="0"/>
              </w:rPr>
              <w:t xml:space="preserve">Number of REFMET annotations</w:t>
            </w:r>
          </w:p>
        </w:tc>
      </w:tr>
      <w:tr>
        <w:trPr>
          <w:cantSplit w:val="0"/>
          <w:tblHeader w:val="0"/>
        </w:trPr>
        <w:tc>
          <w:tcPr/>
          <w:p w:rsidR="00000000" w:rsidDel="00000000" w:rsidP="00000000" w:rsidRDefault="00000000" w:rsidRPr="00000000" w14:paraId="00000016">
            <w:pPr>
              <w:rPr/>
            </w:pPr>
            <w:r w:rsidDel="00000000" w:rsidR="00000000" w:rsidRPr="00000000">
              <w:rPr>
                <w:rtl w:val="0"/>
              </w:rPr>
              <w:t xml:space="preserve">ST002016 (N/A)</w:t>
            </w:r>
          </w:p>
        </w:tc>
        <w:tc>
          <w:tcPr/>
          <w:p w:rsidR="00000000" w:rsidDel="00000000" w:rsidP="00000000" w:rsidRDefault="00000000" w:rsidRPr="00000000" w14:paraId="00000017">
            <w:pPr>
              <w:rPr/>
            </w:pPr>
            <w:r w:rsidDel="00000000" w:rsidR="00000000" w:rsidRPr="00000000">
              <w:rPr>
                <w:rtl w:val="0"/>
              </w:rPr>
              <w:t xml:space="preserve">COVID</w:t>
            </w:r>
          </w:p>
        </w:tc>
        <w:tc>
          <w:tcPr/>
          <w:p w:rsidR="00000000" w:rsidDel="00000000" w:rsidP="00000000" w:rsidRDefault="00000000" w:rsidRPr="00000000" w14:paraId="00000018">
            <w:pPr>
              <w:rPr/>
            </w:pPr>
            <w:r w:rsidDel="00000000" w:rsidR="00000000" w:rsidRPr="00000000">
              <w:rPr>
                <w:rtl w:val="0"/>
              </w:rPr>
              <w:t xml:space="preserve">MS, RP+, RP-</w:t>
            </w:r>
          </w:p>
        </w:tc>
        <w:tc>
          <w:tcPr/>
          <w:p w:rsidR="00000000" w:rsidDel="00000000" w:rsidP="00000000" w:rsidRDefault="00000000" w:rsidRPr="00000000" w14:paraId="00000019">
            <w:pPr>
              <w:rPr/>
            </w:pPr>
            <w:r w:rsidDel="00000000" w:rsidR="00000000" w:rsidRPr="00000000">
              <w:rPr>
                <w:rtl w:val="0"/>
              </w:rPr>
              <w:t xml:space="preserve">95</w:t>
            </w:r>
          </w:p>
        </w:tc>
        <w:tc>
          <w:tcPr/>
          <w:p w:rsidR="00000000" w:rsidDel="00000000" w:rsidP="00000000" w:rsidRDefault="00000000" w:rsidRPr="00000000" w14:paraId="0000001A">
            <w:pPr>
              <w:rPr/>
            </w:pPr>
            <w:r w:rsidDel="00000000" w:rsidR="00000000" w:rsidRPr="00000000">
              <w:rPr>
                <w:rtl w:val="0"/>
              </w:rPr>
              <w:t xml:space="preserve">424</w:t>
            </w:r>
          </w:p>
        </w:tc>
      </w:tr>
      <w:tr>
        <w:trPr>
          <w:cantSplit w:val="0"/>
          <w:tblHeader w:val="0"/>
        </w:trPr>
        <w:tc>
          <w:tcPr/>
          <w:p w:rsidR="00000000" w:rsidDel="00000000" w:rsidP="00000000" w:rsidRDefault="00000000" w:rsidRPr="00000000" w14:paraId="0000001B">
            <w:pPr>
              <w:rPr/>
            </w:pPr>
            <w:r w:rsidDel="00000000" w:rsidR="00000000" w:rsidRPr="00000000">
              <w:rPr>
                <w:rtl w:val="0"/>
              </w:rPr>
              <w:t xml:space="preserve">ST002301 (N/A)</w:t>
            </w:r>
          </w:p>
        </w:tc>
        <w:tc>
          <w:tcPr/>
          <w:p w:rsidR="00000000" w:rsidDel="00000000" w:rsidP="00000000" w:rsidRDefault="00000000" w:rsidRPr="00000000" w14:paraId="0000001C">
            <w:pPr>
              <w:tabs>
                <w:tab w:val="left" w:leader="none" w:pos="676"/>
              </w:tabs>
              <w:rPr/>
            </w:pPr>
            <w:r w:rsidDel="00000000" w:rsidR="00000000" w:rsidRPr="00000000">
              <w:rPr>
                <w:rtl w:val="0"/>
              </w:rPr>
              <w:t xml:space="preserve">COVID</w:t>
            </w:r>
          </w:p>
        </w:tc>
        <w:tc>
          <w:tcPr/>
          <w:p w:rsidR="00000000" w:rsidDel="00000000" w:rsidP="00000000" w:rsidRDefault="00000000" w:rsidRPr="00000000" w14:paraId="0000001D">
            <w:pPr>
              <w:rPr/>
            </w:pPr>
            <w:r w:rsidDel="00000000" w:rsidR="00000000" w:rsidRPr="00000000">
              <w:rPr>
                <w:rtl w:val="0"/>
              </w:rPr>
              <w:t xml:space="preserve">MS, RP+</w:t>
            </w:r>
          </w:p>
        </w:tc>
        <w:tc>
          <w:tcPr/>
          <w:p w:rsidR="00000000" w:rsidDel="00000000" w:rsidP="00000000" w:rsidRDefault="00000000" w:rsidRPr="00000000" w14:paraId="0000001E">
            <w:pPr>
              <w:rPr/>
            </w:pPr>
            <w:r w:rsidDel="00000000" w:rsidR="00000000" w:rsidRPr="00000000">
              <w:rPr>
                <w:rtl w:val="0"/>
              </w:rPr>
              <w:t xml:space="preserve">149</w:t>
            </w:r>
          </w:p>
        </w:tc>
        <w:tc>
          <w:tcPr/>
          <w:p w:rsidR="00000000" w:rsidDel="00000000" w:rsidP="00000000" w:rsidRDefault="00000000" w:rsidRPr="00000000" w14:paraId="0000001F">
            <w:pPr>
              <w:rPr/>
            </w:pPr>
            <w:r w:rsidDel="00000000" w:rsidR="00000000" w:rsidRPr="00000000">
              <w:rPr>
                <w:rtl w:val="0"/>
              </w:rPr>
              <w:t xml:space="preserve">93</w:t>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ST000284 (Zhu</w:t>
            </w:r>
            <w:r w:rsidDel="00000000" w:rsidR="00000000" w:rsidRPr="00000000">
              <w:rPr>
                <w:i w:val="1"/>
                <w:iCs w:val="1"/>
                <w:rtl w:val="0"/>
              </w:rPr>
              <w:t xml:space="preserve"> et al.</w:t>
            </w:r>
            <w:r w:rsidDel="00000000" w:rsidR="00000000" w:rsidRPr="00000000">
              <w:rPr>
                <w:rtl w:val="0"/>
              </w:rPr>
              <w:t xml:space="preserve">, 2014)</w:t>
            </w:r>
          </w:p>
        </w:tc>
        <w:tc>
          <w:tcPr/>
          <w:p w:rsidR="00000000" w:rsidDel="00000000" w:rsidP="00000000" w:rsidRDefault="00000000" w:rsidRPr="00000000" w14:paraId="00000021">
            <w:pPr>
              <w:rPr/>
            </w:pPr>
            <w:r w:rsidDel="00000000" w:rsidR="00000000" w:rsidRPr="00000000">
              <w:rPr>
                <w:rtl w:val="0"/>
              </w:rPr>
              <w:t xml:space="preserve">Colorectal cancer</w:t>
            </w:r>
          </w:p>
        </w:tc>
        <w:tc>
          <w:tcPr/>
          <w:p w:rsidR="00000000" w:rsidDel="00000000" w:rsidP="00000000" w:rsidRDefault="00000000" w:rsidRPr="00000000" w14:paraId="00000022">
            <w:pPr>
              <w:rPr/>
            </w:pPr>
            <w:r w:rsidDel="00000000" w:rsidR="00000000" w:rsidRPr="00000000">
              <w:rPr>
                <w:rtl w:val="0"/>
              </w:rPr>
              <w:t xml:space="preserve">TQ MS</w:t>
            </w:r>
          </w:p>
        </w:tc>
        <w:tc>
          <w:tcPr/>
          <w:p w:rsidR="00000000" w:rsidDel="00000000" w:rsidP="00000000" w:rsidRDefault="00000000" w:rsidRPr="00000000" w14:paraId="00000023">
            <w:pPr>
              <w:rPr/>
            </w:pPr>
            <w:r w:rsidDel="00000000" w:rsidR="00000000" w:rsidRPr="00000000">
              <w:rPr>
                <w:rtl w:val="0"/>
              </w:rPr>
              <w:t xml:space="preserve">147</w:t>
            </w:r>
          </w:p>
        </w:tc>
        <w:tc>
          <w:tcPr/>
          <w:p w:rsidR="00000000" w:rsidDel="00000000" w:rsidP="00000000" w:rsidRDefault="00000000" w:rsidRPr="00000000" w14:paraId="00000024">
            <w:pPr>
              <w:rPr/>
            </w:pPr>
            <w:r w:rsidDel="00000000" w:rsidR="00000000" w:rsidRPr="00000000">
              <w:rPr>
                <w:rtl w:val="0"/>
              </w:rPr>
              <w:t xml:space="preserve">103</w:t>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ST002428 (N/A)</w:t>
            </w:r>
          </w:p>
        </w:tc>
        <w:tc>
          <w:tcPr/>
          <w:p w:rsidR="00000000" w:rsidDel="00000000" w:rsidP="00000000" w:rsidRDefault="00000000" w:rsidRPr="00000000" w14:paraId="00000026">
            <w:pPr>
              <w:rPr/>
            </w:pPr>
            <w:r w:rsidDel="00000000" w:rsidR="00000000" w:rsidRPr="00000000">
              <w:rPr>
                <w:rtl w:val="0"/>
              </w:rPr>
              <w:t xml:space="preserve">Tuberculosis</w:t>
            </w:r>
          </w:p>
        </w:tc>
        <w:tc>
          <w:tcPr/>
          <w:p w:rsidR="00000000" w:rsidDel="00000000" w:rsidP="00000000" w:rsidRDefault="00000000" w:rsidRPr="00000000" w14:paraId="00000027">
            <w:pPr>
              <w:rPr/>
            </w:pPr>
            <w:r w:rsidDel="00000000" w:rsidR="00000000" w:rsidRPr="00000000">
              <w:rPr>
                <w:rtl w:val="0"/>
              </w:rPr>
              <w:t xml:space="preserve">MS RP+, MS RP-</w:t>
            </w:r>
          </w:p>
        </w:tc>
        <w:tc>
          <w:tcPr/>
          <w:p w:rsidR="00000000" w:rsidDel="00000000" w:rsidP="00000000" w:rsidRDefault="00000000" w:rsidRPr="00000000" w14:paraId="00000028">
            <w:pPr>
              <w:rPr/>
            </w:pPr>
            <w:r w:rsidDel="00000000" w:rsidR="00000000" w:rsidRPr="00000000">
              <w:rPr>
                <w:rtl w:val="0"/>
              </w:rPr>
              <w:t xml:space="preserve">43</w:t>
            </w:r>
          </w:p>
        </w:tc>
        <w:tc>
          <w:tcPr/>
          <w:p w:rsidR="00000000" w:rsidDel="00000000" w:rsidP="00000000" w:rsidRDefault="00000000" w:rsidRPr="00000000" w14:paraId="00000029">
            <w:pPr>
              <w:rPr/>
            </w:pPr>
            <w:r w:rsidDel="00000000" w:rsidR="00000000" w:rsidRPr="00000000">
              <w:rPr>
                <w:rtl w:val="0"/>
              </w:rPr>
              <w:t xml:space="preserve">70</w:t>
            </w:r>
          </w:p>
        </w:tc>
      </w:tr>
      <w:tr>
        <w:trPr>
          <w:cantSplit w:val="0"/>
          <w:tblHeader w:val="0"/>
        </w:trPr>
        <w:tc>
          <w:tcPr/>
          <w:p w:rsidR="00000000" w:rsidDel="00000000" w:rsidP="00000000" w:rsidRDefault="00000000" w:rsidRPr="00000000" w14:paraId="0000002A">
            <w:pPr>
              <w:rPr/>
            </w:pPr>
            <w:r w:rsidDel="00000000" w:rsidR="00000000" w:rsidRPr="00000000">
              <w:rPr>
                <w:rtl w:val="0"/>
              </w:rPr>
              <w:t xml:space="preserve">ST002100 (N/A)</w:t>
            </w:r>
          </w:p>
        </w:tc>
        <w:tc>
          <w:tcPr/>
          <w:p w:rsidR="00000000" w:rsidDel="00000000" w:rsidP="00000000" w:rsidRDefault="00000000" w:rsidRPr="00000000" w14:paraId="0000002B">
            <w:pPr>
              <w:tabs>
                <w:tab w:val="left" w:leader="none" w:pos="701"/>
              </w:tabs>
              <w:rPr/>
            </w:pPr>
            <w:r w:rsidDel="00000000" w:rsidR="00000000" w:rsidRPr="00000000">
              <w:rPr>
                <w:rtl w:val="0"/>
              </w:rPr>
              <w:t xml:space="preserve">Hepatitis</w:t>
            </w:r>
          </w:p>
        </w:tc>
        <w:tc>
          <w:tcPr/>
          <w:p w:rsidR="00000000" w:rsidDel="00000000" w:rsidP="00000000" w:rsidRDefault="00000000" w:rsidRPr="00000000" w14:paraId="0000002C">
            <w:pPr>
              <w:rPr/>
            </w:pPr>
            <w:r w:rsidDel="00000000" w:rsidR="00000000" w:rsidRPr="00000000">
              <w:rPr>
                <w:rtl w:val="0"/>
              </w:rPr>
              <w:t xml:space="preserve">MS RP+, MS RP-</w:t>
            </w:r>
          </w:p>
        </w:tc>
        <w:tc>
          <w:tcPr/>
          <w:p w:rsidR="00000000" w:rsidDel="00000000" w:rsidP="00000000" w:rsidRDefault="00000000" w:rsidRPr="00000000" w14:paraId="0000002D">
            <w:pPr>
              <w:rPr/>
            </w:pPr>
            <w:r w:rsidDel="00000000" w:rsidR="00000000" w:rsidRPr="00000000">
              <w:rPr>
                <w:rtl w:val="0"/>
              </w:rPr>
              <w:t xml:space="preserve">36</w:t>
            </w:r>
          </w:p>
        </w:tc>
        <w:tc>
          <w:tcPr/>
          <w:p w:rsidR="00000000" w:rsidDel="00000000" w:rsidP="00000000" w:rsidRDefault="00000000" w:rsidRPr="00000000" w14:paraId="0000002E">
            <w:pPr>
              <w:rPr/>
            </w:pPr>
            <w:r w:rsidDel="00000000" w:rsidR="00000000" w:rsidRPr="00000000">
              <w:rPr>
                <w:rtl w:val="0"/>
              </w:rPr>
              <w:t xml:space="preserve">68</w:t>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ST001412 (N/A)</w:t>
            </w:r>
          </w:p>
        </w:tc>
        <w:tc>
          <w:tcPr/>
          <w:p w:rsidR="00000000" w:rsidDel="00000000" w:rsidP="00000000" w:rsidRDefault="00000000" w:rsidRPr="00000000" w14:paraId="00000030">
            <w:pPr>
              <w:rPr/>
            </w:pPr>
            <w:r w:rsidDel="00000000" w:rsidR="00000000" w:rsidRPr="00000000">
              <w:rPr>
                <w:rtl w:val="0"/>
              </w:rPr>
              <w:t xml:space="preserve">Obesity</w:t>
            </w:r>
          </w:p>
        </w:tc>
        <w:tc>
          <w:tcPr/>
          <w:p w:rsidR="00000000" w:rsidDel="00000000" w:rsidP="00000000" w:rsidRDefault="00000000" w:rsidRPr="00000000" w14:paraId="00000031">
            <w:pPr>
              <w:rPr/>
            </w:pPr>
            <w:r w:rsidDel="00000000" w:rsidR="00000000" w:rsidRPr="00000000">
              <w:rPr>
                <w:rtl w:val="0"/>
              </w:rPr>
              <w:t xml:space="preserve">MS RP+</w:t>
            </w:r>
          </w:p>
        </w:tc>
        <w:tc>
          <w:tcPr/>
          <w:p w:rsidR="00000000" w:rsidDel="00000000" w:rsidP="00000000" w:rsidRDefault="00000000" w:rsidRPr="00000000" w14:paraId="00000032">
            <w:pPr>
              <w:rPr/>
            </w:pPr>
            <w:r w:rsidDel="00000000" w:rsidR="00000000" w:rsidRPr="00000000">
              <w:rPr>
                <w:rtl w:val="0"/>
              </w:rPr>
              <w:t xml:space="preserve">86</w:t>
            </w:r>
          </w:p>
        </w:tc>
        <w:tc>
          <w:tcPr/>
          <w:p w:rsidR="00000000" w:rsidDel="00000000" w:rsidP="00000000" w:rsidRDefault="00000000" w:rsidRPr="00000000" w14:paraId="00000033">
            <w:pPr>
              <w:rPr/>
            </w:pPr>
            <w:r w:rsidDel="00000000" w:rsidR="00000000" w:rsidRPr="00000000">
              <w:rPr>
                <w:rtl w:val="0"/>
              </w:rPr>
              <w:t xml:space="preserve">668</w:t>
            </w:r>
          </w:p>
        </w:tc>
      </w:tr>
      <w:tr>
        <w:trPr>
          <w:cantSplit w:val="0"/>
          <w:tblHeader w:val="0"/>
        </w:trPr>
        <w:tc>
          <w:tcPr/>
          <w:p w:rsidR="00000000" w:rsidDel="00000000" w:rsidP="00000000" w:rsidRDefault="00000000" w:rsidRPr="00000000" w14:paraId="00000034">
            <w:pPr>
              <w:rPr/>
            </w:pPr>
            <w:r w:rsidDel="00000000" w:rsidR="00000000" w:rsidRPr="00000000">
              <w:rPr>
                <w:rtl w:val="0"/>
              </w:rPr>
              <w:t xml:space="preserve">ST001789 (N/A)</w:t>
            </w:r>
          </w:p>
        </w:tc>
        <w:tc>
          <w:tcPr/>
          <w:p w:rsidR="00000000" w:rsidDel="00000000" w:rsidP="00000000" w:rsidRDefault="00000000" w:rsidRPr="00000000" w14:paraId="00000035">
            <w:pPr>
              <w:rPr/>
            </w:pPr>
            <w:r w:rsidDel="00000000" w:rsidR="00000000" w:rsidRPr="00000000">
              <w:rPr>
                <w:rtl w:val="0"/>
              </w:rPr>
              <w:t xml:space="preserve">Response to exercise</w:t>
            </w:r>
          </w:p>
        </w:tc>
        <w:tc>
          <w:tcPr/>
          <w:p w:rsidR="00000000" w:rsidDel="00000000" w:rsidP="00000000" w:rsidRDefault="00000000" w:rsidRPr="00000000" w14:paraId="00000036">
            <w:pPr>
              <w:rPr/>
            </w:pPr>
            <w:r w:rsidDel="00000000" w:rsidR="00000000" w:rsidRPr="00000000">
              <w:rPr>
                <w:rtl w:val="0"/>
              </w:rPr>
              <w:t xml:space="preserve">MS HILIC, MS RP</w:t>
            </w:r>
          </w:p>
        </w:tc>
        <w:tc>
          <w:tcPr/>
          <w:p w:rsidR="00000000" w:rsidDel="00000000" w:rsidP="00000000" w:rsidRDefault="00000000" w:rsidRPr="00000000" w14:paraId="00000037">
            <w:pPr>
              <w:rPr/>
            </w:pPr>
            <w:r w:rsidDel="00000000" w:rsidR="00000000" w:rsidRPr="00000000">
              <w:rPr>
                <w:rtl w:val="0"/>
              </w:rPr>
              <w:t xml:space="preserve">37</w:t>
            </w:r>
          </w:p>
        </w:tc>
        <w:tc>
          <w:tcPr/>
          <w:p w:rsidR="00000000" w:rsidDel="00000000" w:rsidP="00000000" w:rsidRDefault="00000000" w:rsidRPr="00000000" w14:paraId="00000038">
            <w:pPr>
              <w:rPr/>
            </w:pPr>
            <w:r w:rsidDel="00000000" w:rsidR="00000000" w:rsidRPr="00000000">
              <w:rPr>
                <w:rtl w:val="0"/>
              </w:rPr>
              <w:t xml:space="preserve">439</w:t>
            </w:r>
          </w:p>
        </w:tc>
      </w:tr>
      <w:tr>
        <w:trPr>
          <w:cantSplit w:val="0"/>
          <w:tblHeader w:val="0"/>
        </w:trPr>
        <w:tc>
          <w:tcPr/>
          <w:p w:rsidR="00000000" w:rsidDel="00000000" w:rsidP="00000000" w:rsidRDefault="00000000" w:rsidRPr="00000000" w14:paraId="00000039">
            <w:pPr>
              <w:rPr/>
            </w:pPr>
            <w:r w:rsidDel="00000000" w:rsidR="00000000" w:rsidRPr="00000000">
              <w:rPr>
                <w:rtl w:val="0"/>
              </w:rPr>
              <w:t xml:space="preserve">ST001420 (N/A)</w:t>
            </w:r>
          </w:p>
        </w:tc>
        <w:tc>
          <w:tcPr/>
          <w:p w:rsidR="00000000" w:rsidDel="00000000" w:rsidP="00000000" w:rsidRDefault="00000000" w:rsidRPr="00000000" w14:paraId="0000003A">
            <w:pPr>
              <w:rPr/>
            </w:pPr>
            <w:r w:rsidDel="00000000" w:rsidR="00000000" w:rsidRPr="00000000">
              <w:rPr>
                <w:rtl w:val="0"/>
              </w:rPr>
              <w:t xml:space="preserve">Angina</w:t>
            </w:r>
          </w:p>
        </w:tc>
        <w:tc>
          <w:tcPr/>
          <w:p w:rsidR="00000000" w:rsidDel="00000000" w:rsidP="00000000" w:rsidRDefault="00000000" w:rsidRPr="00000000" w14:paraId="0000003B">
            <w:pPr>
              <w:rPr/>
            </w:pPr>
            <w:r w:rsidDel="00000000" w:rsidR="00000000" w:rsidRPr="00000000">
              <w:rPr>
                <w:rtl w:val="0"/>
              </w:rPr>
              <w:t xml:space="preserve">TQ MS</w:t>
            </w:r>
          </w:p>
        </w:tc>
        <w:tc>
          <w:tcPr/>
          <w:p w:rsidR="00000000" w:rsidDel="00000000" w:rsidP="00000000" w:rsidRDefault="00000000" w:rsidRPr="00000000" w14:paraId="0000003C">
            <w:pPr>
              <w:rPr/>
            </w:pPr>
            <w:r w:rsidDel="00000000" w:rsidR="00000000" w:rsidRPr="00000000">
              <w:rPr>
                <w:rtl w:val="0"/>
              </w:rPr>
              <w:t xml:space="preserve">747</w:t>
            </w:r>
          </w:p>
        </w:tc>
        <w:tc>
          <w:tcPr/>
          <w:p w:rsidR="00000000" w:rsidDel="00000000" w:rsidP="00000000" w:rsidRDefault="00000000" w:rsidRPr="00000000" w14:paraId="0000003D">
            <w:pPr>
              <w:rPr/>
            </w:pPr>
            <w:r w:rsidDel="00000000" w:rsidR="00000000" w:rsidRPr="00000000">
              <w:rPr>
                <w:rtl w:val="0"/>
              </w:rPr>
              <w:t xml:space="preserve">391</w:t>
            </w:r>
          </w:p>
        </w:tc>
      </w:tr>
    </w:tbl>
    <w:p w:rsidR="00000000" w:rsidDel="00000000" w:rsidP="00000000" w:rsidRDefault="00000000" w:rsidRPr="00000000" w14:paraId="0000003E">
      <w:pPr>
        <w:rPr/>
      </w:pPr>
      <w:r w:rsidDel="00000000" w:rsidR="00000000" w:rsidRPr="00000000">
        <w:rPr>
          <w:rtl w:val="0"/>
        </w:rPr>
        <w:t xml:space="preserve">* Publication linked to dataset in Metabolomics Workbench, N/A if not available.</w:t>
      </w:r>
    </w:p>
    <w:p w:rsidR="00000000" w:rsidDel="00000000" w:rsidP="00000000" w:rsidRDefault="00000000" w:rsidRPr="00000000" w14:paraId="0000003F">
      <w:pPr>
        <w:rPr/>
      </w:pPr>
      <w:r w:rsidDel="00000000" w:rsidR="00000000" w:rsidRPr="00000000">
        <w:br w:type="page"/>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b w:val="1"/>
          <w:bCs w:val="1"/>
          <w:rtl w:val="0"/>
        </w:rPr>
        <w:t xml:space="preserve">Figure S1: </w:t>
      </w:r>
      <w:r w:rsidDel="00000000" w:rsidR="00000000" w:rsidRPr="00000000">
        <w:rPr>
          <w:rtl w:val="0"/>
        </w:rPr>
        <w:t xml:space="preserve">Comparison of metabolite-level meta network results with two additional studies (MTBLS6739 using original annotations and MTBLS3852 enhanced with LAMP annotation). Boxplots show t-statistics of metabolites that co-occur in at least 3 studies, representing the magnitude and direction of differential abundance. Red dots indicate metabolites present in validation studies.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4390</wp:posOffset>
            </wp:positionH>
            <wp:positionV relativeFrom="paragraph">
              <wp:posOffset>842</wp:posOffset>
            </wp:positionV>
            <wp:extent cx="5396230" cy="4669790"/>
            <wp:effectExtent b="0" l="0" r="0" t="0"/>
            <wp:wrapTopAndBottom distB="0" distT="0"/>
            <wp:docPr descr="A screenshot of a graph&#10;&#10;Description automatically generated" id="2136577256" name="image2.png"/>
            <a:graphic>
              <a:graphicData uri="http://schemas.openxmlformats.org/drawingml/2006/picture">
                <pic:pic>
                  <pic:nvPicPr>
                    <pic:cNvPr descr="A screenshot of a graph&#10;&#10;Description automatically generated" id="0" name="image2.png"/>
                    <pic:cNvPicPr preferRelativeResize="0"/>
                  </pic:nvPicPr>
                  <pic:blipFill>
                    <a:blip r:embed="rId8"/>
                    <a:srcRect b="0" l="0" r="0" t="0"/>
                    <a:stretch>
                      <a:fillRect/>
                    </a:stretch>
                  </pic:blipFill>
                  <pic:spPr>
                    <a:xfrm>
                      <a:off x="0" y="0"/>
                      <a:ext cx="5396230" cy="4669790"/>
                    </a:xfrm>
                    <a:prstGeom prst="rect"/>
                    <a:ln/>
                  </pic:spPr>
                </pic:pic>
              </a:graphicData>
            </a:graphic>
          </wp:anchor>
        </w:drawing>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drawing>
          <wp:inline distB="114300" distT="114300" distL="114300" distR="114300">
            <wp:extent cx="5399730" cy="4140200"/>
            <wp:effectExtent b="0" l="0" r="0" t="0"/>
            <wp:docPr id="213657725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39973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240" w:before="240" w:lineRule="auto"/>
        <w:rPr/>
      </w:pPr>
      <w:r w:rsidDel="00000000" w:rsidR="00000000" w:rsidRPr="00000000">
        <w:rPr>
          <w:b w:val="1"/>
          <w:bCs w:val="1"/>
          <w:rtl w:val="0"/>
        </w:rPr>
        <w:t xml:space="preserve">Figure S2: Workflow of the metabolomics data analysis app.</w:t>
      </w:r>
      <w:r w:rsidDel="00000000" w:rsidR="00000000" w:rsidRPr="00000000">
        <w:rPr>
          <w:rtl w:val="0"/>
        </w:rPr>
        <w:t xml:space="preserve"> Metabolomic datasets are uploaded from public repositories (MetaboLights, Metabolomics Workbench) or provided by the user. The data are then processed using configurable methods for missing value imputation, transformation, and standardisation. The application supports both single-study analyses and comparative multi-study analyses, generating differential metabolite and pathway results, as well as network-based visualisations. All outputs can be exported as publication-ready plots (PNG/SVG) or as raw results tables (CSV). The app is available at </w:t>
      </w:r>
      <w:hyperlink r:id="rId10">
        <w:r w:rsidDel="00000000" w:rsidR="00000000" w:rsidRPr="00000000">
          <w:rPr>
            <w:color w:val="1155cc"/>
            <w:u w:val="single"/>
            <w:rtl w:val="0"/>
          </w:rPr>
          <w:t xml:space="preserve">https://github.com/EloisaRL/Metabolomic-data-analysis-app/tree/main</w:t>
        </w:r>
      </w:hyperlink>
      <w:r w:rsidDel="00000000" w:rsidR="00000000" w:rsidRPr="00000000">
        <w:rPr>
          <w:rtl w:val="0"/>
        </w:rPr>
        <w:t xml:space="preserv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center"/>
        <w:rPr>
          <w:b w:val="1"/>
          <w:bCs w:val="1"/>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References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center"/>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Zhu, J., Djukovic, D., Deng, L., Gu, H., Himmati, F., Chiorean, E.G. and Raftery, D. (2014) Colorectal Cancer Detection Using Targeted Serum Metabolic Profiling. </w:t>
      </w:r>
      <w:r w:rsidDel="00000000" w:rsidR="00000000" w:rsidRPr="00000000">
        <w:rPr>
          <w:rFonts w:ascii="Aptos" w:cs="Aptos" w:eastAsia="Aptos" w:hAnsi="Aptos"/>
          <w:b w:val="0"/>
          <w:bCs w:val="0"/>
          <w:i w:val="1"/>
          <w:iCs w:val="1"/>
          <w:smallCaps w:val="0"/>
          <w:strike w:val="0"/>
          <w:color w:val="000000"/>
          <w:sz w:val="20"/>
          <w:szCs w:val="20"/>
          <w:u w:val="none"/>
          <w:shd w:fill="auto" w:val="clear"/>
          <w:vertAlign w:val="baseline"/>
          <w:rtl w:val="0"/>
        </w:rPr>
        <w:t xml:space="preserve">Journal of Proteome Research</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0"/>
          <w:szCs w:val="20"/>
          <w:u w:val="none"/>
          <w:shd w:fill="auto" w:val="clear"/>
          <w:vertAlign w:val="baseline"/>
          <w:rtl w:val="0"/>
        </w:rPr>
        <w:t xml:space="preserve">13,</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4120-4130.</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footerReference r:id="rId11" w:type="default"/>
      <w:footerReference r:id="rId12" w:type="even"/>
      <w:pgSz w:h="16840" w:w="11900" w:orient="portrait"/>
      <w:pgMar w:bottom="1440" w:top="1440"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_GB"/>
      </w:rPr>
    </w:rPrDefault>
    <w:pPrDefault>
      <w:pPr>
        <w:spacing w:after="160" w:line="252.00000000000003"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320" w:lineRule="auto"/>
    </w:pPr>
    <w:rPr>
      <w:rFonts w:ascii="Cambria Math" w:cs="Cambria Math" w:eastAsia="Cambria Math" w:hAnsi="Cambria Math"/>
      <w:b w:val="1"/>
      <w:bCs w:val="1"/>
      <w:smallCaps w:val="1"/>
      <w:sz w:val="34"/>
      <w:szCs w:val="34"/>
    </w:rPr>
  </w:style>
  <w:style w:type="paragraph" w:styleId="Heading2">
    <w:name w:val="heading 2"/>
    <w:basedOn w:val="Normal"/>
    <w:next w:val="Normal"/>
    <w:pPr>
      <w:keepNext w:val="1"/>
      <w:keepLines w:val="1"/>
      <w:spacing w:after="0" w:before="120" w:lineRule="auto"/>
    </w:pPr>
    <w:rPr>
      <w:rFonts w:ascii="Cambria Math" w:cs="Cambria Math" w:eastAsia="Cambria Math" w:hAnsi="Cambria Math"/>
      <w:b w:val="1"/>
      <w:bCs w:val="1"/>
      <w:sz w:val="28"/>
      <w:szCs w:val="28"/>
    </w:rPr>
  </w:style>
  <w:style w:type="paragraph" w:styleId="Heading3">
    <w:name w:val="heading 3"/>
    <w:basedOn w:val="Normal"/>
    <w:next w:val="Normal"/>
    <w:pPr>
      <w:keepNext w:val="1"/>
      <w:keepLines w:val="1"/>
      <w:spacing w:after="0" w:before="120" w:lineRule="auto"/>
    </w:pPr>
    <w:rPr>
      <w:rFonts w:ascii="Play" w:cs="Play" w:eastAsia="Play" w:hAnsi="Play"/>
      <w:sz w:val="24"/>
      <w:szCs w:val="24"/>
    </w:rPr>
  </w:style>
  <w:style w:type="paragraph" w:styleId="Heading4">
    <w:name w:val="heading 4"/>
    <w:basedOn w:val="Normal"/>
    <w:next w:val="Normal"/>
    <w:pPr>
      <w:keepNext w:val="1"/>
      <w:keepLines w:val="1"/>
      <w:spacing w:after="0" w:before="120" w:lineRule="auto"/>
    </w:pPr>
    <w:rPr>
      <w:rFonts w:ascii="Play" w:cs="Play" w:eastAsia="Play" w:hAnsi="Play"/>
      <w:i w:val="1"/>
      <w:iCs w:val="1"/>
      <w:sz w:val="24"/>
      <w:szCs w:val="24"/>
    </w:rPr>
  </w:style>
  <w:style w:type="paragraph" w:styleId="Heading5">
    <w:name w:val="heading 5"/>
    <w:basedOn w:val="Normal"/>
    <w:next w:val="Normal"/>
    <w:pPr>
      <w:keepNext w:val="1"/>
      <w:keepLines w:val="1"/>
      <w:spacing w:after="0" w:before="120" w:lineRule="auto"/>
    </w:pPr>
    <w:rPr>
      <w:rFonts w:ascii="Play" w:cs="Play" w:eastAsia="Play" w:hAnsi="Play"/>
      <w:b w:val="1"/>
      <w:bCs w:val="1"/>
    </w:rPr>
  </w:style>
  <w:style w:type="paragraph" w:styleId="Heading6">
    <w:name w:val="heading 6"/>
    <w:basedOn w:val="Normal"/>
    <w:next w:val="Normal"/>
    <w:pPr>
      <w:keepNext w:val="1"/>
      <w:keepLines w:val="1"/>
      <w:spacing w:after="0" w:before="120" w:lineRule="auto"/>
    </w:pPr>
    <w:rPr>
      <w:rFonts w:ascii="Play" w:cs="Play" w:eastAsia="Play" w:hAnsi="Play"/>
      <w:b w:val="1"/>
      <w:bCs w:val="1"/>
      <w:i w:val="1"/>
      <w:iCs w:val="1"/>
    </w:rPr>
  </w:style>
  <w:style w:type="paragraph" w:styleId="Title">
    <w:name w:val="Title"/>
    <w:basedOn w:val="Normal"/>
    <w:next w:val="Normal"/>
    <w:pPr>
      <w:spacing w:after="0" w:line="240" w:lineRule="auto"/>
      <w:jc w:val="center"/>
    </w:pPr>
    <w:rPr>
      <w:rFonts w:ascii="Cambria Math" w:cs="Cambria Math" w:eastAsia="Cambria Math" w:hAnsi="Cambria Math"/>
      <w:b w:val="1"/>
      <w:bCs w:val="1"/>
      <w:sz w:val="44"/>
      <w:szCs w:val="44"/>
    </w:rPr>
  </w:style>
  <w:style w:type="paragraph" w:styleId="Heading7">
    <w:name w:val="heading 7"/>
    <w:basedOn w:val="Normal"/>
    <w:next w:val="Normal"/>
    <w:link w:val="Heading7Char"/>
    <w:uiPriority w:val="9"/>
    <w:semiHidden w:val="1"/>
    <w:unhideWhenUsed w:val="1"/>
    <w:qFormat w:val="1"/>
    <w:rsid w:val="000F74FC"/>
    <w:pPr>
      <w:keepNext w:val="1"/>
      <w:keepLines w:val="1"/>
      <w:spacing w:after="0" w:before="120"/>
      <w:outlineLvl w:val="6"/>
    </w:pPr>
    <w:rPr>
      <w:i w:val="1"/>
      <w:iCs w:val="1"/>
    </w:rPr>
  </w:style>
  <w:style w:type="paragraph" w:styleId="Heading8">
    <w:name w:val="heading 8"/>
    <w:basedOn w:val="Normal"/>
    <w:next w:val="Normal"/>
    <w:link w:val="Heading8Char"/>
    <w:uiPriority w:val="9"/>
    <w:semiHidden w:val="1"/>
    <w:unhideWhenUsed w:val="1"/>
    <w:qFormat w:val="1"/>
    <w:rsid w:val="000F74FC"/>
    <w:pPr>
      <w:keepNext w:val="1"/>
      <w:keepLines w:val="1"/>
      <w:spacing w:after="0" w:before="120"/>
      <w:outlineLvl w:val="7"/>
    </w:pPr>
    <w:rPr>
      <w:b w:val="1"/>
      <w:bCs w:val="1"/>
    </w:rPr>
  </w:style>
  <w:style w:type="paragraph" w:styleId="Heading9">
    <w:name w:val="heading 9"/>
    <w:basedOn w:val="Normal"/>
    <w:next w:val="Normal"/>
    <w:link w:val="Heading9Char"/>
    <w:uiPriority w:val="9"/>
    <w:semiHidden w:val="1"/>
    <w:unhideWhenUsed w:val="1"/>
    <w:qFormat w:val="1"/>
    <w:rsid w:val="000F74FC"/>
    <w:pPr>
      <w:keepNext w:val="1"/>
      <w:keepLines w:val="1"/>
      <w:spacing w:after="0" w:before="120"/>
      <w:outlineLvl w:val="8"/>
    </w:pPr>
    <w:rPr>
      <w:i w:val="1"/>
      <w:iCs w:val="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Thesisheading" w:customStyle="1">
    <w:name w:val="Thesis_heading"/>
    <w:basedOn w:val="Normal"/>
    <w:rsid w:val="001C5739"/>
    <w:pPr>
      <w:pBdr>
        <w:bottom w:color="auto" w:space="1" w:sz="4" w:val="single"/>
      </w:pBdr>
    </w:pPr>
    <w:rPr>
      <w:rFonts w:ascii="Constantia" w:hAnsi="Constantia"/>
      <w:sz w:val="36"/>
      <w:szCs w:val="36"/>
    </w:rPr>
  </w:style>
  <w:style w:type="character" w:styleId="Heading1Char" w:customStyle="1">
    <w:name w:val="Heading 1 Char"/>
    <w:basedOn w:val="DefaultParagraphFont"/>
    <w:link w:val="Heading1"/>
    <w:uiPriority w:val="9"/>
    <w:rsid w:val="000F74FC"/>
    <w:rPr>
      <w:rFonts w:asciiTheme="majorHAnsi" w:cstheme="majorBidi" w:eastAsiaTheme="majorEastAsia" w:hAnsiTheme="majorHAnsi"/>
      <w:b w:val="1"/>
      <w:bCs w:val="1"/>
      <w:caps w:val="1"/>
      <w:spacing w:val="4"/>
      <w:sz w:val="28"/>
      <w:szCs w:val="28"/>
    </w:rPr>
  </w:style>
  <w:style w:type="character" w:styleId="Heading2Char" w:customStyle="1">
    <w:name w:val="Heading 2 Char"/>
    <w:basedOn w:val="DefaultParagraphFont"/>
    <w:link w:val="Heading2"/>
    <w:uiPriority w:val="9"/>
    <w:rsid w:val="000F74FC"/>
    <w:rPr>
      <w:rFonts w:asciiTheme="majorHAnsi" w:cstheme="majorBidi" w:eastAsiaTheme="majorEastAsia" w:hAnsiTheme="majorHAnsi"/>
      <w:b w:val="1"/>
      <w:bCs w:val="1"/>
      <w:sz w:val="28"/>
      <w:szCs w:val="28"/>
    </w:rPr>
  </w:style>
  <w:style w:type="character" w:styleId="Heading3Char" w:customStyle="1">
    <w:name w:val="Heading 3 Char"/>
    <w:basedOn w:val="DefaultParagraphFont"/>
    <w:link w:val="Heading3"/>
    <w:uiPriority w:val="9"/>
    <w:semiHidden w:val="1"/>
    <w:rsid w:val="000F74FC"/>
    <w:rPr>
      <w:rFonts w:asciiTheme="majorHAnsi" w:cstheme="majorBidi" w:eastAsiaTheme="majorEastAsia" w:hAnsiTheme="majorHAnsi"/>
      <w:spacing w:val="4"/>
      <w:sz w:val="24"/>
      <w:szCs w:val="24"/>
    </w:rPr>
  </w:style>
  <w:style w:type="character" w:styleId="Heading4Char" w:customStyle="1">
    <w:name w:val="Heading 4 Char"/>
    <w:basedOn w:val="DefaultParagraphFont"/>
    <w:link w:val="Heading4"/>
    <w:uiPriority w:val="9"/>
    <w:semiHidden w:val="1"/>
    <w:rsid w:val="000F74FC"/>
    <w:rPr>
      <w:rFonts w:asciiTheme="majorHAnsi" w:cstheme="majorBidi" w:eastAsiaTheme="majorEastAsia" w:hAnsiTheme="majorHAnsi"/>
      <w:i w:val="1"/>
      <w:iCs w:val="1"/>
      <w:sz w:val="24"/>
      <w:szCs w:val="24"/>
    </w:rPr>
  </w:style>
  <w:style w:type="character" w:styleId="Heading5Char" w:customStyle="1">
    <w:name w:val="Heading 5 Char"/>
    <w:basedOn w:val="DefaultParagraphFont"/>
    <w:link w:val="Heading5"/>
    <w:uiPriority w:val="9"/>
    <w:semiHidden w:val="1"/>
    <w:rsid w:val="000F74FC"/>
    <w:rPr>
      <w:rFonts w:asciiTheme="majorHAnsi" w:cstheme="majorBidi" w:eastAsiaTheme="majorEastAsia" w:hAnsiTheme="majorHAnsi"/>
      <w:b w:val="1"/>
      <w:bCs w:val="1"/>
    </w:rPr>
  </w:style>
  <w:style w:type="character" w:styleId="Heading6Char" w:customStyle="1">
    <w:name w:val="Heading 6 Char"/>
    <w:basedOn w:val="DefaultParagraphFont"/>
    <w:link w:val="Heading6"/>
    <w:uiPriority w:val="9"/>
    <w:semiHidden w:val="1"/>
    <w:rsid w:val="000F74FC"/>
    <w:rPr>
      <w:rFonts w:asciiTheme="majorHAnsi" w:cstheme="majorBidi" w:eastAsiaTheme="majorEastAsia" w:hAnsiTheme="majorHAnsi"/>
      <w:b w:val="1"/>
      <w:bCs w:val="1"/>
      <w:i w:val="1"/>
      <w:iCs w:val="1"/>
    </w:rPr>
  </w:style>
  <w:style w:type="character" w:styleId="Heading7Char" w:customStyle="1">
    <w:name w:val="Heading 7 Char"/>
    <w:basedOn w:val="DefaultParagraphFont"/>
    <w:link w:val="Heading7"/>
    <w:uiPriority w:val="9"/>
    <w:semiHidden w:val="1"/>
    <w:rsid w:val="000F74FC"/>
    <w:rPr>
      <w:i w:val="1"/>
      <w:iCs w:val="1"/>
    </w:rPr>
  </w:style>
  <w:style w:type="character" w:styleId="Heading8Char" w:customStyle="1">
    <w:name w:val="Heading 8 Char"/>
    <w:basedOn w:val="DefaultParagraphFont"/>
    <w:link w:val="Heading8"/>
    <w:uiPriority w:val="9"/>
    <w:semiHidden w:val="1"/>
    <w:rsid w:val="000F74FC"/>
    <w:rPr>
      <w:b w:val="1"/>
      <w:bCs w:val="1"/>
    </w:rPr>
  </w:style>
  <w:style w:type="character" w:styleId="Heading9Char" w:customStyle="1">
    <w:name w:val="Heading 9 Char"/>
    <w:basedOn w:val="DefaultParagraphFont"/>
    <w:link w:val="Heading9"/>
    <w:uiPriority w:val="9"/>
    <w:semiHidden w:val="1"/>
    <w:rsid w:val="000F74FC"/>
    <w:rPr>
      <w:i w:val="1"/>
      <w:iCs w:val="1"/>
    </w:rPr>
  </w:style>
  <w:style w:type="character" w:styleId="TitleChar" w:customStyle="1">
    <w:name w:val="Title Char"/>
    <w:basedOn w:val="DefaultParagraphFont"/>
    <w:link w:val="Title"/>
    <w:uiPriority w:val="10"/>
    <w:rsid w:val="000F74FC"/>
    <w:rPr>
      <w:rFonts w:asciiTheme="majorHAnsi" w:cstheme="majorBidi" w:eastAsiaTheme="majorEastAsia" w:hAnsiTheme="majorHAnsi"/>
      <w:b w:val="1"/>
      <w:bCs w:val="1"/>
      <w:spacing w:val="-7"/>
      <w:sz w:val="48"/>
      <w:szCs w:val="48"/>
    </w:rPr>
  </w:style>
  <w:style w:type="character" w:styleId="SubtitleChar" w:customStyle="1">
    <w:name w:val="Subtitle Char"/>
    <w:basedOn w:val="DefaultParagraphFont"/>
    <w:link w:val="Subtitle"/>
    <w:uiPriority w:val="11"/>
    <w:rsid w:val="000F74FC"/>
    <w:rPr>
      <w:rFonts w:asciiTheme="majorHAnsi" w:cstheme="majorBidi" w:eastAsiaTheme="majorEastAsia" w:hAnsiTheme="majorHAnsi"/>
      <w:sz w:val="24"/>
      <w:szCs w:val="24"/>
    </w:rPr>
  </w:style>
  <w:style w:type="paragraph" w:styleId="Quote">
    <w:name w:val="Quote"/>
    <w:basedOn w:val="Normal"/>
    <w:next w:val="Normal"/>
    <w:link w:val="QuoteChar"/>
    <w:uiPriority w:val="29"/>
    <w:qFormat w:val="1"/>
    <w:rsid w:val="000F74FC"/>
    <w:pPr>
      <w:spacing w:before="200" w:line="264" w:lineRule="auto"/>
      <w:ind w:left="864" w:right="864"/>
      <w:jc w:val="center"/>
    </w:pPr>
    <w:rPr>
      <w:rFonts w:asciiTheme="majorHAnsi" w:cstheme="majorBidi" w:eastAsiaTheme="majorEastAsia" w:hAnsiTheme="majorHAnsi"/>
      <w:i w:val="1"/>
      <w:iCs w:val="1"/>
      <w:sz w:val="24"/>
      <w:szCs w:val="24"/>
    </w:rPr>
  </w:style>
  <w:style w:type="character" w:styleId="QuoteChar" w:customStyle="1">
    <w:name w:val="Quote Char"/>
    <w:basedOn w:val="DefaultParagraphFont"/>
    <w:link w:val="Quote"/>
    <w:uiPriority w:val="29"/>
    <w:rsid w:val="000F74FC"/>
    <w:rPr>
      <w:rFonts w:asciiTheme="majorHAnsi" w:cstheme="majorBidi" w:eastAsiaTheme="majorEastAsia" w:hAnsiTheme="majorHAnsi"/>
      <w:i w:val="1"/>
      <w:iCs w:val="1"/>
      <w:sz w:val="24"/>
      <w:szCs w:val="24"/>
    </w:rPr>
  </w:style>
  <w:style w:type="paragraph" w:styleId="ListParagraph">
    <w:name w:val="List Paragraph"/>
    <w:basedOn w:val="Normal"/>
    <w:uiPriority w:val="34"/>
    <w:qFormat w:val="1"/>
    <w:rsid w:val="008C3E99"/>
    <w:pPr>
      <w:ind w:left="720"/>
      <w:contextualSpacing w:val="1"/>
    </w:pPr>
  </w:style>
  <w:style w:type="character" w:styleId="IntenseEmphasis">
    <w:name w:val="Intense Emphasis"/>
    <w:basedOn w:val="DefaultParagraphFont"/>
    <w:uiPriority w:val="21"/>
    <w:qFormat w:val="1"/>
    <w:rsid w:val="000F74FC"/>
    <w:rPr>
      <w:b w:val="1"/>
      <w:bCs w:val="1"/>
      <w:i w:val="1"/>
      <w:iCs w:val="1"/>
      <w:color w:val="auto"/>
    </w:rPr>
  </w:style>
  <w:style w:type="paragraph" w:styleId="IntenseQuote">
    <w:name w:val="Intense Quote"/>
    <w:basedOn w:val="Normal"/>
    <w:next w:val="Normal"/>
    <w:link w:val="IntenseQuoteChar"/>
    <w:uiPriority w:val="30"/>
    <w:qFormat w:val="1"/>
    <w:rsid w:val="000F74FC"/>
    <w:pPr>
      <w:spacing w:after="240" w:before="100" w:beforeAutospacing="1"/>
      <w:ind w:left="936" w:right="936"/>
      <w:jc w:val="center"/>
    </w:pPr>
    <w:rPr>
      <w:rFonts w:asciiTheme="majorHAnsi" w:cstheme="majorBidi" w:eastAsiaTheme="majorEastAsia" w:hAnsiTheme="majorHAnsi"/>
      <w:sz w:val="26"/>
      <w:szCs w:val="26"/>
    </w:rPr>
  </w:style>
  <w:style w:type="character" w:styleId="IntenseQuoteChar" w:customStyle="1">
    <w:name w:val="Intense Quote Char"/>
    <w:basedOn w:val="DefaultParagraphFont"/>
    <w:link w:val="IntenseQuote"/>
    <w:uiPriority w:val="30"/>
    <w:rsid w:val="000F74FC"/>
    <w:rPr>
      <w:rFonts w:asciiTheme="majorHAnsi" w:cstheme="majorBidi" w:eastAsiaTheme="majorEastAsia" w:hAnsiTheme="majorHAnsi"/>
      <w:sz w:val="26"/>
      <w:szCs w:val="26"/>
    </w:rPr>
  </w:style>
  <w:style w:type="character" w:styleId="IntenseReference">
    <w:name w:val="Intense Reference"/>
    <w:basedOn w:val="DefaultParagraphFont"/>
    <w:uiPriority w:val="32"/>
    <w:qFormat w:val="1"/>
    <w:rsid w:val="000F74FC"/>
    <w:rPr>
      <w:b w:val="1"/>
      <w:bCs w:val="1"/>
      <w:smallCaps w:val="1"/>
      <w:color w:val="auto"/>
      <w:u w:val="single"/>
    </w:rPr>
  </w:style>
  <w:style w:type="paragraph" w:styleId="Caption">
    <w:name w:val="caption"/>
    <w:basedOn w:val="Normal"/>
    <w:next w:val="Normal"/>
    <w:uiPriority w:val="35"/>
    <w:unhideWhenUsed w:val="1"/>
    <w:qFormat w:val="1"/>
    <w:rsid w:val="000F74FC"/>
    <w:rPr>
      <w:b w:val="1"/>
      <w:bCs w:val="1"/>
      <w:sz w:val="18"/>
      <w:szCs w:val="18"/>
    </w:rPr>
  </w:style>
  <w:style w:type="character" w:styleId="Strong">
    <w:name w:val="Strong"/>
    <w:basedOn w:val="DefaultParagraphFont"/>
    <w:uiPriority w:val="22"/>
    <w:qFormat w:val="1"/>
    <w:rsid w:val="000F74FC"/>
    <w:rPr>
      <w:b w:val="1"/>
      <w:bCs w:val="1"/>
      <w:color w:val="auto"/>
    </w:rPr>
  </w:style>
  <w:style w:type="character" w:styleId="Emphasis">
    <w:name w:val="Emphasis"/>
    <w:basedOn w:val="DefaultParagraphFont"/>
    <w:uiPriority w:val="20"/>
    <w:qFormat w:val="1"/>
    <w:rsid w:val="000F74FC"/>
    <w:rPr>
      <w:i w:val="1"/>
      <w:iCs w:val="1"/>
      <w:color w:val="auto"/>
    </w:rPr>
  </w:style>
  <w:style w:type="paragraph" w:styleId="NoSpacing">
    <w:name w:val="No Spacing"/>
    <w:link w:val="NoSpacingChar"/>
    <w:uiPriority w:val="1"/>
    <w:qFormat w:val="1"/>
    <w:rsid w:val="000F74FC"/>
    <w:pPr>
      <w:spacing w:after="0" w:line="240" w:lineRule="auto"/>
    </w:pPr>
  </w:style>
  <w:style w:type="character" w:styleId="NoSpacingChar" w:customStyle="1">
    <w:name w:val="No Spacing Char"/>
    <w:basedOn w:val="DefaultParagraphFont"/>
    <w:link w:val="NoSpacing"/>
    <w:uiPriority w:val="1"/>
    <w:rsid w:val="008C3E99"/>
  </w:style>
  <w:style w:type="character" w:styleId="SubtleEmphasis">
    <w:name w:val="Subtle Emphasis"/>
    <w:basedOn w:val="DefaultParagraphFont"/>
    <w:uiPriority w:val="19"/>
    <w:qFormat w:val="1"/>
    <w:rsid w:val="000F74FC"/>
    <w:rPr>
      <w:i w:val="1"/>
      <w:iCs w:val="1"/>
      <w:color w:val="auto"/>
    </w:rPr>
  </w:style>
  <w:style w:type="character" w:styleId="SubtleReference">
    <w:name w:val="Subtle Reference"/>
    <w:basedOn w:val="DefaultParagraphFont"/>
    <w:uiPriority w:val="31"/>
    <w:qFormat w:val="1"/>
    <w:rsid w:val="000F74FC"/>
    <w:rPr>
      <w:smallCaps w:val="1"/>
      <w:color w:val="auto"/>
      <w:u w:color="7f7f7f" w:themeColor="text1" w:themeTint="000080" w:val="single"/>
    </w:rPr>
  </w:style>
  <w:style w:type="character" w:styleId="BookTitle">
    <w:name w:val="Book Title"/>
    <w:basedOn w:val="DefaultParagraphFont"/>
    <w:uiPriority w:val="33"/>
    <w:qFormat w:val="1"/>
    <w:rsid w:val="000F74FC"/>
    <w:rPr>
      <w:b w:val="1"/>
      <w:bCs w:val="1"/>
      <w:smallCaps w:val="1"/>
      <w:color w:val="auto"/>
    </w:rPr>
  </w:style>
  <w:style w:type="paragraph" w:styleId="TOCHeading">
    <w:name w:val="TOC Heading"/>
    <w:basedOn w:val="Heading1"/>
    <w:next w:val="Normal"/>
    <w:uiPriority w:val="39"/>
    <w:semiHidden w:val="1"/>
    <w:unhideWhenUsed w:val="1"/>
    <w:qFormat w:val="1"/>
    <w:rsid w:val="000F74FC"/>
    <w:pPr>
      <w:outlineLvl w:val="9"/>
    </w:pPr>
  </w:style>
  <w:style w:type="paragraph" w:styleId="PersonalName" w:customStyle="1">
    <w:name w:val="Personal Name"/>
    <w:basedOn w:val="Title"/>
    <w:rsid w:val="008C3E99"/>
    <w:rPr>
      <w:b w:val="0"/>
      <w:caps w:val="1"/>
      <w:color w:val="000000"/>
      <w:sz w:val="28"/>
      <w:szCs w:val="28"/>
    </w:rPr>
  </w:style>
  <w:style w:type="character" w:styleId="PlaceholderText">
    <w:name w:val="Placeholder Text"/>
    <w:basedOn w:val="DefaultParagraphFont"/>
    <w:uiPriority w:val="99"/>
    <w:semiHidden w:val="1"/>
    <w:rsid w:val="006A4E9B"/>
    <w:rPr>
      <w:color w:val="666666"/>
    </w:rPr>
  </w:style>
  <w:style w:type="table" w:styleId="PlainTable2">
    <w:name w:val="Plain Table 2"/>
    <w:basedOn w:val="TableNormal"/>
    <w:uiPriority w:val="42"/>
    <w:rsid w:val="00371680"/>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PlainTable3">
    <w:name w:val="Plain Table 3"/>
    <w:basedOn w:val="TableNormal"/>
    <w:uiPriority w:val="43"/>
    <w:rsid w:val="00371680"/>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paragraph" w:styleId="Footer">
    <w:name w:val="footer"/>
    <w:basedOn w:val="Normal"/>
    <w:link w:val="FooterChar"/>
    <w:uiPriority w:val="99"/>
    <w:unhideWhenUsed w:val="1"/>
    <w:rsid w:val="00DD342D"/>
    <w:pPr>
      <w:tabs>
        <w:tab w:val="center" w:pos="4513"/>
        <w:tab w:val="right" w:pos="9026"/>
      </w:tabs>
      <w:spacing w:after="0" w:line="240" w:lineRule="auto"/>
    </w:pPr>
  </w:style>
  <w:style w:type="character" w:styleId="FooterChar" w:customStyle="1">
    <w:name w:val="Footer Char"/>
    <w:basedOn w:val="DefaultParagraphFont"/>
    <w:link w:val="Footer"/>
    <w:uiPriority w:val="99"/>
    <w:rsid w:val="00DD342D"/>
    <w:rPr>
      <w:rFonts w:ascii="Cambria" w:hAnsi="Cambria"/>
      <w:sz w:val="20"/>
    </w:rPr>
  </w:style>
  <w:style w:type="character" w:styleId="PageNumber">
    <w:name w:val="page number"/>
    <w:basedOn w:val="DefaultParagraphFont"/>
    <w:uiPriority w:val="99"/>
    <w:semiHidden w:val="1"/>
    <w:unhideWhenUsed w:val="1"/>
    <w:rsid w:val="00DD342D"/>
  </w:style>
  <w:style w:type="character" w:styleId="CommentReference">
    <w:name w:val="annotation reference"/>
    <w:basedOn w:val="DefaultParagraphFont"/>
    <w:uiPriority w:val="99"/>
    <w:semiHidden w:val="1"/>
    <w:unhideWhenUsed w:val="1"/>
    <w:rsid w:val="00C24362"/>
    <w:rPr>
      <w:sz w:val="16"/>
      <w:szCs w:val="16"/>
    </w:rPr>
  </w:style>
  <w:style w:type="paragraph" w:styleId="CommentText">
    <w:name w:val="annotation text"/>
    <w:basedOn w:val="Normal"/>
    <w:link w:val="CommentTextChar"/>
    <w:uiPriority w:val="99"/>
    <w:unhideWhenUsed w:val="1"/>
    <w:rsid w:val="00C24362"/>
    <w:pPr>
      <w:spacing w:line="240" w:lineRule="auto"/>
    </w:pPr>
  </w:style>
  <w:style w:type="character" w:styleId="CommentTextChar" w:customStyle="1">
    <w:name w:val="Comment Text Char"/>
    <w:basedOn w:val="DefaultParagraphFont"/>
    <w:link w:val="CommentText"/>
    <w:uiPriority w:val="99"/>
    <w:rsid w:val="00C24362"/>
    <w:rPr>
      <w:rFonts w:ascii="Cambria" w:hAnsi="Cambria"/>
      <w:sz w:val="20"/>
      <w:szCs w:val="20"/>
    </w:rPr>
  </w:style>
  <w:style w:type="paragraph" w:styleId="CommentSubject">
    <w:name w:val="annotation subject"/>
    <w:basedOn w:val="CommentText"/>
    <w:next w:val="CommentText"/>
    <w:link w:val="CommentSubjectChar"/>
    <w:uiPriority w:val="99"/>
    <w:semiHidden w:val="1"/>
    <w:unhideWhenUsed w:val="1"/>
    <w:rsid w:val="00C24362"/>
    <w:rPr>
      <w:b w:val="1"/>
      <w:bCs w:val="1"/>
    </w:rPr>
  </w:style>
  <w:style w:type="character" w:styleId="CommentSubjectChar" w:customStyle="1">
    <w:name w:val="Comment Subject Char"/>
    <w:basedOn w:val="CommentTextChar"/>
    <w:link w:val="CommentSubject"/>
    <w:uiPriority w:val="99"/>
    <w:semiHidden w:val="1"/>
    <w:rsid w:val="00C24362"/>
    <w:rPr>
      <w:rFonts w:ascii="Cambria" w:hAnsi="Cambria"/>
      <w:b w:val="1"/>
      <w:bCs w:val="1"/>
      <w:sz w:val="20"/>
      <w:szCs w:val="20"/>
    </w:rPr>
  </w:style>
  <w:style w:type="paragraph" w:styleId="Header">
    <w:name w:val="header"/>
    <w:basedOn w:val="Normal"/>
    <w:link w:val="HeaderChar"/>
    <w:uiPriority w:val="99"/>
    <w:semiHidden w:val="1"/>
    <w:unhideWhenUsed w:val="1"/>
    <w:rsid w:val="009C6D55"/>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9C6D55"/>
    <w:rPr>
      <w:rFonts w:ascii="Cambria" w:hAnsi="Cambria"/>
      <w:sz w:val="20"/>
    </w:rPr>
  </w:style>
  <w:style w:type="character" w:styleId="Hyperlink">
    <w:name w:val="Hyperlink"/>
    <w:basedOn w:val="DefaultParagraphFont"/>
    <w:uiPriority w:val="99"/>
    <w:unhideWhenUsed w:val="1"/>
    <w:rsid w:val="00D741BE"/>
    <w:rPr>
      <w:color w:val="467886" w:themeColor="hyperlink"/>
      <w:u w:val="single"/>
    </w:rPr>
  </w:style>
  <w:style w:type="character" w:styleId="UnresolvedMention">
    <w:name w:val="Unresolved Mention"/>
    <w:basedOn w:val="DefaultParagraphFont"/>
    <w:uiPriority w:val="99"/>
    <w:semiHidden w:val="1"/>
    <w:unhideWhenUsed w:val="1"/>
    <w:rsid w:val="00D741BE"/>
    <w:rPr>
      <w:color w:val="605e5c"/>
      <w:shd w:color="auto" w:fill="e1dfdd" w:val="clear"/>
    </w:rPr>
  </w:style>
  <w:style w:type="table" w:styleId="TableGrid">
    <w:name w:val="Table Grid"/>
    <w:basedOn w:val="TableNormal"/>
    <w:uiPriority w:val="39"/>
    <w:rsid w:val="006F65B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3D2EA0"/>
    <w:pPr>
      <w:spacing w:after="0" w:line="240" w:lineRule="auto"/>
      <w:jc w:val="left"/>
    </w:pPr>
  </w:style>
  <w:style w:type="table" w:styleId="a" w:customStyle="1">
    <w:basedOn w:val="TableNormal"/>
    <w:pPr>
      <w:spacing w:after="0" w:line="240" w:lineRule="auto"/>
    </w:pPr>
    <w:tblPr>
      <w:tblStyleRowBandSize w:val="1"/>
      <w:tblStyleColBandSize w:val="1"/>
    </w:tblPr>
    <w:tblStylePr w:type="firstRow">
      <w:rPr>
        <w:b w:val="1"/>
      </w:rPr>
      <w:tblPr/>
      <w:tcPr>
        <w:tcBorders>
          <w:bottom w:color="7f7f7f" w:space="0" w:sz="4" w:val="single"/>
        </w:tcBorders>
      </w:tcPr>
    </w:tblStylePr>
    <w:tblStylePr w:type="lastRow">
      <w:rPr>
        <w:b w:val="1"/>
      </w:rPr>
      <w:tblPr/>
      <w:tcPr>
        <w:tcBorders>
          <w:top w:color="7f7f7f" w:space="0" w:sz="4" w:val="single"/>
        </w:tcBorders>
      </w:tcPr>
    </w:tblStylePr>
    <w:tblStylePr w:type="firstCol">
      <w:rPr>
        <w:b w:val="1"/>
      </w:rPr>
    </w:tblStylePr>
    <w:tblStylePr w:type="lastCol">
      <w:rPr>
        <w:b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0" w:customStyle="1">
    <w:basedOn w:val="TableNormal"/>
    <w:pPr>
      <w:spacing w:after="0" w:line="240" w:lineRule="auto"/>
    </w:pPr>
    <w:tblPr>
      <w:tblStyleRowBandSize w:val="1"/>
      <w:tblStyleColBandSize w:val="1"/>
    </w:tblPr>
    <w:tblStylePr w:type="firstRow">
      <w:rPr>
        <w:b w:val="1"/>
      </w:rPr>
      <w:tblPr/>
      <w:tcPr>
        <w:tcBorders>
          <w:bottom w:color="7f7f7f" w:space="0" w:sz="4" w:val="single"/>
        </w:tcBorders>
      </w:tcPr>
    </w:tblStylePr>
    <w:tblStylePr w:type="lastRow">
      <w:rPr>
        <w:b w:val="1"/>
      </w:rPr>
      <w:tblPr/>
      <w:tcPr>
        <w:tcBorders>
          <w:top w:color="7f7f7f" w:space="0" w:sz="4" w:val="single"/>
        </w:tcBorders>
      </w:tcPr>
    </w:tblStylePr>
    <w:tblStylePr w:type="firstCol">
      <w:rPr>
        <w:b w:val="1"/>
      </w:rPr>
    </w:tblStylePr>
    <w:tblStylePr w:type="lastCol">
      <w:rPr>
        <w:b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tblStylePr w:type="firstRow">
      <w:rPr>
        <w:b w:val="1"/>
      </w:rPr>
      <w:tblPr/>
      <w:tcPr>
        <w:tcBorders>
          <w:bottom w:color="7f7f7f" w:space="0" w:sz="4" w:val="single"/>
        </w:tcBorders>
      </w:tcPr>
    </w:tblStylePr>
    <w:tblStylePr w:type="lastRow">
      <w:rPr>
        <w:b w:val="1"/>
      </w:rPr>
      <w:tblPr/>
      <w:tcPr>
        <w:tcBorders>
          <w:top w:color="7f7f7f" w:space="0" w:sz="4" w:val="single"/>
        </w:tcBorders>
      </w:tcPr>
    </w:tblStylePr>
    <w:tblStylePr w:type="firstCol">
      <w:rPr>
        <w:b w:val="1"/>
      </w:rPr>
    </w:tblStylePr>
    <w:tblStylePr w:type="lastCol">
      <w:rPr>
        <w:b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3" w:customStyle="1">
    <w:basedOn w:val="TableNormal"/>
    <w:pPr>
      <w:spacing w:after="0" w:line="240" w:lineRule="auto"/>
    </w:pPr>
    <w:tblPr>
      <w:tblStyleRowBandSize w:val="1"/>
      <w:tblStyleColBandSize w:val="1"/>
    </w:tblPr>
    <w:tblStylePr w:type="firstRow">
      <w:rPr>
        <w:b w:val="1"/>
      </w:rPr>
      <w:tblPr/>
      <w:tcPr>
        <w:tcBorders>
          <w:bottom w:color="7f7f7f" w:space="0" w:sz="4" w:val="single"/>
        </w:tcBorders>
      </w:tcPr>
    </w:tblStylePr>
    <w:tblStylePr w:type="lastRow">
      <w:rPr>
        <w:b w:val="1"/>
      </w:rPr>
      <w:tblPr/>
      <w:tcPr>
        <w:tcBorders>
          <w:top w:color="7f7f7f" w:space="0" w:sz="4" w:val="single"/>
        </w:tcBorders>
      </w:tcPr>
    </w:tblStylePr>
    <w:tblStylePr w:type="firstCol">
      <w:rPr>
        <w:b w:val="1"/>
      </w:rPr>
    </w:tblStylePr>
    <w:tblStylePr w:type="lastCol">
      <w:rPr>
        <w:b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tblStylePr w:type="firstRow">
      <w:rPr>
        <w:b w:val="1"/>
        <w:bCs w:val="1"/>
      </w:rPr>
      <w:tblPr/>
      <w:tcPr>
        <w:tcBorders>
          <w:bottom w:color="7f7f7f" w:space="0" w:sz="4" w:val="single"/>
        </w:tcBorders>
      </w:tcPr>
    </w:tblStylePr>
    <w:tblStylePr w:type="lastRow">
      <w:rPr>
        <w:b w:val="1"/>
        <w:bCs w:val="1"/>
      </w:rPr>
      <w:tblPr/>
      <w:tcPr>
        <w:tcBorders>
          <w:top w:color="7f7f7f" w:space="0" w:sz="4" w:val="single"/>
        </w:tcBorders>
      </w:tcPr>
    </w:tblStylePr>
    <w:tblStylePr w:type="firstCol">
      <w:rPr>
        <w:b w:val="1"/>
        <w:bCs w:val="1"/>
      </w:rPr>
    </w:tblStylePr>
    <w:tblStylePr w:type="lastCol">
      <w:rPr>
        <w:b w:val="1"/>
        <w:bCs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6" w:customStyle="1">
    <w:basedOn w:val="TableNormal"/>
    <w:pPr>
      <w:spacing w:after="0" w:line="240" w:lineRule="auto"/>
    </w:pPr>
    <w:tblPr>
      <w:tblStyleRowBandSize w:val="1"/>
      <w:tblStyleColBandSize w:val="1"/>
    </w:tblPr>
    <w:tblStylePr w:type="firstRow">
      <w:rPr>
        <w:b w:val="1"/>
        <w:bCs w:val="1"/>
      </w:rPr>
      <w:tblPr/>
      <w:tcPr>
        <w:tcBorders>
          <w:bottom w:color="7f7f7f" w:space="0" w:sz="4" w:val="single"/>
        </w:tcBorders>
      </w:tcPr>
    </w:tblStylePr>
    <w:tblStylePr w:type="lastRow">
      <w:rPr>
        <w:b w:val="1"/>
        <w:bCs w:val="1"/>
      </w:rPr>
      <w:tblPr/>
      <w:tcPr>
        <w:tcBorders>
          <w:top w:color="7f7f7f" w:space="0" w:sz="4" w:val="single"/>
        </w:tcBorders>
      </w:tcPr>
    </w:tblStylePr>
    <w:tblStylePr w:type="firstCol">
      <w:rPr>
        <w:b w:val="1"/>
        <w:bCs w:val="1"/>
      </w:rPr>
    </w:tblStylePr>
    <w:tblStylePr w:type="lastCol">
      <w:rPr>
        <w:b w:val="1"/>
        <w:bCs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7" w:customStyle="1">
    <w:basedOn w:val="TableNormal"/>
    <w:pPr>
      <w:spacing w:after="0" w:line="240" w:lineRule="auto"/>
    </w:pPr>
    <w:tblPr>
      <w:tblStyleRowBandSize w:val="1"/>
      <w:tblStyleColBandSize w:val="1"/>
    </w:tblPr>
  </w:style>
  <w:style w:type="paragraph" w:styleId="EndNoteBibliographyTitle" w:customStyle="1">
    <w:name w:val="EndNote Bibliography Title"/>
    <w:basedOn w:val="Normal"/>
    <w:link w:val="EndNoteBibliographyTitleChar"/>
    <w:rsid w:val="00A70D6B"/>
    <w:pPr>
      <w:spacing w:after="0"/>
      <w:jc w:val="center"/>
    </w:pPr>
  </w:style>
  <w:style w:type="character" w:styleId="EndNoteBibliographyTitleChar" w:customStyle="1">
    <w:name w:val="EndNote Bibliography Title Char"/>
    <w:basedOn w:val="DefaultParagraphFont"/>
    <w:link w:val="EndNoteBibliographyTitle"/>
    <w:rsid w:val="00A70D6B"/>
  </w:style>
  <w:style w:type="paragraph" w:styleId="EndNoteBibliography" w:customStyle="1">
    <w:name w:val="EndNote Bibliography"/>
    <w:basedOn w:val="Normal"/>
    <w:link w:val="EndNoteBibliographyChar"/>
    <w:rsid w:val="00A70D6B"/>
    <w:pPr>
      <w:spacing w:line="240" w:lineRule="auto"/>
    </w:pPr>
  </w:style>
  <w:style w:type="character" w:styleId="EndNoteBibliographyChar" w:customStyle="1">
    <w:name w:val="EndNote Bibliography Char"/>
    <w:basedOn w:val="DefaultParagraphFont"/>
    <w:link w:val="EndNoteBibliography"/>
    <w:rsid w:val="00A70D6B"/>
  </w:style>
  <w:style w:type="paragraph" w:styleId="Subtitle">
    <w:name w:val="Subtitle"/>
    <w:basedOn w:val="Normal"/>
    <w:next w:val="Normal"/>
    <w:pPr>
      <w:spacing w:after="240" w:lineRule="auto"/>
      <w:jc w:val="center"/>
    </w:pPr>
    <w:rPr>
      <w:rFonts w:ascii="Play" w:cs="Play" w:eastAsia="Play" w:hAnsi="Play"/>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yperlink" Target="https://github.com/EloisaRL/Metabolomic-data-analysis-app/tree/main" TargetMode="External"/><Relationship Id="rId12" Type="http://schemas.openxmlformats.org/officeDocument/2006/relationships/footer" Target="foot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ebbels@imperial.ac.uk"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ptos">
      <a:majorFont>
        <a:latin typeface="Aptos Display"/>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w//3BzXNNvh2P2R+2lWrcrSGJA==">CgMxLjA4AGotChRzdWdnZXN0LjNxd3F4bWl5dTRjbxIVSnVhbiBBbnRvbmlvIFZpemNhaW5vai0KFHN1Z2dlc3QuNDg4MnY0aTQ0Y3cwEhVKdWFuIEFudG9uaW8gVml6Y2Fpbm9yITFGVFBkbmZmR0REYTRObTN2NU1mTEZ3d0lPbXhFQXhROQ==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2025-01-22T14:31:00Z</dcterms:created>
  <dc:creator>Wieder, Cecilia</dc:creator>
</cp:coreProperties>
</file>