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287A0" w14:textId="3F4BA4C9" w:rsidR="00D07B23" w:rsidRPr="00433ECC" w:rsidRDefault="00B3676E" w:rsidP="00BF1B40">
      <w:pPr>
        <w:spacing w:before="100" w:after="100" w:line="480" w:lineRule="auto"/>
        <w:rPr>
          <w:rFonts w:eastAsiaTheme="minorEastAsia"/>
          <w:b/>
          <w:bCs/>
          <w:color w:val="000000" w:themeColor="text1"/>
          <w:kern w:val="24"/>
        </w:rPr>
      </w:pPr>
      <w:r>
        <w:rPr>
          <w:rFonts w:eastAsiaTheme="minorEastAsia"/>
          <w:b/>
          <w:bCs/>
          <w:noProof/>
          <w:color w:val="000000" w:themeColor="text1"/>
          <w:kern w:val="24"/>
          <w:bdr w:val="none" w:sz="0" w:space="0" w:color="auto"/>
        </w:rPr>
        <w:drawing>
          <wp:anchor distT="0" distB="0" distL="114300" distR="114300" simplePos="0" relativeHeight="251659264" behindDoc="0" locked="0" layoutInCell="1" allowOverlap="1" wp14:anchorId="464B4DB6" wp14:editId="088BA143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5898515" cy="4607560"/>
            <wp:effectExtent l="0" t="0" r="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1-11-01 at 12.07.4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515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278" w:rsidRPr="00771955">
        <w:rPr>
          <w:rFonts w:eastAsiaTheme="minorEastAsia"/>
          <w:b/>
          <w:bCs/>
          <w:color w:val="000000" w:themeColor="text1"/>
          <w:kern w:val="24"/>
        </w:rPr>
        <w:t>S</w:t>
      </w:r>
      <w:r w:rsidR="00A22A39" w:rsidRPr="00771955">
        <w:rPr>
          <w:rFonts w:eastAsiaTheme="minorEastAsia"/>
          <w:b/>
          <w:bCs/>
          <w:color w:val="000000" w:themeColor="text1"/>
          <w:kern w:val="24"/>
        </w:rPr>
        <w:t>upplementary</w:t>
      </w:r>
      <w:r w:rsidR="00564278" w:rsidRPr="00771955">
        <w:rPr>
          <w:rFonts w:eastAsiaTheme="minorEastAsia"/>
          <w:b/>
          <w:bCs/>
          <w:color w:val="000000" w:themeColor="text1"/>
          <w:kern w:val="24"/>
        </w:rPr>
        <w:t xml:space="preserve"> F</w:t>
      </w:r>
      <w:r w:rsidR="00A22A39" w:rsidRPr="00771955">
        <w:rPr>
          <w:rFonts w:eastAsiaTheme="minorEastAsia"/>
          <w:b/>
          <w:bCs/>
          <w:color w:val="000000" w:themeColor="text1"/>
          <w:kern w:val="24"/>
        </w:rPr>
        <w:t>ig.</w:t>
      </w:r>
      <w:r w:rsidR="00564278" w:rsidRPr="00771955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A22A39" w:rsidRPr="00771955">
        <w:rPr>
          <w:rFonts w:eastAsiaTheme="minorEastAsia"/>
          <w:b/>
          <w:bCs/>
          <w:color w:val="000000" w:themeColor="text1"/>
          <w:kern w:val="24"/>
        </w:rPr>
        <w:t>1.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</w:t>
      </w:r>
      <w:r w:rsidR="00771955" w:rsidRPr="00771955">
        <w:rPr>
          <w:rFonts w:eastAsiaTheme="minorEastAsia"/>
          <w:b/>
          <w:color w:val="000000" w:themeColor="text1"/>
          <w:kern w:val="24"/>
        </w:rPr>
        <w:t>(a)</w:t>
      </w:r>
      <w:r w:rsidR="00771955" w:rsidRPr="00771955">
        <w:rPr>
          <w:rFonts w:eastAsiaTheme="minorEastAsia"/>
          <w:color w:val="000000" w:themeColor="text1"/>
          <w:kern w:val="24"/>
        </w:rPr>
        <w:t xml:space="preserve"> 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The </w:t>
      </w:r>
      <w:r w:rsidR="00564278" w:rsidRPr="00771955">
        <w:rPr>
          <w:rFonts w:eastAsiaTheme="minorEastAsia"/>
          <w:color w:val="000000" w:themeColor="text1"/>
          <w:kern w:val="24"/>
          <w:vertAlign w:val="superscript"/>
        </w:rPr>
        <w:t>177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Lu-lilotomab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satetraxetan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uptake volume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tRTV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plotted against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tMTV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baseline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. A statistically significant correlation between the volumes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tMTV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baseline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and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tRTV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</w:t>
      </w:r>
      <w:r w:rsidR="0081126E">
        <w:rPr>
          <w:rFonts w:eastAsiaTheme="minorEastAsia"/>
          <w:color w:val="000000" w:themeColor="text1"/>
          <w:kern w:val="24"/>
        </w:rPr>
        <w:t>was found as expected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</w:t>
      </w:r>
      <w:r w:rsidR="00BF1B40">
        <w:rPr>
          <w:rFonts w:eastAsiaTheme="minorEastAsia"/>
          <w:b/>
          <w:bCs/>
          <w:color w:val="000000" w:themeColor="text1"/>
          <w:kern w:val="24"/>
        </w:rPr>
        <w:t>(b)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The </w:t>
      </w:r>
      <w:r w:rsidR="00564278" w:rsidRPr="00771955">
        <w:rPr>
          <w:rFonts w:eastAsiaTheme="minorEastAsia"/>
          <w:color w:val="000000" w:themeColor="text1"/>
          <w:kern w:val="24"/>
          <w:vertAlign w:val="superscript"/>
        </w:rPr>
        <w:t>177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Lu-lilotomab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satetraxetan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uptake </w:t>
      </w:r>
      <w:r w:rsidR="00806DDA">
        <w:rPr>
          <w:rFonts w:eastAsiaTheme="minorEastAsia"/>
          <w:color w:val="000000" w:themeColor="text1"/>
          <w:kern w:val="24"/>
        </w:rPr>
        <w:t>normalized by dosage level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,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tRLU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dosage</w:t>
      </w:r>
      <w:r w:rsidR="00564278" w:rsidRPr="00771955">
        <w:rPr>
          <w:rFonts w:eastAsiaTheme="minorEastAsia"/>
          <w:color w:val="000000" w:themeColor="text1"/>
          <w:kern w:val="24"/>
          <w:position w:val="-8"/>
        </w:rPr>
        <w:t xml:space="preserve">, </w:t>
      </w:r>
      <w:r w:rsidR="00564278" w:rsidRPr="00771955">
        <w:rPr>
          <w:rFonts w:eastAsiaTheme="minorEastAsia"/>
          <w:color w:val="000000" w:themeColor="text1"/>
          <w:kern w:val="24"/>
        </w:rPr>
        <w:t>plotted against</w:t>
      </w:r>
      <w:r w:rsidR="00564278" w:rsidRPr="00771955">
        <w:rPr>
          <w:rFonts w:eastAsiaTheme="minorEastAsia"/>
          <w:b/>
          <w:bCs/>
          <w:color w:val="000000" w:themeColor="text1"/>
          <w:kern w:val="24"/>
        </w:rPr>
        <w:t xml:space="preserve">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tTLG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baseline</w:t>
      </w:r>
      <w:r w:rsidR="00564278" w:rsidRPr="00771955">
        <w:rPr>
          <w:rFonts w:eastAsiaTheme="minorEastAsia"/>
          <w:color w:val="000000" w:themeColor="text1"/>
          <w:kern w:val="24"/>
          <w:position w:val="-8"/>
        </w:rPr>
        <w:t>.</w:t>
      </w:r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 xml:space="preserve"> 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A significant correlation between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tTLG</w:t>
      </w:r>
      <w:r w:rsidR="00336D7B" w:rsidRPr="00336D7B">
        <w:rPr>
          <w:rFonts w:eastAsiaTheme="minorEastAsia"/>
          <w:color w:val="000000" w:themeColor="text1"/>
          <w:kern w:val="24"/>
          <w:vertAlign w:val="subscript"/>
        </w:rPr>
        <w:t>baseline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and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tRLU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dosage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indicates that </w:t>
      </w:r>
      <w:r w:rsidR="00564278" w:rsidRPr="00771955">
        <w:rPr>
          <w:rFonts w:eastAsiaTheme="minorEastAsia"/>
          <w:color w:val="000000" w:themeColor="text1"/>
          <w:kern w:val="24"/>
          <w:vertAlign w:val="superscript"/>
        </w:rPr>
        <w:t>177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Lu-lilotomab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satetraxetan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targets FDG avid viable tumor cells as visualized by PET. </w:t>
      </w:r>
      <w:r w:rsidR="00BF1B40">
        <w:rPr>
          <w:rFonts w:eastAsiaTheme="minorEastAsia"/>
          <w:b/>
          <w:bCs/>
          <w:color w:val="000000" w:themeColor="text1"/>
          <w:kern w:val="24"/>
        </w:rPr>
        <w:t>(c)</w:t>
      </w:r>
      <w:r w:rsidR="00564278" w:rsidRPr="00771955">
        <w:rPr>
          <w:rFonts w:eastAsiaTheme="minorEastAsia"/>
          <w:b/>
          <w:bCs/>
          <w:color w:val="000000" w:themeColor="text1"/>
          <w:kern w:val="24"/>
        </w:rPr>
        <w:t xml:space="preserve">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tRLU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bscript"/>
        </w:rPr>
        <w:t>dosage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plotted against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tRTV</w:t>
      </w:r>
      <w:proofErr w:type="spellEnd"/>
      <w:r w:rsidR="00336D7B">
        <w:rPr>
          <w:rFonts w:eastAsiaTheme="minorEastAsia"/>
          <w:color w:val="000000" w:themeColor="text1"/>
          <w:kern w:val="24"/>
        </w:rPr>
        <w:t xml:space="preserve"> (day 4)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shows that increasing tumor volume does not have a </w:t>
      </w:r>
      <w:r w:rsidR="00336D7B">
        <w:rPr>
          <w:rFonts w:eastAsiaTheme="minorEastAsia"/>
          <w:color w:val="000000" w:themeColor="text1"/>
          <w:kern w:val="24"/>
        </w:rPr>
        <w:t>reducing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effect on </w:t>
      </w:r>
      <w:r w:rsidR="00564278" w:rsidRPr="00771955">
        <w:rPr>
          <w:rFonts w:eastAsiaTheme="minorEastAsia"/>
          <w:color w:val="000000" w:themeColor="text1"/>
          <w:kern w:val="24"/>
          <w:vertAlign w:val="superscript"/>
        </w:rPr>
        <w:t>177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Lu-lilotomab </w:t>
      </w:r>
      <w:proofErr w:type="spellStart"/>
      <w:proofErr w:type="gramStart"/>
      <w:r w:rsidR="00564278" w:rsidRPr="00771955">
        <w:rPr>
          <w:rFonts w:eastAsiaTheme="minorEastAsia"/>
          <w:color w:val="000000" w:themeColor="text1"/>
          <w:kern w:val="24"/>
        </w:rPr>
        <w:t>satetraxetan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 uptake</w:t>
      </w:r>
      <w:proofErr w:type="gramEnd"/>
      <w:r w:rsidR="00564278" w:rsidRPr="00771955">
        <w:rPr>
          <w:rFonts w:eastAsiaTheme="minorEastAsia"/>
          <w:color w:val="000000" w:themeColor="text1"/>
          <w:kern w:val="24"/>
        </w:rPr>
        <w:t xml:space="preserve"> intensity. </w:t>
      </w:r>
      <w:r w:rsidR="00BF1B40">
        <w:rPr>
          <w:rFonts w:eastAsiaTheme="minorEastAsia"/>
          <w:b/>
          <w:bCs/>
          <w:color w:val="000000" w:themeColor="text1"/>
          <w:kern w:val="24"/>
        </w:rPr>
        <w:t>(d)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</w:t>
      </w:r>
      <w:r w:rsidR="00564278" w:rsidRPr="00771955">
        <w:rPr>
          <w:rFonts w:eastAsiaTheme="minorEastAsia"/>
          <w:color w:val="000000" w:themeColor="text1"/>
          <w:kern w:val="24"/>
          <w:vertAlign w:val="superscript"/>
        </w:rPr>
        <w:t>177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Lu-lilotomab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satetraxetan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activity concentration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tRLU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perscript"/>
        </w:rPr>
        <w:t xml:space="preserve"> dosage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/</w:t>
      </w:r>
      <w:r w:rsidR="00336D7B">
        <w:rPr>
          <w:rFonts w:eastAsiaTheme="minorEastAsia"/>
          <w:color w:val="000000" w:themeColor="text1"/>
          <w:kern w:val="24"/>
        </w:rPr>
        <w:t>volume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plotted against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SUV</w:t>
      </w:r>
      <w:r w:rsidR="00564278" w:rsidRPr="00771955">
        <w:rPr>
          <w:rFonts w:eastAsiaTheme="minorEastAsia"/>
          <w:color w:val="000000" w:themeColor="text1"/>
          <w:kern w:val="24"/>
          <w:vertAlign w:val="subscript"/>
        </w:rPr>
        <w:t>mean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. Lacking correlation between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tRLU</w:t>
      </w:r>
      <w:proofErr w:type="spellEnd"/>
      <w:r w:rsidR="00564278" w:rsidRPr="00771955">
        <w:rPr>
          <w:rFonts w:eastAsiaTheme="minorEastAsia"/>
          <w:color w:val="000000" w:themeColor="text1"/>
          <w:kern w:val="24"/>
          <w:position w:val="-8"/>
          <w:vertAlign w:val="superscript"/>
        </w:rPr>
        <w:t xml:space="preserve"> dosage</w:t>
      </w:r>
      <w:bookmarkStart w:id="0" w:name="_GoBack"/>
      <w:bookmarkEnd w:id="0"/>
      <w:r w:rsidR="00564278" w:rsidRPr="00771955">
        <w:rPr>
          <w:rFonts w:eastAsiaTheme="minorEastAsia"/>
          <w:color w:val="000000" w:themeColor="text1"/>
          <w:kern w:val="24"/>
        </w:rPr>
        <w:t>/</w:t>
      </w:r>
      <w:r w:rsidR="00336D7B">
        <w:rPr>
          <w:rFonts w:eastAsiaTheme="minorEastAsia"/>
          <w:color w:val="000000" w:themeColor="text1"/>
          <w:kern w:val="24"/>
        </w:rPr>
        <w:t>volume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and</w:t>
      </w:r>
      <w:r w:rsidR="00336D7B">
        <w:rPr>
          <w:rFonts w:eastAsiaTheme="minorEastAsia"/>
          <w:color w:val="000000" w:themeColor="text1"/>
          <w:kern w:val="24"/>
        </w:rPr>
        <w:t xml:space="preserve"> baseline </w:t>
      </w:r>
      <w:proofErr w:type="spellStart"/>
      <w:r w:rsidR="00564278" w:rsidRPr="00771955">
        <w:rPr>
          <w:rFonts w:eastAsiaTheme="minorEastAsia"/>
          <w:color w:val="000000" w:themeColor="text1"/>
          <w:kern w:val="24"/>
        </w:rPr>
        <w:t>SUV</w:t>
      </w:r>
      <w:r w:rsidR="00564278" w:rsidRPr="00771955">
        <w:rPr>
          <w:rFonts w:eastAsiaTheme="minorEastAsia"/>
          <w:color w:val="000000" w:themeColor="text1"/>
          <w:kern w:val="24"/>
          <w:vertAlign w:val="subscript"/>
        </w:rPr>
        <w:t>mean</w:t>
      </w:r>
      <w:proofErr w:type="spellEnd"/>
      <w:r w:rsidR="00564278" w:rsidRPr="00771955">
        <w:rPr>
          <w:rFonts w:eastAsiaTheme="minorEastAsia"/>
          <w:color w:val="000000" w:themeColor="text1"/>
          <w:kern w:val="24"/>
        </w:rPr>
        <w:t xml:space="preserve"> can be interpreted as glucose metabolism not necessarily </w:t>
      </w:r>
      <w:r w:rsidR="00C26A8B">
        <w:rPr>
          <w:rFonts w:eastAsiaTheme="minorEastAsia"/>
          <w:color w:val="000000" w:themeColor="text1"/>
          <w:kern w:val="24"/>
        </w:rPr>
        <w:t>correspond</w:t>
      </w:r>
      <w:r w:rsidR="00564278" w:rsidRPr="00771955">
        <w:rPr>
          <w:rFonts w:eastAsiaTheme="minorEastAsia"/>
          <w:color w:val="000000" w:themeColor="text1"/>
          <w:kern w:val="24"/>
        </w:rPr>
        <w:t xml:space="preserve"> with CD37 </w:t>
      </w:r>
      <w:r w:rsidR="00564278" w:rsidRPr="00771955">
        <w:rPr>
          <w:rFonts w:eastAsiaTheme="minorEastAsia"/>
          <w:color w:val="000000" w:themeColor="text1"/>
          <w:kern w:val="24"/>
        </w:rPr>
        <w:lastRenderedPageBreak/>
        <w:t xml:space="preserve">expression. For all panels; blue dots represent data for individual patients and results from the Spearman-rank correlation tests are indicated in each panel. </w:t>
      </w:r>
    </w:p>
    <w:sectPr w:rsidR="00D07B23" w:rsidRPr="00433ECC" w:rsidSect="00CA4E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78"/>
    <w:rsid w:val="00033E6C"/>
    <w:rsid w:val="000432E1"/>
    <w:rsid w:val="000461BF"/>
    <w:rsid w:val="00056DC4"/>
    <w:rsid w:val="00070F49"/>
    <w:rsid w:val="000717ED"/>
    <w:rsid w:val="00072C3D"/>
    <w:rsid w:val="0008423F"/>
    <w:rsid w:val="000A0C99"/>
    <w:rsid w:val="000D70A4"/>
    <w:rsid w:val="000E2629"/>
    <w:rsid w:val="000F2613"/>
    <w:rsid w:val="00103C68"/>
    <w:rsid w:val="001364DC"/>
    <w:rsid w:val="001B2654"/>
    <w:rsid w:val="001D3E63"/>
    <w:rsid w:val="001F7F93"/>
    <w:rsid w:val="00205E7E"/>
    <w:rsid w:val="00206575"/>
    <w:rsid w:val="00211DF3"/>
    <w:rsid w:val="00230BE2"/>
    <w:rsid w:val="00240D8E"/>
    <w:rsid w:val="00246210"/>
    <w:rsid w:val="002643AD"/>
    <w:rsid w:val="002B2D74"/>
    <w:rsid w:val="002B6EF7"/>
    <w:rsid w:val="002C14F0"/>
    <w:rsid w:val="003119E2"/>
    <w:rsid w:val="00326728"/>
    <w:rsid w:val="003323AE"/>
    <w:rsid w:val="00336D7B"/>
    <w:rsid w:val="00350F12"/>
    <w:rsid w:val="003624C5"/>
    <w:rsid w:val="00377036"/>
    <w:rsid w:val="00377522"/>
    <w:rsid w:val="00383095"/>
    <w:rsid w:val="00386BF6"/>
    <w:rsid w:val="003B136F"/>
    <w:rsid w:val="00414FA2"/>
    <w:rsid w:val="004211F5"/>
    <w:rsid w:val="0043228C"/>
    <w:rsid w:val="00433ECC"/>
    <w:rsid w:val="00452E8B"/>
    <w:rsid w:val="00473A39"/>
    <w:rsid w:val="00477DDD"/>
    <w:rsid w:val="00495E08"/>
    <w:rsid w:val="004A21B6"/>
    <w:rsid w:val="004A5754"/>
    <w:rsid w:val="004B0888"/>
    <w:rsid w:val="004C4CC5"/>
    <w:rsid w:val="004F2528"/>
    <w:rsid w:val="004F506B"/>
    <w:rsid w:val="00532043"/>
    <w:rsid w:val="00550197"/>
    <w:rsid w:val="00552C5C"/>
    <w:rsid w:val="00564278"/>
    <w:rsid w:val="0057282D"/>
    <w:rsid w:val="00583101"/>
    <w:rsid w:val="005864F9"/>
    <w:rsid w:val="005B2EB3"/>
    <w:rsid w:val="005D1E3E"/>
    <w:rsid w:val="005E5184"/>
    <w:rsid w:val="005F1BF4"/>
    <w:rsid w:val="00653FC0"/>
    <w:rsid w:val="00655A9C"/>
    <w:rsid w:val="00663BFA"/>
    <w:rsid w:val="00680335"/>
    <w:rsid w:val="00680676"/>
    <w:rsid w:val="00684FE4"/>
    <w:rsid w:val="0069192B"/>
    <w:rsid w:val="006A1C9C"/>
    <w:rsid w:val="006A2CA9"/>
    <w:rsid w:val="006C04B7"/>
    <w:rsid w:val="006C4741"/>
    <w:rsid w:val="006D6B9F"/>
    <w:rsid w:val="006F2BB8"/>
    <w:rsid w:val="006F3241"/>
    <w:rsid w:val="006F4558"/>
    <w:rsid w:val="0071047D"/>
    <w:rsid w:val="007123AE"/>
    <w:rsid w:val="0071558F"/>
    <w:rsid w:val="0072173C"/>
    <w:rsid w:val="0072554E"/>
    <w:rsid w:val="007500FE"/>
    <w:rsid w:val="007522C0"/>
    <w:rsid w:val="00771955"/>
    <w:rsid w:val="00790005"/>
    <w:rsid w:val="00794EF7"/>
    <w:rsid w:val="007B03C2"/>
    <w:rsid w:val="007C1828"/>
    <w:rsid w:val="007D1C2F"/>
    <w:rsid w:val="007D5767"/>
    <w:rsid w:val="007E269C"/>
    <w:rsid w:val="00806DDA"/>
    <w:rsid w:val="0081126E"/>
    <w:rsid w:val="0082169E"/>
    <w:rsid w:val="00826803"/>
    <w:rsid w:val="00826A15"/>
    <w:rsid w:val="00845C32"/>
    <w:rsid w:val="008831B3"/>
    <w:rsid w:val="008955F5"/>
    <w:rsid w:val="008A0738"/>
    <w:rsid w:val="008E1A16"/>
    <w:rsid w:val="009165A7"/>
    <w:rsid w:val="0092246C"/>
    <w:rsid w:val="009703BE"/>
    <w:rsid w:val="00974931"/>
    <w:rsid w:val="009B00E7"/>
    <w:rsid w:val="009E1DB3"/>
    <w:rsid w:val="009E2EAF"/>
    <w:rsid w:val="009E48B1"/>
    <w:rsid w:val="00A02522"/>
    <w:rsid w:val="00A07479"/>
    <w:rsid w:val="00A22A39"/>
    <w:rsid w:val="00A27653"/>
    <w:rsid w:val="00A4791D"/>
    <w:rsid w:val="00A66699"/>
    <w:rsid w:val="00A72B27"/>
    <w:rsid w:val="00A72E29"/>
    <w:rsid w:val="00A73E11"/>
    <w:rsid w:val="00AA20E7"/>
    <w:rsid w:val="00AB3A0B"/>
    <w:rsid w:val="00AB750B"/>
    <w:rsid w:val="00AD7D24"/>
    <w:rsid w:val="00AE0224"/>
    <w:rsid w:val="00B3676E"/>
    <w:rsid w:val="00B55240"/>
    <w:rsid w:val="00B569E2"/>
    <w:rsid w:val="00B77B3D"/>
    <w:rsid w:val="00B91F4D"/>
    <w:rsid w:val="00BA06A0"/>
    <w:rsid w:val="00BC19F5"/>
    <w:rsid w:val="00BC732C"/>
    <w:rsid w:val="00BD24D0"/>
    <w:rsid w:val="00BF1B40"/>
    <w:rsid w:val="00C013AE"/>
    <w:rsid w:val="00C07B72"/>
    <w:rsid w:val="00C25EE6"/>
    <w:rsid w:val="00C26A8B"/>
    <w:rsid w:val="00C938CB"/>
    <w:rsid w:val="00C9541E"/>
    <w:rsid w:val="00CA4EE6"/>
    <w:rsid w:val="00CB1A42"/>
    <w:rsid w:val="00CB1B00"/>
    <w:rsid w:val="00D01AFE"/>
    <w:rsid w:val="00D07B23"/>
    <w:rsid w:val="00D1448B"/>
    <w:rsid w:val="00D15EE2"/>
    <w:rsid w:val="00D30142"/>
    <w:rsid w:val="00D35189"/>
    <w:rsid w:val="00D55823"/>
    <w:rsid w:val="00D62D11"/>
    <w:rsid w:val="00D72533"/>
    <w:rsid w:val="00D74922"/>
    <w:rsid w:val="00D87A45"/>
    <w:rsid w:val="00D93C0F"/>
    <w:rsid w:val="00DA0CC2"/>
    <w:rsid w:val="00DA5D45"/>
    <w:rsid w:val="00DD3938"/>
    <w:rsid w:val="00DE3660"/>
    <w:rsid w:val="00E16384"/>
    <w:rsid w:val="00E21D83"/>
    <w:rsid w:val="00E347C1"/>
    <w:rsid w:val="00E46EF0"/>
    <w:rsid w:val="00E51509"/>
    <w:rsid w:val="00E549DB"/>
    <w:rsid w:val="00E93032"/>
    <w:rsid w:val="00EC0CD4"/>
    <w:rsid w:val="00EC7DFA"/>
    <w:rsid w:val="00ED0164"/>
    <w:rsid w:val="00ED3D86"/>
    <w:rsid w:val="00EE2F73"/>
    <w:rsid w:val="00F10D9D"/>
    <w:rsid w:val="00F36BB1"/>
    <w:rsid w:val="00F75564"/>
    <w:rsid w:val="00F81AFC"/>
    <w:rsid w:val="00F83047"/>
    <w:rsid w:val="00F95C4B"/>
    <w:rsid w:val="00FA7C93"/>
    <w:rsid w:val="00FF276C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D84043"/>
  <w14:defaultImageDpi w14:val="32767"/>
  <w15:chartTrackingRefBased/>
  <w15:docId w15:val="{A40A0A98-02D9-7546-AAE3-FFC69525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5E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autoRedefine/>
    <w:qFormat/>
    <w:rsid w:val="00EC0CD4"/>
    <w:rPr>
      <w:rFonts w:ascii="Calibri" w:hAnsi="Calibri"/>
      <w:b/>
      <w:bCs/>
    </w:rPr>
  </w:style>
  <w:style w:type="table" w:customStyle="1" w:styleId="tableheaderrow">
    <w:name w:val="table header row"/>
    <w:basedOn w:val="TableNormal"/>
    <w:uiPriority w:val="99"/>
    <w:rsid w:val="00495E08"/>
    <w:rPr>
      <w:sz w:val="22"/>
    </w:rPr>
    <w:tblPr/>
    <w:tblStylePr w:type="firstRow">
      <w:rPr>
        <w:rFonts w:asciiTheme="majorHAnsi" w:hAnsiTheme="majorHAnsi"/>
      </w:rPr>
    </w:tblStylePr>
  </w:style>
  <w:style w:type="paragraph" w:styleId="FootnoteText">
    <w:name w:val="footnote text"/>
    <w:basedOn w:val="Normal"/>
    <w:link w:val="FootnoteTextChar"/>
    <w:uiPriority w:val="99"/>
    <w:unhideWhenUsed/>
    <w:qFormat/>
    <w:rsid w:val="00D72533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2533"/>
    <w:rPr>
      <w:rFonts w:ascii="Times New Roman" w:eastAsia="Arial Unicode MS" w:hAnsi="Times New Roman" w:cs="Times New Roman"/>
      <w:sz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Oslo University Hospital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 Løndalen</dc:creator>
  <cp:keywords/>
  <dc:description/>
  <cp:lastModifiedBy>Ayca Løndalen</cp:lastModifiedBy>
  <cp:revision>17</cp:revision>
  <dcterms:created xsi:type="dcterms:W3CDTF">2021-07-24T18:17:00Z</dcterms:created>
  <dcterms:modified xsi:type="dcterms:W3CDTF">2021-11-01T12:12:00Z</dcterms:modified>
</cp:coreProperties>
</file>