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092" w:rsidRPr="00231D16" w:rsidRDefault="00D46193">
      <w:pPr>
        <w:rPr>
          <w:rFonts w:cstheme="minorHAnsi"/>
          <w:b/>
          <w:sz w:val="20"/>
          <w:szCs w:val="20"/>
          <w:lang w:val="en-US"/>
        </w:rPr>
      </w:pPr>
      <w:proofErr w:type="spellStart"/>
      <w:r>
        <w:rPr>
          <w:rFonts w:cstheme="minorHAnsi"/>
          <w:b/>
          <w:color w:val="C00000"/>
          <w:sz w:val="24"/>
          <w:szCs w:val="24"/>
        </w:rPr>
        <w:t>Supplementary</w:t>
      </w:r>
      <w:proofErr w:type="spellEnd"/>
      <w:r>
        <w:rPr>
          <w:rFonts w:cstheme="minorHAnsi"/>
          <w:b/>
          <w:color w:val="C00000"/>
          <w:sz w:val="24"/>
          <w:szCs w:val="24"/>
        </w:rPr>
        <w:t xml:space="preserve"> </w:t>
      </w:r>
      <w:r w:rsidR="000A388A">
        <w:rPr>
          <w:rFonts w:cstheme="minorHAnsi"/>
          <w:b/>
          <w:color w:val="C00000"/>
          <w:sz w:val="24"/>
          <w:szCs w:val="24"/>
        </w:rPr>
        <w:t>1</w:t>
      </w:r>
      <w:bookmarkStart w:id="0" w:name="_GoBack"/>
      <w:bookmarkEnd w:id="0"/>
      <w:r w:rsidR="00EB1AF8" w:rsidRPr="00231D16">
        <w:rPr>
          <w:rFonts w:cstheme="minorHAnsi"/>
          <w:b/>
          <w:sz w:val="20"/>
          <w:szCs w:val="20"/>
          <w:lang w:val="en-US"/>
        </w:rPr>
        <w:t xml:space="preserve">: </w:t>
      </w:r>
    </w:p>
    <w:p w:rsidR="00EB1AF8" w:rsidRPr="00707FDB" w:rsidRDefault="00EB1AF8">
      <w:pPr>
        <w:rPr>
          <w:rFonts w:cstheme="minorHAnsi"/>
          <w:sz w:val="20"/>
          <w:szCs w:val="20"/>
          <w:lang w:val="en-US"/>
        </w:rPr>
      </w:pPr>
      <w:r w:rsidRPr="00707FDB">
        <w:rPr>
          <w:rFonts w:cstheme="minorHAnsi"/>
          <w:sz w:val="20"/>
          <w:szCs w:val="20"/>
          <w:lang w:val="en-US"/>
        </w:rPr>
        <w:t>Primary and secondary objectives and endpoints of the study</w:t>
      </w:r>
    </w:p>
    <w:p w:rsidR="00EB1AF8" w:rsidRPr="00707FDB" w:rsidRDefault="00EB1AF8">
      <w:pPr>
        <w:rPr>
          <w:rFonts w:cstheme="minorHAnsi"/>
          <w:sz w:val="20"/>
          <w:szCs w:val="20"/>
          <w:lang w:val="en-US"/>
        </w:rPr>
      </w:pPr>
    </w:p>
    <w:tbl>
      <w:tblPr>
        <w:tblStyle w:val="Tabellenraster"/>
        <w:tblW w:w="0" w:type="auto"/>
        <w:tblInd w:w="228" w:type="dxa"/>
        <w:tblLook w:val="04A0" w:firstRow="1" w:lastRow="0" w:firstColumn="1" w:lastColumn="0" w:noHBand="0" w:noVBand="1"/>
      </w:tblPr>
      <w:tblGrid>
        <w:gridCol w:w="1808"/>
        <w:gridCol w:w="7026"/>
      </w:tblGrid>
      <w:tr w:rsidR="00EB1AF8" w:rsidRPr="000A388A" w:rsidTr="00E84A4D">
        <w:tc>
          <w:tcPr>
            <w:tcW w:w="1825" w:type="dxa"/>
          </w:tcPr>
          <w:p w:rsidR="00EB1AF8" w:rsidRPr="00707FDB" w:rsidRDefault="00EB1AF8" w:rsidP="00E84A4D">
            <w:pPr>
              <w:pStyle w:val="berschrift1"/>
              <w:ind w:left="0" w:firstLine="0"/>
              <w:outlineLvl w:val="0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bookmarkStart w:id="1" w:name="_Toc44338091"/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Primary Objective</w:t>
            </w:r>
            <w:bookmarkEnd w:id="1"/>
          </w:p>
        </w:tc>
        <w:tc>
          <w:tcPr>
            <w:tcW w:w="7217" w:type="dxa"/>
          </w:tcPr>
          <w:p w:rsidR="00EB1AF8" w:rsidRPr="00707FDB" w:rsidRDefault="00EB1AF8" w:rsidP="00EB1AF8">
            <w:pPr>
              <w:pStyle w:val="berschrift1"/>
              <w:ind w:left="0" w:firstLine="0"/>
              <w:outlineLvl w:val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bookmarkStart w:id="2" w:name="_Toc44338092"/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To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pacing w:val="-4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pacing w:val="-5"/>
                <w:sz w:val="20"/>
                <w:szCs w:val="20"/>
              </w:rPr>
              <w:t>eva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050505"/>
                <w:spacing w:val="-5"/>
                <w:sz w:val="20"/>
                <w:szCs w:val="20"/>
              </w:rPr>
              <w:t>luat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e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pacing w:val="-17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the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pacing w:val="9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pacing w:val="-9"/>
                <w:sz w:val="20"/>
                <w:szCs w:val="20"/>
              </w:rPr>
              <w:t>diagno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363636"/>
                <w:spacing w:val="-9"/>
                <w:sz w:val="20"/>
                <w:szCs w:val="20"/>
              </w:rPr>
              <w:t>s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pacing w:val="-9"/>
                <w:sz w:val="20"/>
                <w:szCs w:val="20"/>
              </w:rPr>
              <w:t>tic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pacing w:val="-7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superiority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pacing w:val="3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z w:val="20"/>
                <w:szCs w:val="20"/>
              </w:rPr>
              <w:t>of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pacing w:val="5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[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  <w:vertAlign w:val="superscript"/>
              </w:rPr>
              <w:t>68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Ga</w:t>
            </w:r>
            <w:proofErr w:type="gramStart"/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]Ga</w:t>
            </w:r>
            <w:proofErr w:type="gramEnd"/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-PSMA-11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  <w:vertAlign w:val="superscript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over [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  <w:vertAlign w:val="superscript"/>
              </w:rPr>
              <w:t>18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F]FCH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  <w:vertAlign w:val="superscript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z w:val="20"/>
                <w:szCs w:val="20"/>
              </w:rPr>
              <w:t>PET/CT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pacing w:val="-10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050505"/>
                <w:sz w:val="20"/>
                <w:szCs w:val="20"/>
              </w:rPr>
              <w:t>im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 xml:space="preserve">aging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z w:val="20"/>
                <w:szCs w:val="20"/>
              </w:rPr>
              <w:t xml:space="preserve">in the detection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 xml:space="preserve">of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z w:val="20"/>
                <w:szCs w:val="20"/>
              </w:rPr>
              <w:t xml:space="preserve">recurrence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 xml:space="preserve">sites of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z w:val="20"/>
                <w:szCs w:val="20"/>
              </w:rPr>
              <w:t xml:space="preserve">prostate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 xml:space="preserve">cancer after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363636"/>
                <w:spacing w:val="-3"/>
                <w:sz w:val="20"/>
                <w:szCs w:val="20"/>
              </w:rPr>
              <w:t>ra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pacing w:val="-3"/>
                <w:sz w:val="20"/>
                <w:szCs w:val="20"/>
              </w:rPr>
              <w:t>dical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161616"/>
                <w:spacing w:val="22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b w:val="0"/>
                <w:bCs w:val="0"/>
                <w:color w:val="242424"/>
                <w:sz w:val="20"/>
                <w:szCs w:val="20"/>
              </w:rPr>
              <w:t>treatment.</w:t>
            </w:r>
            <w:bookmarkEnd w:id="2"/>
          </w:p>
        </w:tc>
      </w:tr>
      <w:tr w:rsidR="00707FDB" w:rsidRPr="00707FDB" w:rsidTr="005D63C6">
        <w:trPr>
          <w:trHeight w:val="3677"/>
        </w:trPr>
        <w:tc>
          <w:tcPr>
            <w:tcW w:w="1825" w:type="dxa"/>
          </w:tcPr>
          <w:p w:rsidR="00EB1AF8" w:rsidRPr="00707FDB" w:rsidRDefault="00EB1AF8" w:rsidP="00E84A4D">
            <w:pPr>
              <w:pStyle w:val="berschrift1"/>
              <w:ind w:left="0" w:firstLine="0"/>
              <w:outlineLvl w:val="0"/>
              <w:rPr>
                <w:rFonts w:asciiTheme="minorHAnsi" w:hAnsiTheme="minorHAnsi" w:cstheme="minorHAnsi"/>
                <w:b w:val="0"/>
                <w:color w:val="161616"/>
                <w:sz w:val="20"/>
                <w:szCs w:val="20"/>
              </w:rPr>
            </w:pPr>
          </w:p>
          <w:p w:rsidR="00EB1AF8" w:rsidRPr="00707FDB" w:rsidRDefault="00EB1AF8" w:rsidP="00E84A4D">
            <w:pPr>
              <w:pStyle w:val="berschrift1"/>
              <w:ind w:left="0" w:firstLine="0"/>
              <w:outlineLvl w:val="0"/>
              <w:rPr>
                <w:rFonts w:asciiTheme="minorHAnsi" w:hAnsiTheme="minorHAnsi" w:cstheme="minorHAnsi"/>
                <w:b w:val="0"/>
                <w:color w:val="161616"/>
                <w:sz w:val="20"/>
                <w:szCs w:val="20"/>
              </w:rPr>
            </w:pPr>
          </w:p>
          <w:p w:rsidR="00EB1AF8" w:rsidRPr="00707FDB" w:rsidRDefault="00EB1AF8" w:rsidP="00E84A4D">
            <w:pPr>
              <w:pStyle w:val="berschrift1"/>
              <w:ind w:left="0" w:firstLine="0"/>
              <w:outlineLvl w:val="0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bookmarkStart w:id="3" w:name="_Toc44338093"/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Secondary Objectives</w:t>
            </w:r>
            <w:bookmarkEnd w:id="3"/>
          </w:p>
        </w:tc>
        <w:tc>
          <w:tcPr>
            <w:tcW w:w="7217" w:type="dxa"/>
          </w:tcPr>
          <w:p w:rsidR="00EB1AF8" w:rsidRPr="00707FDB" w:rsidRDefault="00EB1AF8" w:rsidP="00EB1AF8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103" w:line="300" w:lineRule="auto"/>
              <w:ind w:left="393" w:right="77" w:hanging="373"/>
              <w:rPr>
                <w:rFonts w:asciiTheme="minorHAnsi" w:hAnsiTheme="minorHAnsi" w:cstheme="minorHAnsi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To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compare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the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diagnostic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performance</w:t>
            </w:r>
            <w:r w:rsidRPr="00707FDB">
              <w:rPr>
                <w:rFonts w:asciiTheme="minorHAnsi" w:hAnsiTheme="minorHAnsi" w:cstheme="minorHAnsi"/>
                <w:color w:val="161616"/>
                <w:spacing w:val="-6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of [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68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Ga</w:t>
            </w:r>
            <w:proofErr w:type="gramStart"/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]Ga</w:t>
            </w:r>
            <w:proofErr w:type="gramEnd"/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-PSMA-11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 xml:space="preserve"> </w:t>
            </w:r>
            <w:r w:rsidR="005D63C6" w:rsidRPr="00707FDB">
              <w:rPr>
                <w:rFonts w:asciiTheme="minorHAnsi" w:hAnsiTheme="minorHAnsi" w:cstheme="minorHAnsi"/>
                <w:color w:val="161616"/>
                <w:spacing w:val="-8"/>
                <w:sz w:val="20"/>
                <w:szCs w:val="20"/>
              </w:rPr>
              <w:t xml:space="preserve">and </w:t>
            </w:r>
            <w:r w:rsidRPr="00707FDB">
              <w:rPr>
                <w:rFonts w:asciiTheme="minorHAnsi" w:hAnsiTheme="minorHAnsi" w:cstheme="minorHAnsi"/>
                <w:color w:val="242424"/>
                <w:spacing w:val="-12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[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18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F]FCH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PET/CT</w:t>
            </w:r>
            <w:r w:rsidRPr="00707FDB">
              <w:rPr>
                <w:rFonts w:asciiTheme="minorHAnsi" w:hAnsiTheme="minorHAnsi" w:cstheme="minorHAnsi"/>
                <w:color w:val="161616"/>
                <w:spacing w:val="-9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imaging</w:t>
            </w:r>
            <w:r w:rsidR="005D63C6"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.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 </w:t>
            </w:r>
          </w:p>
          <w:p w:rsidR="00EB1AF8" w:rsidRPr="00707FDB" w:rsidRDefault="00EB1AF8" w:rsidP="00EB1AF8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103" w:line="300" w:lineRule="auto"/>
              <w:ind w:left="393" w:right="77" w:hanging="373"/>
              <w:rPr>
                <w:rFonts w:asciiTheme="minorHAnsi" w:hAnsiTheme="minorHAnsi" w:cstheme="minorHAnsi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To correlate the </w:t>
            </w:r>
            <w:r w:rsidR="005D63C6"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PET/CT organ specific imaging findings (i.e. local recurrence, lymph node metastases and visceral metastases) with clinical findings </w:t>
            </w:r>
            <w:r w:rsidR="00E13D8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(i.e. trigger PSA and PSA doubling time) </w:t>
            </w:r>
            <w:r w:rsidR="005D63C6"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and ongoing androgen deprivation treatments</w:t>
            </w:r>
            <w:r w:rsidR="00E13D8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.</w:t>
            </w:r>
            <w:r w:rsidR="005D63C6"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  </w:t>
            </w:r>
          </w:p>
          <w:p w:rsidR="00EB1AF8" w:rsidRPr="00707FDB" w:rsidRDefault="00EB1AF8" w:rsidP="00EB1AF8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To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compare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the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impact of [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68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Ga]Ga-PSMA-11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PET/CT over [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18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F]FCH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161616"/>
                <w:spacing w:val="-3"/>
                <w:sz w:val="20"/>
                <w:szCs w:val="20"/>
              </w:rPr>
              <w:t>PET</w:t>
            </w:r>
            <w:r w:rsidRPr="00707FDB">
              <w:rPr>
                <w:rFonts w:asciiTheme="minorHAnsi" w:hAnsiTheme="minorHAnsi" w:cstheme="minorHAnsi"/>
                <w:color w:val="242424"/>
                <w:spacing w:val="-3"/>
                <w:sz w:val="20"/>
                <w:szCs w:val="20"/>
              </w:rPr>
              <w:t xml:space="preserve">/CT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imaging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on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the th</w:t>
            </w:r>
            <w:r w:rsidRPr="00707FDB">
              <w:rPr>
                <w:rFonts w:asciiTheme="minorHAnsi" w:hAnsiTheme="minorHAnsi" w:cstheme="minorHAnsi"/>
                <w:color w:val="363636"/>
                <w:sz w:val="20"/>
                <w:szCs w:val="20"/>
              </w:rPr>
              <w:t>e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rapeutic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decision (minor and/or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major therapeutic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changes with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regards to the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number and/or</w:t>
            </w:r>
            <w:r w:rsidRPr="00707FDB">
              <w:rPr>
                <w:rFonts w:asciiTheme="minorHAnsi" w:hAnsiTheme="minorHAnsi" w:cstheme="minorHAnsi"/>
                <w:color w:val="050505"/>
                <w:sz w:val="20"/>
                <w:szCs w:val="20"/>
              </w:rPr>
              <w:t xml:space="preserve"> l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esio</w:t>
            </w:r>
            <w:r w:rsidRPr="00707FDB">
              <w:rPr>
                <w:rFonts w:asciiTheme="minorHAnsi" w:hAnsiTheme="minorHAnsi" w:cstheme="minorHAnsi"/>
                <w:color w:val="242424"/>
                <w:spacing w:val="-4"/>
                <w:sz w:val="20"/>
                <w:szCs w:val="20"/>
              </w:rPr>
              <w:t xml:space="preserve">n(s) </w:t>
            </w:r>
            <w:r w:rsidRPr="00707FDB">
              <w:rPr>
                <w:rFonts w:asciiTheme="minorHAnsi" w:hAnsiTheme="minorHAnsi" w:cstheme="minorHAnsi"/>
                <w:color w:val="050505"/>
                <w:sz w:val="20"/>
                <w:szCs w:val="20"/>
              </w:rPr>
              <w:t>l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ocation(s))</w:t>
            </w:r>
          </w:p>
          <w:p w:rsidR="00EB1AF8" w:rsidRPr="00707FDB" w:rsidRDefault="00EB1AF8" w:rsidP="00EB1AF8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Safety evaluation</w:t>
            </w:r>
            <w:r w:rsidRPr="00707FDB">
              <w:rPr>
                <w:rFonts w:asciiTheme="minorHAnsi" w:hAnsiTheme="minorHAnsi" w:cstheme="minorHAnsi"/>
                <w:color w:val="363636"/>
                <w:spacing w:val="-5"/>
                <w:sz w:val="20"/>
                <w:szCs w:val="20"/>
              </w:rPr>
              <w:t xml:space="preserve"> </w:t>
            </w:r>
          </w:p>
        </w:tc>
      </w:tr>
      <w:tr w:rsidR="00707FDB" w:rsidRPr="000A388A" w:rsidTr="005D63C6">
        <w:trPr>
          <w:trHeight w:val="1093"/>
        </w:trPr>
        <w:tc>
          <w:tcPr>
            <w:tcW w:w="1825" w:type="dxa"/>
          </w:tcPr>
          <w:p w:rsidR="00EB1AF8" w:rsidRPr="00707FDB" w:rsidRDefault="00EB1AF8" w:rsidP="00E84A4D">
            <w:pPr>
              <w:pStyle w:val="berschrift1"/>
              <w:ind w:left="0" w:firstLine="0"/>
              <w:outlineLvl w:val="0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bookmarkStart w:id="4" w:name="_Toc44338094"/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Primary endpoint</w:t>
            </w:r>
            <w:bookmarkEnd w:id="4"/>
          </w:p>
        </w:tc>
        <w:tc>
          <w:tcPr>
            <w:tcW w:w="7217" w:type="dxa"/>
          </w:tcPr>
          <w:p w:rsidR="00EB1AF8" w:rsidRPr="00707FDB" w:rsidRDefault="00EB1AF8" w:rsidP="00707FDB">
            <w:pPr>
              <w:pStyle w:val="TableParagraph"/>
              <w:spacing w:before="95" w:line="285" w:lineRule="auto"/>
              <w:ind w:left="109" w:right="121" w:firstLine="0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Comparison of the number of correctly identified prostate cancer lesions, as confirmed by a Consensus/Expert meeting, detected using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[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68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Ga</w:t>
            </w:r>
            <w:proofErr w:type="gramStart"/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]Ga</w:t>
            </w:r>
            <w:proofErr w:type="gramEnd"/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-PSMA-11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PET/CT and [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  <w:vertAlign w:val="superscript"/>
              </w:rPr>
              <w:t>18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F]FCH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  <w:vertAlign w:val="superscript"/>
              </w:rPr>
              <w:t xml:space="preserve"> </w:t>
            </w: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PET/CT imaging.</w:t>
            </w:r>
          </w:p>
        </w:tc>
      </w:tr>
      <w:tr w:rsidR="00EB1AF8" w:rsidRPr="000A388A" w:rsidTr="00E84A4D">
        <w:tc>
          <w:tcPr>
            <w:tcW w:w="1825" w:type="dxa"/>
          </w:tcPr>
          <w:p w:rsidR="00EB1AF8" w:rsidRPr="00707FDB" w:rsidRDefault="00EB1AF8" w:rsidP="00E84A4D">
            <w:pPr>
              <w:pStyle w:val="berschrift1"/>
              <w:ind w:left="0" w:firstLine="0"/>
              <w:jc w:val="left"/>
              <w:outlineLvl w:val="0"/>
              <w:rPr>
                <w:rFonts w:asciiTheme="minorHAnsi" w:hAnsiTheme="minorHAnsi" w:cstheme="minorHAnsi"/>
                <w:b w:val="0"/>
                <w:color w:val="161616"/>
                <w:sz w:val="20"/>
                <w:szCs w:val="20"/>
              </w:rPr>
            </w:pPr>
          </w:p>
          <w:p w:rsidR="00707FDB" w:rsidRDefault="00707FDB" w:rsidP="00E84A4D">
            <w:pPr>
              <w:pStyle w:val="berschrift1"/>
              <w:ind w:left="0" w:firstLine="0"/>
              <w:jc w:val="left"/>
              <w:outlineLvl w:val="0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bookmarkStart w:id="5" w:name="_Toc44338095"/>
          </w:p>
          <w:p w:rsidR="00EB1AF8" w:rsidRPr="00707FDB" w:rsidRDefault="00EB1AF8" w:rsidP="00E84A4D">
            <w:pPr>
              <w:pStyle w:val="berschrift1"/>
              <w:ind w:left="0" w:firstLine="0"/>
              <w:jc w:val="left"/>
              <w:outlineLvl w:val="0"/>
              <w:rPr>
                <w:rFonts w:asciiTheme="minorHAnsi" w:hAnsiTheme="minorHAnsi" w:cstheme="minorHAnsi"/>
                <w:b w:val="0"/>
                <w:color w:val="161616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Secondary endpoint</w:t>
            </w:r>
            <w:bookmarkEnd w:id="5"/>
            <w:r w:rsidR="00707FDB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s</w:t>
            </w:r>
          </w:p>
        </w:tc>
        <w:tc>
          <w:tcPr>
            <w:tcW w:w="7217" w:type="dxa"/>
          </w:tcPr>
          <w:p w:rsidR="00707FDB" w:rsidRDefault="00707FDB" w:rsidP="00EB1AF8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color w:val="242424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bCs/>
                <w:color w:val="242424"/>
                <w:sz w:val="20"/>
                <w:szCs w:val="20"/>
              </w:rPr>
              <w:t>SUVmax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 and tumor-to-background ratios of the metastatic lesions in each organ as assessed by [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68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Ga</w:t>
            </w:r>
            <w:proofErr w:type="gramStart"/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]Ga</w:t>
            </w:r>
            <w:proofErr w:type="gramEnd"/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-PSMA-11 and [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18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F]FCH PET/CT.</w:t>
            </w:r>
          </w:p>
          <w:p w:rsidR="00EB1AF8" w:rsidRDefault="00EB1AF8" w:rsidP="00EB1AF8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color w:val="242424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Determination of the number of patients with changes in </w:t>
            </w:r>
            <w:r w:rsidR="00F71D02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TNM-restaging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and/or treatment following the results of the different </w:t>
            </w:r>
            <w:r w:rsidR="005D63C6"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PET/CT imaging scans assessment</w:t>
            </w:r>
            <w:r w:rsid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.</w:t>
            </w:r>
          </w:p>
          <w:p w:rsidR="00F71D02" w:rsidRDefault="00F71D02" w:rsidP="00707FDB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color w:val="24242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N</w:t>
            </w:r>
            <w:r w:rsidR="00707FDB"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umber of </w:t>
            </w:r>
            <w:r w:rsid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patients </w:t>
            </w:r>
            <w:r w:rsidR="00E13D88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with 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incongruent findings </w:t>
            </w:r>
            <w:r w:rsid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on </w:t>
            </w:r>
            <w:r w:rsidR="00707FDB"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[</w:t>
            </w:r>
            <w:r w:rsidR="00707FDB"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68</w:t>
            </w:r>
            <w:r w:rsidR="00707FDB"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Ga]Ga-PSMA-11 PET/CT and [</w:t>
            </w:r>
            <w:r w:rsidR="00707FDB" w:rsidRPr="00707FDB">
              <w:rPr>
                <w:rFonts w:asciiTheme="minorHAnsi" w:hAnsiTheme="minorHAnsi" w:cstheme="minorHAnsi"/>
                <w:color w:val="242424"/>
                <w:sz w:val="20"/>
                <w:szCs w:val="20"/>
                <w:vertAlign w:val="superscript"/>
              </w:rPr>
              <w:t>18</w:t>
            </w:r>
            <w:r w:rsidR="00707FDB"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F]FCH PET/CT </w:t>
            </w:r>
          </w:p>
          <w:p w:rsidR="00707FDB" w:rsidRDefault="00F71D02" w:rsidP="00707FDB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color w:val="24242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Determination of the number of detection lesions in patients with low PSA (i.e. &lt;1.0 ng/ml) on each </w:t>
            </w:r>
            <w:r w:rsidRPr="00F71D02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PET/CT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 modality. </w:t>
            </w:r>
          </w:p>
          <w:p w:rsidR="00F71D02" w:rsidRPr="00707FDB" w:rsidRDefault="00E13D88" w:rsidP="00707FDB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color w:val="24242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Determination of number of detected lesions in patients with ongoing and without androgen deprivation treatment (ADT) </w:t>
            </w:r>
          </w:p>
          <w:p w:rsidR="00EB1AF8" w:rsidRPr="00707FDB" w:rsidRDefault="00EB1AF8" w:rsidP="00EB1AF8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color w:val="242424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Sensitivity, specificity and </w:t>
            </w:r>
            <w:r w:rsidR="00E13D88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AUC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 values for each PET/CT imaging tracer as dete</w:t>
            </w:r>
            <w:r w:rsidR="008C00B9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 xml:space="preserve">rmined on three levels: lesion </w:t>
            </w: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and patient level</w:t>
            </w:r>
            <w:r w:rsid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.</w:t>
            </w:r>
          </w:p>
          <w:p w:rsidR="00EB1AF8" w:rsidRPr="00707FDB" w:rsidRDefault="00EB1AF8" w:rsidP="00EB1AF8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before="73" w:line="297" w:lineRule="auto"/>
              <w:ind w:left="393" w:right="84" w:hanging="363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r w:rsidRPr="00707FDB">
              <w:rPr>
                <w:rFonts w:asciiTheme="minorHAnsi" w:hAnsiTheme="minorHAnsi" w:cstheme="minorHAnsi"/>
                <w:color w:val="242424"/>
                <w:sz w:val="20"/>
                <w:szCs w:val="20"/>
              </w:rPr>
              <w:t>Number of adverse events or serious adverse events in relation with the study drug (description of the adverse events, incidence, severity and causality).</w:t>
            </w:r>
          </w:p>
        </w:tc>
      </w:tr>
    </w:tbl>
    <w:p w:rsidR="00EB1AF8" w:rsidRPr="00707FDB" w:rsidRDefault="00EB1AF8">
      <w:pPr>
        <w:rPr>
          <w:rFonts w:cstheme="minorHAnsi"/>
          <w:sz w:val="20"/>
          <w:szCs w:val="20"/>
          <w:lang w:val="en-US"/>
        </w:rPr>
      </w:pPr>
    </w:p>
    <w:sectPr w:rsidR="00EB1AF8" w:rsidRPr="00707F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C44A8"/>
    <w:multiLevelType w:val="hybridMultilevel"/>
    <w:tmpl w:val="49EA06A4"/>
    <w:lvl w:ilvl="0" w:tplc="2FC4FA52">
      <w:numFmt w:val="bullet"/>
      <w:lvlText w:val="•"/>
      <w:lvlJc w:val="left"/>
      <w:pPr>
        <w:ind w:left="849" w:hanging="361"/>
      </w:pPr>
      <w:rPr>
        <w:rFonts w:ascii="Arial" w:eastAsia="Arial" w:hAnsi="Arial" w:cs="Arial" w:hint="default"/>
        <w:color w:val="363636"/>
        <w:w w:val="99"/>
        <w:sz w:val="20"/>
        <w:szCs w:val="20"/>
      </w:rPr>
    </w:lvl>
    <w:lvl w:ilvl="1" w:tplc="DF9C17A6">
      <w:numFmt w:val="bullet"/>
      <w:lvlText w:val="•"/>
      <w:lvlJc w:val="left"/>
      <w:pPr>
        <w:ind w:left="1474" w:hanging="361"/>
      </w:pPr>
      <w:rPr>
        <w:rFonts w:hint="default"/>
      </w:rPr>
    </w:lvl>
    <w:lvl w:ilvl="2" w:tplc="9F864E28">
      <w:numFmt w:val="bullet"/>
      <w:lvlText w:val="•"/>
      <w:lvlJc w:val="left"/>
      <w:pPr>
        <w:ind w:left="2109" w:hanging="361"/>
      </w:pPr>
      <w:rPr>
        <w:rFonts w:hint="default"/>
      </w:rPr>
    </w:lvl>
    <w:lvl w:ilvl="3" w:tplc="B9C2C878">
      <w:numFmt w:val="bullet"/>
      <w:lvlText w:val="•"/>
      <w:lvlJc w:val="left"/>
      <w:pPr>
        <w:ind w:left="2744" w:hanging="361"/>
      </w:pPr>
      <w:rPr>
        <w:rFonts w:hint="default"/>
      </w:rPr>
    </w:lvl>
    <w:lvl w:ilvl="4" w:tplc="4ACCFAF2">
      <w:numFmt w:val="bullet"/>
      <w:lvlText w:val="•"/>
      <w:lvlJc w:val="left"/>
      <w:pPr>
        <w:ind w:left="3379" w:hanging="361"/>
      </w:pPr>
      <w:rPr>
        <w:rFonts w:hint="default"/>
      </w:rPr>
    </w:lvl>
    <w:lvl w:ilvl="5" w:tplc="9D8477BC">
      <w:numFmt w:val="bullet"/>
      <w:lvlText w:val="•"/>
      <w:lvlJc w:val="left"/>
      <w:pPr>
        <w:ind w:left="4014" w:hanging="361"/>
      </w:pPr>
      <w:rPr>
        <w:rFonts w:hint="default"/>
      </w:rPr>
    </w:lvl>
    <w:lvl w:ilvl="6" w:tplc="D690D8B0">
      <w:numFmt w:val="bullet"/>
      <w:lvlText w:val="•"/>
      <w:lvlJc w:val="left"/>
      <w:pPr>
        <w:ind w:left="4648" w:hanging="361"/>
      </w:pPr>
      <w:rPr>
        <w:rFonts w:hint="default"/>
      </w:rPr>
    </w:lvl>
    <w:lvl w:ilvl="7" w:tplc="6074AAAA">
      <w:numFmt w:val="bullet"/>
      <w:lvlText w:val="•"/>
      <w:lvlJc w:val="left"/>
      <w:pPr>
        <w:ind w:left="5283" w:hanging="361"/>
      </w:pPr>
      <w:rPr>
        <w:rFonts w:hint="default"/>
      </w:rPr>
    </w:lvl>
    <w:lvl w:ilvl="8" w:tplc="BB10CF5C">
      <w:numFmt w:val="bullet"/>
      <w:lvlText w:val="•"/>
      <w:lvlJc w:val="left"/>
      <w:pPr>
        <w:ind w:left="5918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AT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AF8"/>
    <w:rsid w:val="000A388A"/>
    <w:rsid w:val="00231D16"/>
    <w:rsid w:val="0045194F"/>
    <w:rsid w:val="005D63C6"/>
    <w:rsid w:val="00707FDB"/>
    <w:rsid w:val="008C00B9"/>
    <w:rsid w:val="00D33092"/>
    <w:rsid w:val="00D46193"/>
    <w:rsid w:val="00E13D88"/>
    <w:rsid w:val="00EB1AF8"/>
    <w:rsid w:val="00F7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55415"/>
  <w15:chartTrackingRefBased/>
  <w15:docId w15:val="{35D06A16-D446-4D77-BA03-900FEC0E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B1AF8"/>
    <w:pPr>
      <w:spacing w:before="183" w:after="0" w:line="283" w:lineRule="auto"/>
      <w:ind w:left="228" w:right="236" w:hanging="12"/>
      <w:jc w:val="both"/>
      <w:outlineLvl w:val="0"/>
    </w:pPr>
    <w:rPr>
      <w:rFonts w:ascii="Arial" w:eastAsia="Arial" w:hAnsi="Arial" w:cs="Arial"/>
      <w:b/>
      <w:bCs/>
      <w:color w:val="131313"/>
      <w:w w:val="105"/>
      <w:sz w:val="28"/>
      <w:szCs w:val="28"/>
      <w:lang w:val="en-US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1AF8"/>
    <w:rPr>
      <w:rFonts w:ascii="Arial" w:eastAsia="Arial" w:hAnsi="Arial" w:cs="Arial"/>
      <w:b/>
      <w:bCs/>
      <w:color w:val="131313"/>
      <w:w w:val="105"/>
      <w:sz w:val="28"/>
      <w:szCs w:val="28"/>
      <w:lang w:val="en-US" w:eastAsia="fr-FR"/>
    </w:rPr>
  </w:style>
  <w:style w:type="paragraph" w:customStyle="1" w:styleId="TableParagraph">
    <w:name w:val="Table Paragraph"/>
    <w:basedOn w:val="Standard"/>
    <w:uiPriority w:val="1"/>
    <w:qFormat/>
    <w:rsid w:val="00EB1AF8"/>
    <w:pPr>
      <w:spacing w:before="183" w:after="0" w:line="283" w:lineRule="auto"/>
      <w:ind w:left="232" w:right="236" w:hanging="12"/>
      <w:jc w:val="both"/>
    </w:pPr>
    <w:rPr>
      <w:rFonts w:ascii="Arial" w:eastAsia="Arial" w:hAnsi="Arial" w:cs="Arial"/>
      <w:color w:val="131313"/>
      <w:w w:val="105"/>
      <w:sz w:val="21"/>
      <w:szCs w:val="21"/>
      <w:lang w:val="en-US" w:eastAsia="fr-FR"/>
    </w:rPr>
  </w:style>
  <w:style w:type="table" w:styleId="Tabellenraster">
    <w:name w:val="Table Grid"/>
    <w:basedOn w:val="NormaleTabelle"/>
    <w:uiPriority w:val="39"/>
    <w:rsid w:val="00EB1AF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Salzburger Landeskliniken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Beheshti Mohsen</dc:creator>
  <cp:keywords/>
  <dc:description/>
  <cp:lastModifiedBy>Beheshti Mohsen</cp:lastModifiedBy>
  <cp:revision>4</cp:revision>
  <dcterms:created xsi:type="dcterms:W3CDTF">2025-05-07T05:47:00Z</dcterms:created>
  <dcterms:modified xsi:type="dcterms:W3CDTF">2025-05-07T06:12:00Z</dcterms:modified>
</cp:coreProperties>
</file>