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C10" w:rsidRPr="00B710DC" w:rsidRDefault="005D3C10" w:rsidP="005D3C10">
      <w:pPr>
        <w:pStyle w:val="berschrift1"/>
        <w:rPr>
          <w:rFonts w:ascii="Arial" w:hAnsi="Arial" w:cs="Arial"/>
          <w:i/>
          <w:color w:val="auto"/>
          <w:sz w:val="24"/>
          <w:lang w:val="en-US"/>
        </w:rPr>
      </w:pPr>
      <w:r w:rsidRPr="00B710DC">
        <w:rPr>
          <w:rFonts w:ascii="Arial" w:hAnsi="Arial" w:cs="Arial"/>
          <w:i/>
          <w:color w:val="auto"/>
          <w:sz w:val="24"/>
          <w:lang w:val="en-US"/>
        </w:rPr>
        <w:t>Supplemental Material</w:t>
      </w:r>
    </w:p>
    <w:p w:rsidR="005D3C10" w:rsidRPr="00B710DC" w:rsidRDefault="005D3C10" w:rsidP="005D3C10">
      <w:pPr>
        <w:rPr>
          <w:rFonts w:ascii="Arial" w:hAnsi="Arial" w:cs="Arial"/>
          <w:lang w:val="en-US"/>
        </w:rPr>
        <w:sectPr w:rsidR="005D3C10" w:rsidRPr="00B710DC">
          <w:footerReference w:type="default" r:id="rId4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bookmarkStart w:id="0" w:name="_Ref188379461"/>
      <w:r w:rsidRPr="00B710DC">
        <w:rPr>
          <w:rFonts w:ascii="Arial" w:hAnsi="Arial" w:cs="Arial"/>
          <w:i w:val="0"/>
          <w:color w:val="auto"/>
          <w:lang w:val="en-US"/>
        </w:rPr>
        <w:lastRenderedPageBreak/>
        <w:t>Supplemental Table</w:t>
      </w:r>
      <w:bookmarkEnd w:id="0"/>
      <w:r w:rsidRPr="00B710DC">
        <w:rPr>
          <w:rFonts w:ascii="Arial" w:hAnsi="Arial" w:cs="Arial"/>
          <w:i w:val="0"/>
          <w:color w:val="auto"/>
          <w:lang w:val="en-US"/>
        </w:rPr>
        <w:t xml:space="preserve"> 1 patient based biochemical and PET-derived values</w:t>
      </w:r>
      <w:r w:rsidRPr="00B710DC">
        <w:rPr>
          <w:rFonts w:ascii="Arial" w:hAnsi="Arial" w:cs="Arial"/>
          <w:i w:val="0"/>
          <w:color w:val="auto"/>
          <w:lang w:val="en-US"/>
        </w:rPr>
        <w:softHyphen/>
      </w:r>
      <w:r w:rsidRPr="00B710DC">
        <w:rPr>
          <w:rFonts w:ascii="Arial" w:hAnsi="Arial" w:cs="Arial"/>
          <w:i w:val="0"/>
          <w:color w:val="auto"/>
          <w:lang w:val="en-US"/>
        </w:rPr>
        <w:softHyphen/>
      </w:r>
      <w:r w:rsidRPr="00B710DC">
        <w:rPr>
          <w:rFonts w:ascii="Arial" w:hAnsi="Arial" w:cs="Arial"/>
          <w:i w:val="0"/>
          <w:color w:val="auto"/>
          <w:lang w:val="en-US"/>
        </w:rPr>
        <w:softHyphen/>
      </w:r>
    </w:p>
    <w:tbl>
      <w:tblPr>
        <w:tblStyle w:val="Tabellenraster"/>
        <w:tblpPr w:leftFromText="141" w:rightFromText="141" w:vertAnchor="text" w:tblpY="1"/>
        <w:tblOverlap w:val="never"/>
        <w:tblW w:w="4648" w:type="pct"/>
        <w:tblLook w:val="04A0" w:firstRow="1" w:lastRow="0" w:firstColumn="1" w:lastColumn="0" w:noHBand="0" w:noVBand="1"/>
      </w:tblPr>
      <w:tblGrid>
        <w:gridCol w:w="901"/>
        <w:gridCol w:w="986"/>
        <w:gridCol w:w="986"/>
        <w:gridCol w:w="901"/>
        <w:gridCol w:w="901"/>
        <w:gridCol w:w="656"/>
        <w:gridCol w:w="1206"/>
        <w:gridCol w:w="1084"/>
        <w:gridCol w:w="1146"/>
        <w:gridCol w:w="1219"/>
        <w:gridCol w:w="681"/>
        <w:gridCol w:w="767"/>
        <w:gridCol w:w="1084"/>
        <w:gridCol w:w="1146"/>
      </w:tblGrid>
      <w:tr w:rsidR="005D3C10" w:rsidRPr="00B710DC" w:rsidTr="00563823">
        <w:tc>
          <w:tcPr>
            <w:tcW w:w="377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Patient</w:t>
            </w:r>
          </w:p>
        </w:tc>
        <w:tc>
          <w:tcPr>
            <w:tcW w:w="379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Ca [mmol/l]</w:t>
            </w:r>
          </w:p>
        </w:tc>
        <w:tc>
          <w:tcPr>
            <w:tcW w:w="379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Ph [mmol/l]</w:t>
            </w:r>
          </w:p>
        </w:tc>
        <w:tc>
          <w:tcPr>
            <w:tcW w:w="315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FGF23 [%]</w:t>
            </w:r>
          </w:p>
        </w:tc>
        <w:tc>
          <w:tcPr>
            <w:tcW w:w="313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NTx [BCE/l]</w:t>
            </w:r>
          </w:p>
        </w:tc>
        <w:tc>
          <w:tcPr>
            <w:tcW w:w="315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 xml:space="preserve">TRP </w:t>
            </w:r>
          </w:p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[%]</w:t>
            </w:r>
          </w:p>
        </w:tc>
        <w:tc>
          <w:tcPr>
            <w:tcW w:w="398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TmP/GFR [mmol/l]</w:t>
            </w:r>
          </w:p>
        </w:tc>
        <w:tc>
          <w:tcPr>
            <w:tcW w:w="362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SUVmax PMT</w:t>
            </w:r>
          </w:p>
        </w:tc>
        <w:tc>
          <w:tcPr>
            <w:tcW w:w="382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SUVpeak PMT</w:t>
            </w:r>
          </w:p>
        </w:tc>
        <w:tc>
          <w:tcPr>
            <w:tcW w:w="411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SUVmean PMT</w:t>
            </w:r>
          </w:p>
        </w:tc>
        <w:tc>
          <w:tcPr>
            <w:tcW w:w="311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TV [ml] PMT</w:t>
            </w:r>
          </w:p>
        </w:tc>
        <w:tc>
          <w:tcPr>
            <w:tcW w:w="316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TLU [ml] PMT</w:t>
            </w:r>
          </w:p>
        </w:tc>
        <w:tc>
          <w:tcPr>
            <w:tcW w:w="362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SUVmax</w:t>
            </w:r>
          </w:p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fracture</w:t>
            </w:r>
          </w:p>
        </w:tc>
        <w:tc>
          <w:tcPr>
            <w:tcW w:w="382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SUVpeak fracture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01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2.5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0.66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329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33.5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74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0.66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15.79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7.14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8.88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1.19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10.61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1.62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1.01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02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2.69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1.41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800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14.3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90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1.4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03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2.35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1.06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452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14.2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58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1.06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60.28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17.27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38.35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0.25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9.54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2.55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1.66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04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2.32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299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25.0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7.08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4.42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4.27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1.74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7.43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4.2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2.39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05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2.32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0.69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207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13.2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86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0.69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9.11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5.09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5.47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1.37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7.49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7.24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4.76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06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2,32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0.53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1214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21.5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42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0.53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33.36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15.75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18.82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2.44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45.9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2.73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1.23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07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2.18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0.41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85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13.2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61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0.41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75.15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39.56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48.29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2.04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98.53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5.76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2.9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08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2.35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0.53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102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23.0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61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0.53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14.8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7.41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8.32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1.34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11.18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3.8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1.54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09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2.37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0.52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146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12.7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7.82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4.27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4.82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1.74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8.39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2.85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1.88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10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2.54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0.87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1818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39.0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82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0.87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11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254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182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22.1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59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0.67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9.61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8.83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5.28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2.44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12.87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4.56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2.69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12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2.47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0.55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340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29.8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80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0.55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92.36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42.7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59.4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1.41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83.76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5.1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3.34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13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2.23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1.07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1429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7.0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1.07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14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2.25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0.60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44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22.4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62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0.60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5.5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2.72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3.11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1.2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3.75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2.84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1.73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15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2.57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0.47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490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20.3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86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0.47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36.77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20.34</w:t>
            </w:r>
          </w:p>
        </w:tc>
        <w:tc>
          <w:tcPr>
            <w:tcW w:w="4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20.86</w:t>
            </w:r>
          </w:p>
        </w:tc>
        <w:tc>
          <w:tcPr>
            <w:tcW w:w="311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1.84</w:t>
            </w:r>
          </w:p>
        </w:tc>
        <w:tc>
          <w:tcPr>
            <w:tcW w:w="316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38.4</w:t>
            </w:r>
          </w:p>
        </w:tc>
        <w:tc>
          <w:tcPr>
            <w:tcW w:w="36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7.35</w:t>
            </w:r>
          </w:p>
        </w:tc>
        <w:tc>
          <w:tcPr>
            <w:tcW w:w="382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4.28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16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2.39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0.55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100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87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0.55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17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2.35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0.49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77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83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0.49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18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2.27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0.80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150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87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0.80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19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2.54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0.89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118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16.4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89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0.89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  <w:tr w:rsidR="005D3C10" w:rsidRPr="00B710DC" w:rsidTr="00563823">
        <w:trPr>
          <w:trHeight w:val="285"/>
        </w:trPr>
        <w:tc>
          <w:tcPr>
            <w:tcW w:w="377" w:type="pct"/>
            <w:noWrap/>
            <w:hideMark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color w:val="000000"/>
                <w:lang w:val="en-US" w:eastAsia="de-DE"/>
              </w:rPr>
            </w:pPr>
            <w:r w:rsidRPr="00B710DC">
              <w:rPr>
                <w:rFonts w:ascii="Arial" w:eastAsia="Times New Roman" w:hAnsi="Arial" w:cs="Arial"/>
                <w:color w:val="000000"/>
                <w:lang w:val="en-US" w:eastAsia="de-DE"/>
              </w:rPr>
              <w:t>20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2.29</w:t>
            </w:r>
          </w:p>
        </w:tc>
        <w:tc>
          <w:tcPr>
            <w:tcW w:w="379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0.77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90</w:t>
            </w:r>
          </w:p>
        </w:tc>
        <w:tc>
          <w:tcPr>
            <w:tcW w:w="313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6.7</w:t>
            </w:r>
          </w:p>
        </w:tc>
        <w:tc>
          <w:tcPr>
            <w:tcW w:w="315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74</w:t>
            </w:r>
          </w:p>
        </w:tc>
        <w:tc>
          <w:tcPr>
            <w:tcW w:w="398" w:type="pct"/>
            <w:vAlign w:val="bottom"/>
          </w:tcPr>
          <w:p w:rsidR="005D3C10" w:rsidRPr="00B710DC" w:rsidRDefault="005D3C10" w:rsidP="00563823">
            <w:pPr>
              <w:spacing w:line="276" w:lineRule="auto"/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4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1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16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6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  <w:tc>
          <w:tcPr>
            <w:tcW w:w="382" w:type="pct"/>
          </w:tcPr>
          <w:p w:rsidR="005D3C10" w:rsidRPr="00B710DC" w:rsidRDefault="005D3C10" w:rsidP="00563823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0.00</w:t>
            </w:r>
          </w:p>
        </w:tc>
      </w:tr>
    </w:tbl>
    <w:p w:rsidR="005D3C10" w:rsidRPr="00B710DC" w:rsidRDefault="005D3C10" w:rsidP="005D3C10">
      <w:pPr>
        <w:pStyle w:val="Beschriftung"/>
        <w:rPr>
          <w:rFonts w:ascii="Arial" w:hAnsi="Arial" w:cs="Arial"/>
          <w:i w:val="0"/>
          <w:iCs w:val="0"/>
          <w:lang w:val="en-US"/>
        </w:rPr>
      </w:pPr>
    </w:p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  <w:sectPr w:rsidR="005D3C10" w:rsidRPr="00B710DC" w:rsidSect="00DF5414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B710DC">
        <w:rPr>
          <w:rFonts w:ascii="Arial" w:hAnsi="Arial" w:cs="Arial"/>
          <w:i w:val="0"/>
          <w:color w:val="auto"/>
          <w:lang w:val="en-US"/>
        </w:rPr>
        <w:t>Abbreviations: Ca: calcium; Ph: phosphate; FGF23: fibroblast growth factor 23; NTx: N-terminal telopeptide; TRP: tubular reabsorption of phosphate; TmP/GFR: tubular maximum phosphate reabsorption capacity; SUV: standardized uptake value; TV: tumor volume; TLU: Total lesion uptake</w:t>
      </w:r>
    </w:p>
    <w:p w:rsidR="005D3C10" w:rsidRPr="00B710DC" w:rsidRDefault="005D3C10" w:rsidP="005D3C10">
      <w:pPr>
        <w:pStyle w:val="Beschriftung"/>
        <w:keepNext/>
        <w:rPr>
          <w:rFonts w:ascii="Arial" w:hAnsi="Arial" w:cs="Arial"/>
          <w:i w:val="0"/>
          <w:color w:val="auto"/>
          <w:lang w:val="en-US"/>
        </w:rPr>
      </w:pPr>
      <w:r w:rsidRPr="00B710DC">
        <w:rPr>
          <w:rFonts w:ascii="Arial" w:hAnsi="Arial" w:cs="Arial"/>
          <w:i w:val="0"/>
          <w:color w:val="auto"/>
          <w:lang w:val="en-US"/>
        </w:rPr>
        <w:lastRenderedPageBreak/>
        <w:t xml:space="preserve">Supplemental Table 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begin"/>
      </w:r>
      <w:r w:rsidRPr="00B710DC">
        <w:rPr>
          <w:rFonts w:ascii="Arial" w:hAnsi="Arial" w:cs="Arial"/>
          <w:i w:val="0"/>
          <w:color w:val="auto"/>
          <w:lang w:val="en-US"/>
        </w:rPr>
        <w:instrText xml:space="preserve"> SEQ Table \* ARABIC </w:instrText>
      </w:r>
      <w:r w:rsidRPr="00B710DC">
        <w:rPr>
          <w:rFonts w:ascii="Arial" w:hAnsi="Arial" w:cs="Arial"/>
          <w:i w:val="0"/>
          <w:color w:val="auto"/>
          <w:lang w:val="en-US"/>
        </w:rPr>
        <w:fldChar w:fldCharType="separate"/>
      </w:r>
      <w:r w:rsidRPr="00B710DC">
        <w:rPr>
          <w:rFonts w:ascii="Arial" w:hAnsi="Arial" w:cs="Arial"/>
          <w:i w:val="0"/>
          <w:noProof/>
          <w:color w:val="auto"/>
          <w:lang w:val="en-US"/>
        </w:rPr>
        <w:t>2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end"/>
      </w:r>
      <w:r w:rsidRPr="00B710DC">
        <w:rPr>
          <w:rFonts w:ascii="Arial" w:hAnsi="Arial" w:cs="Arial"/>
          <w:i w:val="0"/>
          <w:color w:val="auto"/>
          <w:lang w:val="en-US"/>
        </w:rPr>
        <w:t xml:space="preserve"> PET parameter and laboratory values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689"/>
        <w:gridCol w:w="2409"/>
        <w:gridCol w:w="1700"/>
        <w:gridCol w:w="2264"/>
      </w:tblGrid>
      <w:tr w:rsidR="005D3C10" w:rsidRPr="00B710DC" w:rsidTr="00563823">
        <w:tc>
          <w:tcPr>
            <w:tcW w:w="2813" w:type="pct"/>
            <w:gridSpan w:val="2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PET Parameter (n = 12)</w:t>
            </w:r>
          </w:p>
        </w:tc>
        <w:tc>
          <w:tcPr>
            <w:tcW w:w="938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median</w:t>
            </w:r>
          </w:p>
        </w:tc>
        <w:tc>
          <w:tcPr>
            <w:tcW w:w="1249" w:type="pct"/>
            <w:shd w:val="clear" w:color="auto" w:fill="E7E6E6" w:themeFill="background2"/>
          </w:tcPr>
          <w:p w:rsidR="005D3C10" w:rsidRPr="00B710DC" w:rsidRDefault="005D3C10" w:rsidP="00563823">
            <w:pPr>
              <w:tabs>
                <w:tab w:val="right" w:pos="2541"/>
              </w:tabs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range</w:t>
            </w:r>
            <w:r w:rsidRPr="00B710DC">
              <w:rPr>
                <w:rFonts w:ascii="Arial" w:hAnsi="Arial" w:cs="Arial"/>
                <w:lang w:val="en-US"/>
              </w:rPr>
              <w:tab/>
            </w:r>
          </w:p>
        </w:tc>
      </w:tr>
      <w:tr w:rsidR="005D3C10" w:rsidRPr="00B710DC" w:rsidTr="00563823">
        <w:tc>
          <w:tcPr>
            <w:tcW w:w="1484" w:type="pct"/>
            <w:vMerge w:val="restar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PMT</w:t>
            </w:r>
          </w:p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SUVmax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15.30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5.50 – 92.36</w:t>
            </w:r>
          </w:p>
        </w:tc>
      </w:tr>
      <w:tr w:rsidR="005D3C10" w:rsidRPr="00B710DC" w:rsidTr="00563823">
        <w:tc>
          <w:tcPr>
            <w:tcW w:w="1484" w:type="pct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SUVpeak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8.12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2.72 – 42.70</w:t>
            </w:r>
          </w:p>
        </w:tc>
      </w:tr>
      <w:tr w:rsidR="005D3C10" w:rsidRPr="00B710DC" w:rsidTr="00563823">
        <w:tc>
          <w:tcPr>
            <w:tcW w:w="1484" w:type="pct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SUVmean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8.6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3.11 – 59.40</w:t>
            </w:r>
          </w:p>
        </w:tc>
      </w:tr>
      <w:tr w:rsidR="005D3C10" w:rsidRPr="00B710DC" w:rsidTr="00563823">
        <w:tc>
          <w:tcPr>
            <w:tcW w:w="1484" w:type="pct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TV [ml]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1.58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0.25 – 2.44</w:t>
            </w:r>
          </w:p>
        </w:tc>
      </w:tr>
      <w:tr w:rsidR="005D3C10" w:rsidRPr="00B710DC" w:rsidTr="00563823">
        <w:tc>
          <w:tcPr>
            <w:tcW w:w="1484" w:type="pct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TLU [ml]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10.90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3.75 – 98.53</w:t>
            </w:r>
          </w:p>
        </w:tc>
      </w:tr>
      <w:tr w:rsidR="005D3C10" w:rsidRPr="00B710DC" w:rsidTr="00563823">
        <w:tc>
          <w:tcPr>
            <w:tcW w:w="1484" w:type="pct"/>
            <w:vMerge w:val="restar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Hottest fracture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SUVmax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4.00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1.62 – 7.35</w:t>
            </w:r>
          </w:p>
        </w:tc>
      </w:tr>
      <w:tr w:rsidR="005D3C10" w:rsidRPr="00B710DC" w:rsidTr="00563823">
        <w:tc>
          <w:tcPr>
            <w:tcW w:w="1484" w:type="pct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SUVpeak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2.14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1.01 – 4.76</w:t>
            </w:r>
          </w:p>
        </w:tc>
      </w:tr>
      <w:tr w:rsidR="005D3C10" w:rsidRPr="00B710DC" w:rsidTr="00563823">
        <w:tc>
          <w:tcPr>
            <w:tcW w:w="1484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Laboratory values (n = 20)</w:t>
            </w:r>
          </w:p>
        </w:tc>
        <w:tc>
          <w:tcPr>
            <w:tcW w:w="1329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Normal range</w:t>
            </w:r>
          </w:p>
        </w:tc>
        <w:tc>
          <w:tcPr>
            <w:tcW w:w="938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median</w:t>
            </w:r>
          </w:p>
        </w:tc>
        <w:tc>
          <w:tcPr>
            <w:tcW w:w="1249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range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Calcium [mmol/l]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2.1 – 2.6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2.36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2.18 – 2.57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Phosphorus [mmol/l]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0.87 -1.45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0.63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0.41 -1.06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ALK [U/l]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53.00 – 128.00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205.50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67.00 – 481.00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PTH [pg/ml]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 xml:space="preserve">15.00 – 57.00 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51.80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12.90 – 284.50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Vitamin D [ng/ml]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20.00 – 40.00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27.00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11.00 – 54.00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FGF23 [%]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35 – 100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176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44 – 1214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N-Telopeptide [BCE/l]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5.40 – 24.20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20.90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12.70 – 33.50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TRP [%]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82 – 90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74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42 – 86</w:t>
            </w:r>
          </w:p>
        </w:tc>
      </w:tr>
      <w:tr w:rsidR="005D3C10" w:rsidRPr="00B710DC" w:rsidTr="00563823">
        <w:tc>
          <w:tcPr>
            <w:tcW w:w="1484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TmP/GFR [mmol/l]</w:t>
            </w:r>
          </w:p>
        </w:tc>
        <w:tc>
          <w:tcPr>
            <w:tcW w:w="132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0.80 – 1.60</w:t>
            </w:r>
          </w:p>
        </w:tc>
        <w:tc>
          <w:tcPr>
            <w:tcW w:w="938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0.66</w:t>
            </w:r>
          </w:p>
        </w:tc>
        <w:tc>
          <w:tcPr>
            <w:tcW w:w="1249" w:type="pc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0.41 – 1.10</w:t>
            </w:r>
          </w:p>
        </w:tc>
      </w:tr>
    </w:tbl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r w:rsidRPr="00B710DC">
        <w:rPr>
          <w:rFonts w:ascii="Arial" w:hAnsi="Arial" w:cs="Arial"/>
          <w:i w:val="0"/>
          <w:color w:val="auto"/>
          <w:lang w:val="en-US"/>
        </w:rPr>
        <w:t>Abbreviations: ALK: alkaline phosphatase; FGF23: fibroblast growth factor 23; PMT: phosphaturic mesenchymal tumors; PTH: parathyroid hormone; SUV: standardized uptake value; TLU: total lesion uptake; TmP: tubular maximum of phosphate reabsorption; TmP/GFR: tubular maximum of phosphate reabsorption capacity; TRP: tubular reabsorption of phosphate; TV: tumor volume</w:t>
      </w:r>
    </w:p>
    <w:p w:rsidR="005D3C10" w:rsidRPr="00B710DC" w:rsidRDefault="005D3C10" w:rsidP="005D3C10">
      <w:pPr>
        <w:pStyle w:val="Beschriftung"/>
        <w:keepNext/>
        <w:rPr>
          <w:rFonts w:ascii="Arial" w:hAnsi="Arial" w:cs="Arial"/>
          <w:i w:val="0"/>
          <w:lang w:val="en-US"/>
        </w:rPr>
      </w:pPr>
      <w:bookmarkStart w:id="1" w:name="_Ref192658681"/>
      <w:bookmarkStart w:id="2" w:name="_Ref192658674"/>
    </w:p>
    <w:p w:rsidR="005D3C10" w:rsidRPr="00B710DC" w:rsidRDefault="005D3C10" w:rsidP="005D3C10">
      <w:pPr>
        <w:pStyle w:val="Beschriftung"/>
        <w:keepNext/>
        <w:rPr>
          <w:rFonts w:ascii="Arial" w:hAnsi="Arial" w:cs="Arial"/>
          <w:i w:val="0"/>
          <w:color w:val="auto"/>
          <w:lang w:val="en-US"/>
        </w:rPr>
      </w:pPr>
      <w:bookmarkStart w:id="3" w:name="_Ref192698989"/>
      <w:r w:rsidRPr="00B710DC">
        <w:rPr>
          <w:rFonts w:ascii="Arial" w:hAnsi="Arial" w:cs="Arial"/>
          <w:i w:val="0"/>
          <w:color w:val="auto"/>
          <w:lang w:val="en-US"/>
        </w:rPr>
        <w:t xml:space="preserve">Supplemental Table 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begin"/>
      </w:r>
      <w:r w:rsidRPr="00B710DC">
        <w:rPr>
          <w:rFonts w:ascii="Arial" w:hAnsi="Arial" w:cs="Arial"/>
          <w:i w:val="0"/>
          <w:color w:val="auto"/>
          <w:lang w:val="en-US"/>
        </w:rPr>
        <w:instrText xml:space="preserve"> SEQ Table \* ARABIC </w:instrText>
      </w:r>
      <w:r w:rsidRPr="00B710DC">
        <w:rPr>
          <w:rFonts w:ascii="Arial" w:hAnsi="Arial" w:cs="Arial"/>
          <w:i w:val="0"/>
          <w:color w:val="auto"/>
          <w:lang w:val="en-US"/>
        </w:rPr>
        <w:fldChar w:fldCharType="separate"/>
      </w:r>
      <w:r w:rsidRPr="00B710DC">
        <w:rPr>
          <w:rFonts w:ascii="Arial" w:hAnsi="Arial" w:cs="Arial"/>
          <w:i w:val="0"/>
          <w:noProof/>
          <w:color w:val="auto"/>
          <w:lang w:val="en-US"/>
        </w:rPr>
        <w:t>3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end"/>
      </w:r>
      <w:bookmarkEnd w:id="1"/>
      <w:bookmarkEnd w:id="3"/>
      <w:r w:rsidRPr="00B710DC">
        <w:rPr>
          <w:rFonts w:ascii="Arial" w:hAnsi="Arial" w:cs="Arial"/>
          <w:i w:val="0"/>
          <w:color w:val="auto"/>
          <w:lang w:val="en-US"/>
        </w:rPr>
        <w:t xml:space="preserve"> PMT in SSTR – directed PET/CT</w:t>
      </w:r>
      <w:bookmarkEnd w:id="2"/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1701"/>
        <w:gridCol w:w="2546"/>
      </w:tblGrid>
      <w:tr w:rsidR="005D3C10" w:rsidRPr="00B710DC" w:rsidTr="00563823">
        <w:tc>
          <w:tcPr>
            <w:tcW w:w="4815" w:type="dxa"/>
            <w:gridSpan w:val="2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 xml:space="preserve">number </w:t>
            </w:r>
            <w:r w:rsidRPr="00B710DC">
              <w:rPr>
                <w:rFonts w:ascii="Arial" w:hAnsi="Arial" w:cs="Arial"/>
                <w:szCs w:val="24"/>
                <w:lang w:val="en-US"/>
              </w:rPr>
              <w:t>[n]</w:t>
            </w:r>
          </w:p>
        </w:tc>
        <w:tc>
          <w:tcPr>
            <w:tcW w:w="2546" w:type="dxa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szCs w:val="24"/>
                <w:lang w:val="en-US"/>
              </w:rPr>
              <w:t xml:space="preserve">percentage [%] </w:t>
            </w:r>
          </w:p>
        </w:tc>
      </w:tr>
      <w:tr w:rsidR="005D3C10" w:rsidRPr="00B710DC" w:rsidTr="00563823">
        <w:tc>
          <w:tcPr>
            <w:tcW w:w="4815" w:type="dxa"/>
            <w:gridSpan w:val="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Detection of PMT in SSTR-directed PET/CT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60</w:t>
            </w:r>
          </w:p>
        </w:tc>
      </w:tr>
      <w:tr w:rsidR="005D3C10" w:rsidRPr="00B710DC" w:rsidTr="00563823">
        <w:tc>
          <w:tcPr>
            <w:tcW w:w="4815" w:type="dxa"/>
            <w:gridSpan w:val="2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lastRenderedPageBreak/>
              <w:t>PMT positive patients (n = 12)</w:t>
            </w:r>
          </w:p>
        </w:tc>
        <w:tc>
          <w:tcPr>
            <w:tcW w:w="1701" w:type="dxa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 xml:space="preserve">number </w:t>
            </w:r>
            <w:r w:rsidRPr="00B710DC">
              <w:rPr>
                <w:rFonts w:ascii="Arial" w:hAnsi="Arial" w:cs="Arial"/>
                <w:szCs w:val="24"/>
                <w:lang w:val="en-US"/>
              </w:rPr>
              <w:t>[n]</w:t>
            </w:r>
          </w:p>
        </w:tc>
        <w:tc>
          <w:tcPr>
            <w:tcW w:w="2546" w:type="dxa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szCs w:val="24"/>
                <w:lang w:val="en-US"/>
              </w:rPr>
              <w:t>percentage [%] or range</w:t>
            </w:r>
          </w:p>
        </w:tc>
      </w:tr>
      <w:tr w:rsidR="005D3C10" w:rsidRPr="00B710DC" w:rsidTr="00563823">
        <w:tc>
          <w:tcPr>
            <w:tcW w:w="2547" w:type="dxa"/>
            <w:vMerge w:val="restar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Localization of PMT in SSTR- directed PET/CT</w:t>
            </w:r>
          </w:p>
        </w:tc>
        <w:tc>
          <w:tcPr>
            <w:tcW w:w="2268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lower limb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50</w:t>
            </w:r>
          </w:p>
        </w:tc>
      </w:tr>
      <w:tr w:rsidR="005D3C10" w:rsidRPr="00B710DC" w:rsidTr="00563823">
        <w:tc>
          <w:tcPr>
            <w:tcW w:w="2547" w:type="dxa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trunk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33</w:t>
            </w:r>
          </w:p>
        </w:tc>
      </w:tr>
      <w:tr w:rsidR="005D3C10" w:rsidRPr="00B710DC" w:rsidTr="00563823">
        <w:tc>
          <w:tcPr>
            <w:tcW w:w="2547" w:type="dxa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pelvis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8</w:t>
            </w:r>
          </w:p>
        </w:tc>
      </w:tr>
      <w:tr w:rsidR="005D3C10" w:rsidRPr="00B710DC" w:rsidTr="00563823">
        <w:tc>
          <w:tcPr>
            <w:tcW w:w="2547" w:type="dxa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hand/foot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8</w:t>
            </w:r>
          </w:p>
        </w:tc>
      </w:tr>
      <w:tr w:rsidR="005D3C10" w:rsidRPr="00B710DC" w:rsidTr="00563823">
        <w:tc>
          <w:tcPr>
            <w:tcW w:w="2547" w:type="dxa"/>
            <w:vMerge w:val="restart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Origin of PMT</w:t>
            </w:r>
          </w:p>
        </w:tc>
        <w:tc>
          <w:tcPr>
            <w:tcW w:w="2268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bone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19</w:t>
            </w:r>
          </w:p>
        </w:tc>
      </w:tr>
      <w:tr w:rsidR="005D3C10" w:rsidRPr="00B710DC" w:rsidTr="00563823">
        <w:tc>
          <w:tcPr>
            <w:tcW w:w="2547" w:type="dxa"/>
            <w:vMerge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soft tissue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38</w:t>
            </w:r>
          </w:p>
        </w:tc>
      </w:tr>
      <w:tr w:rsidR="005D3C10" w:rsidRPr="00B710DC" w:rsidTr="00563823">
        <w:tc>
          <w:tcPr>
            <w:tcW w:w="4815" w:type="dxa"/>
            <w:gridSpan w:val="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Pathological fractures parallel to detected PMT</w:t>
            </w:r>
          </w:p>
        </w:tc>
        <w:tc>
          <w:tcPr>
            <w:tcW w:w="1701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23</w:t>
            </w:r>
          </w:p>
        </w:tc>
        <w:tc>
          <w:tcPr>
            <w:tcW w:w="2546" w:type="dxa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3 - 69</w:t>
            </w:r>
          </w:p>
        </w:tc>
      </w:tr>
    </w:tbl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r w:rsidRPr="00B710DC">
        <w:rPr>
          <w:rFonts w:ascii="Arial" w:hAnsi="Arial" w:cs="Arial"/>
          <w:i w:val="0"/>
          <w:color w:val="auto"/>
          <w:lang w:val="en-US"/>
        </w:rPr>
        <w:t>Abbreviations: PMT: phosphaturic mesenchymal tumors; SSTR: somatostatin receptor</w:t>
      </w:r>
    </w:p>
    <w:p w:rsidR="005D3C10" w:rsidRPr="00B710DC" w:rsidRDefault="005D3C10" w:rsidP="005D3C10">
      <w:pPr>
        <w:pStyle w:val="Beschriftung"/>
        <w:keepNext/>
        <w:rPr>
          <w:rFonts w:ascii="Arial" w:hAnsi="Arial" w:cs="Arial"/>
          <w:i w:val="0"/>
          <w:color w:val="auto"/>
          <w:lang w:val="en-US"/>
        </w:rPr>
      </w:pPr>
      <w:bookmarkStart w:id="4" w:name="_Ref207634399"/>
      <w:r w:rsidRPr="00B710DC">
        <w:rPr>
          <w:rFonts w:ascii="Arial" w:hAnsi="Arial" w:cs="Arial"/>
          <w:i w:val="0"/>
          <w:color w:val="auto"/>
          <w:lang w:val="en-US"/>
        </w:rPr>
        <w:t xml:space="preserve">Supplemental Table 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begin"/>
      </w:r>
      <w:r w:rsidRPr="00B710DC">
        <w:rPr>
          <w:rFonts w:ascii="Arial" w:hAnsi="Arial" w:cs="Arial"/>
          <w:i w:val="0"/>
          <w:color w:val="auto"/>
          <w:lang w:val="en-US"/>
        </w:rPr>
        <w:instrText xml:space="preserve"> SEQ Table \* ARABIC </w:instrText>
      </w:r>
      <w:r w:rsidRPr="00B710DC">
        <w:rPr>
          <w:rFonts w:ascii="Arial" w:hAnsi="Arial" w:cs="Arial"/>
          <w:i w:val="0"/>
          <w:color w:val="auto"/>
          <w:lang w:val="en-US"/>
        </w:rPr>
        <w:fldChar w:fldCharType="separate"/>
      </w:r>
      <w:r w:rsidRPr="00B710DC">
        <w:rPr>
          <w:rFonts w:ascii="Arial" w:hAnsi="Arial" w:cs="Arial"/>
          <w:i w:val="0"/>
          <w:noProof/>
          <w:color w:val="auto"/>
          <w:lang w:val="en-US"/>
        </w:rPr>
        <w:t>4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end"/>
      </w:r>
      <w:bookmarkEnd w:id="4"/>
      <w:r w:rsidRPr="00B710DC">
        <w:rPr>
          <w:rFonts w:ascii="Arial" w:hAnsi="Arial" w:cs="Arial"/>
          <w:i w:val="0"/>
          <w:color w:val="auto"/>
          <w:lang w:val="en-US"/>
        </w:rPr>
        <w:t>: IRS for all PMT+ patients (n = 12). Proportion: 0 for 0 %, 1 for 1-9 %, 2 for 10-50 %, 3 for 51 – 80 % and 4 ≥ 80 %. Intensity: 1 for weak intensity, 2 for medium intensity and 3 for strong intensity.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990"/>
        <w:gridCol w:w="2691"/>
        <w:gridCol w:w="2691"/>
        <w:gridCol w:w="2690"/>
      </w:tblGrid>
      <w:tr w:rsidR="005D3C10" w:rsidRPr="00B710DC" w:rsidTr="00563823">
        <w:tc>
          <w:tcPr>
            <w:tcW w:w="546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Patient</w:t>
            </w:r>
          </w:p>
        </w:tc>
        <w:tc>
          <w:tcPr>
            <w:tcW w:w="1485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ind w:left="708" w:hanging="708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Proportion [%]</w:t>
            </w:r>
          </w:p>
        </w:tc>
        <w:tc>
          <w:tcPr>
            <w:tcW w:w="1485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intensity</w:t>
            </w:r>
          </w:p>
        </w:tc>
        <w:tc>
          <w:tcPr>
            <w:tcW w:w="1484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IRS [proportion x intensity]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01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8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03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12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04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n.e.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n.e.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n.e.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05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06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07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08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12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09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11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12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9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14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</w:tr>
      <w:tr w:rsidR="005D3C10" w:rsidRPr="00B710DC" w:rsidTr="00563823">
        <w:tc>
          <w:tcPr>
            <w:tcW w:w="546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15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485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484" w:type="pct"/>
            <w:vAlign w:val="bottom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B710DC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</w:tr>
    </w:tbl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r w:rsidRPr="00B710DC">
        <w:rPr>
          <w:rFonts w:ascii="Arial" w:hAnsi="Arial" w:cs="Arial"/>
          <w:i w:val="0"/>
          <w:color w:val="auto"/>
          <w:lang w:val="en-US"/>
        </w:rPr>
        <w:t>Abbreviations: IRS: immunoreactive score; n.e.: not evaluable; PMT: phosphaturic mesenchymal tumors; SSTR: somatostatin receptor</w:t>
      </w:r>
    </w:p>
    <w:p w:rsidR="005D3C10" w:rsidRPr="00B710DC" w:rsidRDefault="005D3C10" w:rsidP="005D3C10">
      <w:pPr>
        <w:pStyle w:val="Untertitel"/>
        <w:rPr>
          <w:rFonts w:ascii="Arial" w:hAnsi="Arial" w:cs="Arial"/>
          <w:lang w:val="en-US"/>
        </w:rPr>
      </w:pPr>
    </w:p>
    <w:p w:rsidR="005D3C10" w:rsidRPr="00B710DC" w:rsidRDefault="005D3C10" w:rsidP="005D3C10">
      <w:pPr>
        <w:rPr>
          <w:rFonts w:ascii="Arial" w:hAnsi="Arial" w:cs="Arial"/>
          <w:lang w:val="en-US"/>
        </w:rPr>
      </w:pPr>
    </w:p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bookmarkStart w:id="5" w:name="_Ref192694579"/>
      <w:bookmarkStart w:id="6" w:name="_Ref192694568"/>
      <w:r w:rsidRPr="00B710DC">
        <w:rPr>
          <w:rFonts w:ascii="Arial" w:hAnsi="Arial" w:cs="Arial"/>
          <w:i w:val="0"/>
          <w:color w:val="auto"/>
          <w:lang w:val="en-US"/>
        </w:rPr>
        <w:t xml:space="preserve">Supplemental Table 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begin"/>
      </w:r>
      <w:r w:rsidRPr="00B710DC">
        <w:rPr>
          <w:rFonts w:ascii="Arial" w:hAnsi="Arial" w:cs="Arial"/>
          <w:i w:val="0"/>
          <w:color w:val="auto"/>
          <w:lang w:val="en-US"/>
        </w:rPr>
        <w:instrText xml:space="preserve"> SEQ Table \* ARABIC </w:instrText>
      </w:r>
      <w:r w:rsidRPr="00B710DC">
        <w:rPr>
          <w:rFonts w:ascii="Arial" w:hAnsi="Arial" w:cs="Arial"/>
          <w:i w:val="0"/>
          <w:color w:val="auto"/>
          <w:lang w:val="en-US"/>
        </w:rPr>
        <w:fldChar w:fldCharType="separate"/>
      </w:r>
      <w:r w:rsidRPr="00B710DC">
        <w:rPr>
          <w:rFonts w:ascii="Arial" w:hAnsi="Arial" w:cs="Arial"/>
          <w:i w:val="0"/>
          <w:noProof/>
          <w:color w:val="auto"/>
          <w:lang w:val="en-US"/>
        </w:rPr>
        <w:t>5</w:t>
      </w:r>
      <w:r w:rsidRPr="00B710DC">
        <w:rPr>
          <w:rFonts w:ascii="Arial" w:hAnsi="Arial" w:cs="Arial"/>
          <w:i w:val="0"/>
          <w:color w:val="auto"/>
          <w:lang w:val="en-US"/>
        </w:rPr>
        <w:fldChar w:fldCharType="end"/>
      </w:r>
      <w:bookmarkEnd w:id="5"/>
      <w:r w:rsidRPr="00B710DC">
        <w:rPr>
          <w:rFonts w:ascii="Arial" w:hAnsi="Arial" w:cs="Arial"/>
          <w:i w:val="0"/>
          <w:color w:val="auto"/>
          <w:lang w:val="en-US"/>
        </w:rPr>
        <w:t>: Spearman rank test PET values and biochemical values</w:t>
      </w:r>
      <w:bookmarkEnd w:id="6"/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837"/>
        <w:gridCol w:w="2409"/>
        <w:gridCol w:w="1606"/>
        <w:gridCol w:w="1606"/>
        <w:gridCol w:w="1604"/>
      </w:tblGrid>
      <w:tr w:rsidR="005D3C10" w:rsidRPr="00B710DC" w:rsidTr="00563823">
        <w:tc>
          <w:tcPr>
            <w:tcW w:w="2343" w:type="pct"/>
            <w:gridSpan w:val="2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Correlation parameters</w:t>
            </w:r>
          </w:p>
        </w:tc>
        <w:tc>
          <w:tcPr>
            <w:tcW w:w="886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number</w:t>
            </w:r>
          </w:p>
        </w:tc>
        <w:tc>
          <w:tcPr>
            <w:tcW w:w="886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r-value</w:t>
            </w:r>
          </w:p>
        </w:tc>
        <w:tc>
          <w:tcPr>
            <w:tcW w:w="885" w:type="pct"/>
            <w:shd w:val="clear" w:color="auto" w:fill="E7E6E6" w:themeFill="background2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p-value</w:t>
            </w:r>
          </w:p>
        </w:tc>
      </w:tr>
      <w:tr w:rsidR="005D3C10" w:rsidRPr="00B710DC" w:rsidTr="00563823">
        <w:tc>
          <w:tcPr>
            <w:tcW w:w="1014" w:type="pct"/>
            <w:vMerge w:val="restar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SUVmax</w:t>
            </w: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Calcium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0.22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0.49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Phosphorus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-0.25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0.44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FGF23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0.48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0.12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N-Telopeptide [BCE/l]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-0.01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1.00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TRP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-0.08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0.83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TmP/GFR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-0.38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0.27</w:t>
            </w:r>
          </w:p>
        </w:tc>
      </w:tr>
      <w:tr w:rsidR="005D3C10" w:rsidRPr="00B710DC" w:rsidTr="00563823">
        <w:tc>
          <w:tcPr>
            <w:tcW w:w="1014" w:type="pct"/>
            <w:vMerge w:val="restar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SUVpeak</w:t>
            </w: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Calcium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0.24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0.44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Phosphorus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0.27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0.39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FGF23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0.46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0.13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N-Telopeptide [BCE/l]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-0.01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1.00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TRP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-0.09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0.82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TmP/GFR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-0.46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0.19</w:t>
            </w:r>
          </w:p>
        </w:tc>
      </w:tr>
      <w:tr w:rsidR="005D3C10" w:rsidRPr="00B710DC" w:rsidTr="00563823">
        <w:tc>
          <w:tcPr>
            <w:tcW w:w="1014" w:type="pct"/>
            <w:vMerge w:val="restar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SUVmean</w:t>
            </w: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Calcium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0.17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0.60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Phosphorus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-0.24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0.45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FGF23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0.48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0.12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N-Telopeptide [BCE/l]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-0.04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0.92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TRP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0.01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1.00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TmP/GFR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-0.37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0.29</w:t>
            </w:r>
          </w:p>
        </w:tc>
      </w:tr>
      <w:tr w:rsidR="005D3C10" w:rsidRPr="00B710DC" w:rsidTr="00563823">
        <w:tc>
          <w:tcPr>
            <w:tcW w:w="1014" w:type="pct"/>
            <w:vMerge w:val="restar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TV [ml]</w:t>
            </w: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Calcium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0.04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0.90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Phosphorus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-0.05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0.08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FGF23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0.11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0.74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N-Telopeptide [BCE/l]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-0.27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0.39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TRP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-0.18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0.62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TmP/GFR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-0.49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0.15</w:t>
            </w:r>
          </w:p>
        </w:tc>
      </w:tr>
      <w:tr w:rsidR="005D3C10" w:rsidRPr="00B710DC" w:rsidTr="00563823">
        <w:tc>
          <w:tcPr>
            <w:tcW w:w="1014" w:type="pct"/>
            <w:vMerge w:val="restar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lastRenderedPageBreak/>
              <w:t>TLU [ml]</w:t>
            </w: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Calcium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0.23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0.48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Phosphorus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-0.51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0.09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FGF23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0.30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0.34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N-Telopeptide [BCE/l]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-0.01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1.00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TRP [%]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-0.14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0.70</w:t>
            </w:r>
          </w:p>
        </w:tc>
      </w:tr>
      <w:tr w:rsidR="005D3C10" w:rsidRPr="00B710DC" w:rsidTr="00563823">
        <w:tc>
          <w:tcPr>
            <w:tcW w:w="1014" w:type="pct"/>
            <w:vMerge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329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TmP/GFR [mmol/l]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886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-0.71</w:t>
            </w:r>
          </w:p>
        </w:tc>
        <w:tc>
          <w:tcPr>
            <w:tcW w:w="885" w:type="pct"/>
            <w:shd w:val="clear" w:color="auto" w:fill="auto"/>
          </w:tcPr>
          <w:p w:rsidR="005D3C10" w:rsidRPr="00B710DC" w:rsidRDefault="005D3C10" w:rsidP="00563823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B710DC">
              <w:rPr>
                <w:rFonts w:ascii="Arial" w:hAnsi="Arial" w:cs="Arial"/>
                <w:lang w:val="en-US"/>
              </w:rPr>
              <w:t>0.03</w:t>
            </w:r>
          </w:p>
        </w:tc>
      </w:tr>
    </w:tbl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r w:rsidRPr="00B710DC">
        <w:rPr>
          <w:rFonts w:ascii="Arial" w:hAnsi="Arial" w:cs="Arial"/>
          <w:i w:val="0"/>
          <w:color w:val="auto"/>
          <w:lang w:val="en-US"/>
        </w:rPr>
        <w:t>Abbreviations: FGF23: fibroblast growth factor 23; SUV: standardized uptake value; TLU: total lesion uptake; TmP/GFR: tubular maximum of phosphate reabsorption capacity; TRP: tubular reabsorption of phosphate; TV: tumor volume</w:t>
      </w:r>
    </w:p>
    <w:p w:rsidR="005D3C10" w:rsidRPr="00B710DC" w:rsidRDefault="005D3C10" w:rsidP="005D3C10">
      <w:pPr>
        <w:keepNext/>
        <w:spacing w:line="480" w:lineRule="auto"/>
        <w:rPr>
          <w:rFonts w:ascii="Arial" w:hAnsi="Arial" w:cs="Arial"/>
          <w:lang w:val="en-US"/>
        </w:rPr>
      </w:pPr>
      <w:r w:rsidRPr="004F5CCF">
        <w:rPr>
          <w:rFonts w:ascii="Arial" w:hAnsi="Arial" w:cs="Arial"/>
          <w:noProof/>
          <w:lang w:eastAsia="de-DE"/>
        </w:rPr>
        <w:drawing>
          <wp:inline distT="0" distB="0" distL="0" distR="0" wp14:anchorId="25174D84" wp14:editId="0A059879">
            <wp:extent cx="5760720" cy="1920412"/>
            <wp:effectExtent l="0" t="0" r="0" b="3810"/>
            <wp:docPr id="8" name="Grafik 8" descr="J:\TIO\MI&amp;B\eingereicht\sFi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J:\TIO\MI&amp;B\eingereicht\sFig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2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C10" w:rsidRPr="00B710DC" w:rsidRDefault="005D3C10" w:rsidP="005D3C10">
      <w:pPr>
        <w:pStyle w:val="Beschriftung"/>
        <w:spacing w:before="240" w:after="0"/>
        <w:rPr>
          <w:rFonts w:ascii="Arial" w:hAnsi="Arial" w:cs="Arial"/>
          <w:i w:val="0"/>
          <w:color w:val="auto"/>
          <w:lang w:val="en-US"/>
        </w:rPr>
      </w:pPr>
      <w:bookmarkStart w:id="7" w:name="_Ref188300737"/>
      <w:r w:rsidRPr="00B710DC">
        <w:rPr>
          <w:rFonts w:ascii="Arial" w:hAnsi="Arial" w:cs="Arial"/>
          <w:b/>
          <w:i w:val="0"/>
          <w:color w:val="auto"/>
          <w:lang w:val="en-US"/>
        </w:rPr>
        <w:t xml:space="preserve">Supplemental Fig. </w:t>
      </w:r>
      <w:bookmarkEnd w:id="7"/>
      <w:r>
        <w:rPr>
          <w:rFonts w:ascii="Arial" w:hAnsi="Arial" w:cs="Arial"/>
          <w:b/>
          <w:i w:val="0"/>
          <w:color w:val="auto"/>
          <w:lang w:val="en-US"/>
        </w:rPr>
        <w:t xml:space="preserve">1 </w:t>
      </w:r>
      <w:r w:rsidRPr="00B710DC">
        <w:rPr>
          <w:rFonts w:ascii="Arial" w:hAnsi="Arial" w:cs="Arial"/>
          <w:i w:val="0"/>
          <w:color w:val="auto"/>
          <w:lang w:val="en-US"/>
        </w:rPr>
        <w:t>No significant differences in PMT of osseous and soft tissue origin in PET-derived parameters SUVmax (A), SUVpeak (B), TV (C) and TLU (D).</w:t>
      </w:r>
    </w:p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r w:rsidRPr="00B710DC">
        <w:rPr>
          <w:rFonts w:ascii="Arial" w:hAnsi="Arial" w:cs="Arial"/>
          <w:i w:val="0"/>
          <w:color w:val="auto"/>
          <w:lang w:val="en-US"/>
        </w:rPr>
        <w:t>Abbreviations: PMT: phosphaturic mesenchymal tumors; SUV: standardized uptake value; TLU: total lesion uptake; TV: tumor volume</w:t>
      </w:r>
    </w:p>
    <w:p w:rsidR="005D3C10" w:rsidRPr="00B710DC" w:rsidRDefault="005D3C10" w:rsidP="005D3C10">
      <w:pPr>
        <w:keepNext/>
        <w:spacing w:line="480" w:lineRule="auto"/>
        <w:jc w:val="both"/>
        <w:rPr>
          <w:rFonts w:ascii="Arial" w:hAnsi="Arial" w:cs="Arial"/>
          <w:lang w:val="en-US"/>
        </w:rPr>
      </w:pPr>
      <w:r w:rsidRPr="004F5CCF">
        <w:rPr>
          <w:rFonts w:ascii="Arial" w:hAnsi="Arial" w:cs="Arial"/>
          <w:noProof/>
          <w:lang w:eastAsia="de-DE"/>
        </w:rPr>
        <w:lastRenderedPageBreak/>
        <w:drawing>
          <wp:inline distT="0" distB="0" distL="0" distR="0" wp14:anchorId="13B7136E" wp14:editId="717122A6">
            <wp:extent cx="5760720" cy="4711427"/>
            <wp:effectExtent l="0" t="0" r="0" b="0"/>
            <wp:docPr id="9" name="Grafik 9" descr="J:\TIO\MI&amp;B\eingereicht\sFi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J:\TIO\MI&amp;B\eingereicht\sFig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1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C10" w:rsidRPr="00B710DC" w:rsidRDefault="005D3C10" w:rsidP="005D3C10">
      <w:pPr>
        <w:pStyle w:val="Beschriftung"/>
        <w:spacing w:after="0"/>
        <w:rPr>
          <w:rFonts w:ascii="Arial" w:hAnsi="Arial" w:cs="Arial"/>
          <w:i w:val="0"/>
          <w:color w:val="auto"/>
          <w:lang w:val="en-US"/>
        </w:rPr>
      </w:pPr>
      <w:bookmarkStart w:id="8" w:name="_Ref188300191"/>
      <w:r w:rsidRPr="00B710DC">
        <w:rPr>
          <w:rFonts w:ascii="Arial" w:hAnsi="Arial" w:cs="Arial"/>
          <w:b/>
          <w:i w:val="0"/>
          <w:color w:val="auto"/>
          <w:lang w:val="en-US"/>
        </w:rPr>
        <w:t>Supplemental Fig.</w:t>
      </w:r>
      <w:bookmarkEnd w:id="8"/>
      <w:r>
        <w:rPr>
          <w:rFonts w:ascii="Arial" w:hAnsi="Arial" w:cs="Arial"/>
          <w:b/>
          <w:i w:val="0"/>
          <w:color w:val="auto"/>
          <w:lang w:val="en-US"/>
        </w:rPr>
        <w:t xml:space="preserve"> 2 </w:t>
      </w:r>
      <w:r w:rsidRPr="00B710DC">
        <w:rPr>
          <w:rFonts w:ascii="Arial" w:hAnsi="Arial" w:cs="Arial"/>
          <w:i w:val="0"/>
          <w:color w:val="auto"/>
          <w:lang w:val="en-US"/>
        </w:rPr>
        <w:t xml:space="preserve">Correlation of PET derived values SUVmax (A-B), SUVpeak (C-D), SUVmean (E-F) and biochemical values FGF23 (A; C; E) and TmP/GFR (B; D; F). </w:t>
      </w:r>
    </w:p>
    <w:p w:rsidR="005D3C10" w:rsidRPr="00B710DC" w:rsidRDefault="005D3C10" w:rsidP="005D3C10">
      <w:pPr>
        <w:pStyle w:val="Beschriftung"/>
        <w:rPr>
          <w:rFonts w:ascii="Arial" w:hAnsi="Arial" w:cs="Arial"/>
          <w:i w:val="0"/>
          <w:color w:val="auto"/>
          <w:lang w:val="en-US"/>
        </w:rPr>
      </w:pPr>
      <w:r w:rsidRPr="00B710DC">
        <w:rPr>
          <w:rFonts w:ascii="Arial" w:hAnsi="Arial" w:cs="Arial"/>
          <w:i w:val="0"/>
          <w:color w:val="auto"/>
          <w:lang w:val="en-US"/>
        </w:rPr>
        <w:t>Abbreviations: FGF23: fibroblast growth factor 23; SUV: standardized uptake value; TmP/GFR: tubular maximum of phosphate reabsorption capacity</w:t>
      </w:r>
    </w:p>
    <w:p w:rsidR="005D3C10" w:rsidRPr="00B710DC" w:rsidRDefault="005D3C10" w:rsidP="005D3C10">
      <w:pPr>
        <w:pStyle w:val="Beschriftung"/>
        <w:rPr>
          <w:rFonts w:ascii="Arial" w:hAnsi="Arial" w:cs="Arial"/>
          <w:lang w:val="en-US"/>
        </w:rPr>
      </w:pPr>
    </w:p>
    <w:p w:rsidR="002848DB" w:rsidRPr="005D3C10" w:rsidRDefault="002848DB">
      <w:pPr>
        <w:rPr>
          <w:lang w:val="en-US"/>
        </w:rPr>
      </w:pPr>
      <w:bookmarkStart w:id="9" w:name="_GoBack"/>
      <w:bookmarkEnd w:id="9"/>
    </w:p>
    <w:sectPr w:rsidR="002848DB" w:rsidRPr="005D3C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5838882"/>
      <w:docPartObj>
        <w:docPartGallery w:val="Page Numbers (Bottom of Page)"/>
        <w:docPartUnique/>
      </w:docPartObj>
    </w:sdtPr>
    <w:sdtEndPr/>
    <w:sdtContent>
      <w:p w:rsidR="00995539" w:rsidRDefault="005D3C1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95539" w:rsidRDefault="005D3C10">
    <w:pPr>
      <w:pStyle w:val="Fuzeil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C10"/>
    <w:rsid w:val="002848DB"/>
    <w:rsid w:val="005D3C10"/>
    <w:rsid w:val="00B7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23816-AF20-4692-B27C-6EA8A5CF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D3C10"/>
  </w:style>
  <w:style w:type="paragraph" w:styleId="berschrift1">
    <w:name w:val="heading 1"/>
    <w:basedOn w:val="Standard"/>
    <w:next w:val="Standard"/>
    <w:link w:val="berschrift1Zchn"/>
    <w:uiPriority w:val="9"/>
    <w:qFormat/>
    <w:rsid w:val="005D3C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5D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5D3C10"/>
    <w:pPr>
      <w:spacing w:after="200" w:line="240" w:lineRule="auto"/>
    </w:pPr>
    <w:rPr>
      <w:i/>
      <w:iCs/>
      <w:color w:val="44546A" w:themeColor="text2"/>
      <w:sz w:val="20"/>
      <w:szCs w:val="1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3C1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3C10"/>
    <w:rPr>
      <w:rFonts w:eastAsiaTheme="minorEastAsia"/>
      <w:color w:val="5A5A5A" w:themeColor="text1" w:themeTint="A5"/>
      <w:spacing w:val="15"/>
    </w:rPr>
  </w:style>
  <w:style w:type="paragraph" w:styleId="Fuzeile">
    <w:name w:val="footer"/>
    <w:basedOn w:val="Standard"/>
    <w:link w:val="FuzeileZchn"/>
    <w:uiPriority w:val="99"/>
    <w:unhideWhenUsed/>
    <w:rsid w:val="005D3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3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827</Words>
  <Characters>5214</Characters>
  <Application>Microsoft Office Word</Application>
  <DocSecurity>0</DocSecurity>
  <Lines>43</Lines>
  <Paragraphs>12</Paragraphs>
  <ScaleCrop>false</ScaleCrop>
  <Company>UKW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Heinrich, Marieke</dc:creator>
  <cp:keywords/>
  <dc:description/>
  <cp:lastModifiedBy>Heinrich, Marieke</cp:lastModifiedBy>
  <cp:revision>1</cp:revision>
  <dcterms:created xsi:type="dcterms:W3CDTF">2025-09-22T08:27:00Z</dcterms:created>
  <dcterms:modified xsi:type="dcterms:W3CDTF">2025-09-22T08:28:00Z</dcterms:modified>
</cp:coreProperties>
</file>