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DAF8F" w14:textId="77777777" w:rsidR="00580A13" w:rsidRDefault="00000000">
      <w:pPr>
        <w:spacing w:before="77" w:line="360" w:lineRule="auto"/>
        <w:ind w:left="179" w:right="50"/>
        <w:jc w:val="center"/>
        <w:rPr>
          <w:b/>
          <w:bCs/>
          <w:sz w:val="24"/>
          <w:szCs w:val="24"/>
        </w:rPr>
      </w:pPr>
      <w:r>
        <w:rPr>
          <w:b/>
          <w:bCs/>
          <w:sz w:val="24"/>
          <w:szCs w:val="24"/>
        </w:rPr>
        <w:t>PHYSIOPATHOLOGICAL CORRELATIONS OF COMORBID INSOMNIA AND SLEEP APNEA (COMISA) – A SYSTEMATIC REVIEW AND</w:t>
      </w:r>
    </w:p>
    <w:p w14:paraId="57A4F131" w14:textId="77777777" w:rsidR="00580A13" w:rsidRDefault="00000000">
      <w:pPr>
        <w:ind w:left="179" w:right="53"/>
        <w:jc w:val="center"/>
        <w:rPr>
          <w:b/>
          <w:bCs/>
          <w:sz w:val="24"/>
          <w:szCs w:val="24"/>
        </w:rPr>
      </w:pPr>
      <w:r>
        <w:rPr>
          <w:b/>
          <w:bCs/>
          <w:sz w:val="24"/>
          <w:szCs w:val="24"/>
        </w:rPr>
        <w:t>META-ANALYSIS</w:t>
      </w:r>
    </w:p>
    <w:p w14:paraId="6DC5C262" w14:textId="77777777" w:rsidR="00580A13" w:rsidRDefault="00580A13">
      <w:pPr>
        <w:ind w:left="179" w:right="53"/>
        <w:jc w:val="center"/>
        <w:rPr>
          <w:b/>
          <w:bCs/>
          <w:sz w:val="24"/>
          <w:szCs w:val="24"/>
        </w:rPr>
      </w:pPr>
    </w:p>
    <w:p w14:paraId="56BF24C8" w14:textId="77777777" w:rsidR="00580A13" w:rsidRDefault="00000000">
      <w:pPr>
        <w:widowControl w:val="0"/>
        <w:pBdr>
          <w:top w:val="nil"/>
          <w:left w:val="nil"/>
          <w:bottom w:val="nil"/>
          <w:right w:val="nil"/>
          <w:between w:val="nil"/>
        </w:pBdr>
        <w:spacing w:after="0" w:line="360" w:lineRule="auto"/>
        <w:jc w:val="center"/>
        <w:rPr>
          <w:rFonts w:ascii="Times New Roman" w:eastAsia="Times New Roman" w:hAnsi="Times New Roman" w:cs="Times New Roman"/>
          <w:b/>
          <w:bCs/>
          <w:color w:val="FF0000"/>
          <w:sz w:val="24"/>
          <w:szCs w:val="24"/>
        </w:rPr>
      </w:pPr>
      <w:hyperlink r:id="rId5">
        <w:r>
          <w:rPr>
            <w:rFonts w:ascii="Times New Roman" w:eastAsia="Times New Roman" w:hAnsi="Times New Roman" w:cs="Times New Roman"/>
            <w:b/>
            <w:bCs/>
            <w:color w:val="FF0000"/>
            <w:sz w:val="24"/>
            <w:szCs w:val="24"/>
          </w:rPr>
          <w:t>Sleep and Breathing</w:t>
        </w:r>
      </w:hyperlink>
    </w:p>
    <w:p w14:paraId="7DF2FE2B" w14:textId="77777777" w:rsidR="00580A13" w:rsidRDefault="00000000">
      <w:pPr>
        <w:widowControl w:val="0"/>
        <w:pBdr>
          <w:top w:val="nil"/>
          <w:left w:val="nil"/>
          <w:bottom w:val="nil"/>
          <w:right w:val="nil"/>
          <w:between w:val="nil"/>
        </w:pBdr>
        <w:spacing w:after="0" w:line="360" w:lineRule="auto"/>
        <w:jc w:val="center"/>
        <w:rPr>
          <w:rFonts w:ascii="Times New Roman" w:eastAsia="Times New Roman" w:hAnsi="Times New Roman" w:cs="Times New Roman"/>
          <w:b/>
          <w:bCs/>
          <w:color w:val="FF0000"/>
          <w:sz w:val="24"/>
          <w:szCs w:val="24"/>
        </w:rPr>
      </w:pPr>
      <w:r>
        <w:rPr>
          <w:rFonts w:ascii="Times New Roman" w:eastAsia="Times New Roman" w:hAnsi="Times New Roman" w:cs="Times New Roman"/>
          <w:b/>
          <w:bCs/>
          <w:color w:val="FF0000"/>
          <w:sz w:val="24"/>
          <w:szCs w:val="24"/>
        </w:rPr>
        <w:t>International Journal of the Science and Practice of Sleep Medicine</w:t>
      </w:r>
    </w:p>
    <w:p w14:paraId="6E0DBEF0" w14:textId="77777777" w:rsidR="00580A13" w:rsidRDefault="00000000">
      <w:pPr>
        <w:widowControl w:val="0"/>
        <w:pBdr>
          <w:top w:val="nil"/>
          <w:left w:val="nil"/>
          <w:bottom w:val="nil"/>
          <w:right w:val="nil"/>
          <w:between w:val="nil"/>
        </w:pBd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Springer Signature</w:t>
      </w:r>
    </w:p>
    <w:p w14:paraId="2062FF31" w14:textId="77777777" w:rsidR="00580A13" w:rsidRDefault="00580A13">
      <w:pPr>
        <w:widowControl w:val="0"/>
        <w:pBdr>
          <w:top w:val="nil"/>
          <w:left w:val="nil"/>
          <w:bottom w:val="nil"/>
          <w:right w:val="nil"/>
          <w:between w:val="nil"/>
        </w:pBdr>
        <w:spacing w:before="275" w:after="0" w:line="240" w:lineRule="auto"/>
        <w:rPr>
          <w:rFonts w:ascii="Times New Roman" w:eastAsia="Times New Roman" w:hAnsi="Times New Roman" w:cs="Times New Roman"/>
          <w:b/>
          <w:bCs/>
          <w:color w:val="000000"/>
          <w:sz w:val="24"/>
          <w:szCs w:val="24"/>
        </w:rPr>
      </w:pPr>
    </w:p>
    <w:p w14:paraId="10E4B3F9" w14:textId="2F195CA4" w:rsidR="00580A13" w:rsidRDefault="00000000">
      <w:pPr>
        <w:tabs>
          <w:tab w:val="center" w:pos="4252"/>
          <w:tab w:val="right" w:pos="850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FF0000"/>
          <w:highlight w:val="white"/>
        </w:rPr>
        <w:t>Ervin Cotrik (Postgraduate Program in Medical Sciences; Sleep Disorders Service of the    Divisionof     Otolaryngology, Head and Neck), University of Campinas - UNICAMP,  Brazil (corresponding author).</w:t>
      </w:r>
    </w:p>
    <w:p w14:paraId="30D921A3" w14:textId="77777777" w:rsidR="00580A13" w:rsidRDefault="00000000" w:rsidP="00195ABB">
      <w:pPr>
        <w:widowControl w:val="0"/>
        <w:pBdr>
          <w:top w:val="nil"/>
          <w:left w:val="nil"/>
          <w:bottom w:val="nil"/>
          <w:right w:val="nil"/>
          <w:between w:val="nil"/>
        </w:pBdr>
        <w:spacing w:after="0" w:line="240" w:lineRule="auto"/>
        <w:ind w:right="5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 Janete Hernandes, Instituto de Pesquisa Capel Castro </w:t>
      </w:r>
      <w:r>
        <w:rPr>
          <w:rFonts w:ascii="Times New Roman" w:eastAsia="Times New Roman" w:hAnsi="Times New Roman" w:cs="Times New Roman"/>
          <w:color w:val="FF0000"/>
          <w:sz w:val="24"/>
          <w:szCs w:val="24"/>
        </w:rPr>
        <w:t>(Department of Sleep Medicine Research</w:t>
      </w:r>
      <w:r>
        <w:rPr>
          <w:rFonts w:ascii="Times New Roman" w:eastAsia="Times New Roman" w:hAnsi="Times New Roman" w:cs="Times New Roman"/>
          <w:color w:val="000000"/>
          <w:sz w:val="24"/>
          <w:szCs w:val="24"/>
        </w:rPr>
        <w:t xml:space="preserve">), Goiânia, Goiás, Brasil. </w:t>
      </w:r>
    </w:p>
    <w:p w14:paraId="14EC3D50" w14:textId="77777777" w:rsidR="00580A13" w:rsidRDefault="00000000" w:rsidP="00195ABB">
      <w:pPr>
        <w:widowControl w:val="0"/>
        <w:pBdr>
          <w:top w:val="nil"/>
          <w:left w:val="nil"/>
          <w:bottom w:val="nil"/>
          <w:right w:val="nil"/>
          <w:between w:val="nil"/>
        </w:pBdr>
        <w:spacing w:after="0" w:line="240" w:lineRule="auto"/>
        <w:ind w:right="5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 Viviane Castro, Instituto de Pesquisa Capel Castro </w:t>
      </w:r>
      <w:r>
        <w:rPr>
          <w:rFonts w:ascii="Times New Roman" w:eastAsia="Times New Roman" w:hAnsi="Times New Roman" w:cs="Times New Roman"/>
          <w:color w:val="FF0000"/>
          <w:sz w:val="24"/>
          <w:szCs w:val="24"/>
        </w:rPr>
        <w:t>(Department of Sleep Medicine Research)</w:t>
      </w:r>
      <w:r>
        <w:rPr>
          <w:rFonts w:ascii="Times New Roman" w:eastAsia="Times New Roman" w:hAnsi="Times New Roman" w:cs="Times New Roman"/>
          <w:color w:val="000000"/>
          <w:sz w:val="24"/>
          <w:szCs w:val="24"/>
        </w:rPr>
        <w:t>, Goiânia, Goiás, Brasil.</w:t>
      </w:r>
    </w:p>
    <w:p w14:paraId="45F8EA66" w14:textId="77777777" w:rsidR="00580A13" w:rsidRDefault="00000000" w:rsidP="00195AB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 Edilson Zancanella, UNICAMP</w:t>
      </w:r>
      <w:r>
        <w:rPr>
          <w:rFonts w:ascii="Times New Roman" w:eastAsia="Times New Roman" w:hAnsi="Times New Roman" w:cs="Times New Roman"/>
          <w:color w:val="FF0000"/>
          <w:sz w:val="24"/>
          <w:szCs w:val="24"/>
        </w:rPr>
        <w:t xml:space="preserve"> (Sleep Disorders Service of the Division of Otolaryngology, Head and Neck)</w:t>
      </w:r>
      <w:r>
        <w:rPr>
          <w:rFonts w:ascii="Times New Roman" w:eastAsia="Times New Roman" w:hAnsi="Times New Roman" w:cs="Times New Roman"/>
          <w:color w:val="000000"/>
          <w:sz w:val="24"/>
          <w:szCs w:val="24"/>
        </w:rPr>
        <w:t>, Campinas, São Paulo, Brasil.</w:t>
      </w:r>
    </w:p>
    <w:p w14:paraId="794517B4" w14:textId="77777777" w:rsidR="00580A13" w:rsidRDefault="00580A1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AAB4D9F" w14:textId="77777777" w:rsidR="00580A13" w:rsidRDefault="00000000">
      <w:pPr>
        <w:spacing w:before="1"/>
        <w:ind w:left="142"/>
        <w:rPr>
          <w:sz w:val="24"/>
          <w:szCs w:val="24"/>
        </w:rPr>
      </w:pPr>
      <w:r>
        <w:rPr>
          <w:b/>
          <w:bCs/>
          <w:sz w:val="24"/>
          <w:szCs w:val="24"/>
        </w:rPr>
        <w:t xml:space="preserve">Correspondent author’s email: </w:t>
      </w:r>
      <w:hyperlink r:id="rId6">
        <w:r>
          <w:rPr>
            <w:sz w:val="24"/>
            <w:szCs w:val="24"/>
          </w:rPr>
          <w:t>cotrikpsiquiatria@gmail.com</w:t>
        </w:r>
      </w:hyperlink>
    </w:p>
    <w:p w14:paraId="48CDC911"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12121"/>
          <w:sz w:val="20"/>
          <w:szCs w:val="20"/>
          <w:highlight w:val="white"/>
        </w:rPr>
      </w:pPr>
    </w:p>
    <w:p w14:paraId="19A77821"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12121"/>
          <w:sz w:val="20"/>
          <w:szCs w:val="20"/>
          <w:highlight w:val="white"/>
        </w:rPr>
      </w:pPr>
    </w:p>
    <w:p w14:paraId="48B8537E"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12121"/>
          <w:sz w:val="20"/>
          <w:szCs w:val="20"/>
          <w:highlight w:val="white"/>
        </w:rPr>
      </w:pPr>
    </w:p>
    <w:p w14:paraId="6267E9E1"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highlight w:val="white"/>
        </w:rPr>
      </w:pPr>
      <w:r>
        <w:rPr>
          <w:rFonts w:ascii="Times New Roman" w:eastAsia="Times New Roman" w:hAnsi="Times New Roman" w:cs="Times New Roman"/>
          <w:color w:val="FF0000"/>
          <w:sz w:val="20"/>
          <w:szCs w:val="20"/>
          <w:shd w:val="clear" w:color="auto" w:fill="F8F9FA"/>
        </w:rPr>
        <w:t>Supplementary Material 2.</w:t>
      </w:r>
      <w:r>
        <w:rPr>
          <w:rFonts w:ascii="Times New Roman" w:eastAsia="Times New Roman" w:hAnsi="Times New Roman" w:cs="Times New Roman"/>
          <w:color w:val="FF0000"/>
          <w:sz w:val="20"/>
          <w:szCs w:val="20"/>
        </w:rPr>
        <w:t>.</w:t>
      </w:r>
      <w:r>
        <w:rPr>
          <w:rFonts w:ascii="Times New Roman" w:eastAsia="Times New Roman" w:hAnsi="Times New Roman" w:cs="Times New Roman"/>
          <w:color w:val="212121"/>
          <w:sz w:val="20"/>
          <w:szCs w:val="20"/>
        </w:rPr>
        <w:t xml:space="preserve"> Description of the selected studies on COMISA</w:t>
      </w:r>
      <w:r>
        <w:rPr>
          <w:rFonts w:ascii="Times New Roman" w:eastAsia="Times New Roman" w:hAnsi="Times New Roman" w:cs="Times New Roman"/>
          <w:color w:val="212121"/>
          <w:sz w:val="20"/>
          <w:szCs w:val="20"/>
          <w:highlight w:val="white"/>
        </w:rPr>
        <w:t xml:space="preserve"> </w:t>
      </w:r>
    </w:p>
    <w:p w14:paraId="4784462A"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Arial" w:hAnsi="Arial" w:cs="Arial"/>
          <w:color w:val="212121"/>
          <w:sz w:val="24"/>
          <w:szCs w:val="24"/>
          <w:highlight w:val="white"/>
        </w:rPr>
      </w:pPr>
    </w:p>
    <w:tbl>
      <w:tblPr>
        <w:tblStyle w:val="a"/>
        <w:tblW w:w="140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1020"/>
        <w:gridCol w:w="945"/>
        <w:gridCol w:w="1545"/>
        <w:gridCol w:w="1080"/>
        <w:gridCol w:w="1515"/>
        <w:gridCol w:w="2100"/>
        <w:gridCol w:w="1320"/>
        <w:gridCol w:w="2520"/>
        <w:gridCol w:w="1065"/>
      </w:tblGrid>
      <w:tr w:rsidR="00580A13" w14:paraId="7F7722BE" w14:textId="77777777">
        <w:tc>
          <w:tcPr>
            <w:tcW w:w="900" w:type="dxa"/>
            <w:tcBorders>
              <w:left w:val="nil"/>
              <w:bottom w:val="single" w:sz="4" w:space="0" w:color="000000"/>
            </w:tcBorders>
            <w:shd w:val="clear" w:color="auto" w:fill="FFFFFF"/>
            <w:vAlign w:val="center"/>
          </w:tcPr>
          <w:p w14:paraId="3884828A"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Source</w:t>
            </w:r>
          </w:p>
        </w:tc>
        <w:tc>
          <w:tcPr>
            <w:tcW w:w="1020" w:type="dxa"/>
            <w:tcBorders>
              <w:bottom w:val="single" w:sz="4" w:space="0" w:color="000000"/>
            </w:tcBorders>
            <w:shd w:val="clear" w:color="auto" w:fill="FFFFFF"/>
            <w:vAlign w:val="center"/>
          </w:tcPr>
          <w:p w14:paraId="4E90B456"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Study type</w:t>
            </w:r>
          </w:p>
        </w:tc>
        <w:tc>
          <w:tcPr>
            <w:tcW w:w="945" w:type="dxa"/>
            <w:tcBorders>
              <w:bottom w:val="single" w:sz="4" w:space="0" w:color="000000"/>
            </w:tcBorders>
            <w:shd w:val="clear" w:color="auto" w:fill="FFFFFF"/>
            <w:vAlign w:val="center"/>
          </w:tcPr>
          <w:p w14:paraId="206316AB"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Country of Study</w:t>
            </w:r>
          </w:p>
        </w:tc>
        <w:tc>
          <w:tcPr>
            <w:tcW w:w="1545" w:type="dxa"/>
            <w:tcBorders>
              <w:bottom w:val="single" w:sz="4" w:space="0" w:color="000000"/>
            </w:tcBorders>
            <w:shd w:val="clear" w:color="auto" w:fill="FFFFFF"/>
            <w:vAlign w:val="center"/>
          </w:tcPr>
          <w:p w14:paraId="14696648"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16"/>
                <w:szCs w:val="16"/>
                <w:highlight w:val="white"/>
              </w:rPr>
            </w:pPr>
          </w:p>
          <w:p w14:paraId="2A858890"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EE0000"/>
                <w:sz w:val="16"/>
                <w:szCs w:val="16"/>
              </w:rPr>
            </w:pPr>
            <w:r>
              <w:rPr>
                <w:rFonts w:ascii="Times New Roman" w:eastAsia="Times New Roman" w:hAnsi="Times New Roman" w:cs="Times New Roman"/>
                <w:color w:val="EE0000"/>
                <w:sz w:val="16"/>
                <w:szCs w:val="16"/>
              </w:rPr>
              <w:t>Study Objectives</w:t>
            </w:r>
          </w:p>
          <w:p w14:paraId="5FD4BCD3"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16"/>
                <w:szCs w:val="16"/>
                <w:highlight w:val="white"/>
              </w:rPr>
            </w:pPr>
          </w:p>
        </w:tc>
        <w:tc>
          <w:tcPr>
            <w:tcW w:w="1080" w:type="dxa"/>
            <w:tcBorders>
              <w:bottom w:val="single" w:sz="4" w:space="0" w:color="000000"/>
            </w:tcBorders>
            <w:shd w:val="clear" w:color="auto" w:fill="FFFFFF"/>
            <w:vAlign w:val="center"/>
          </w:tcPr>
          <w:p w14:paraId="7F5CD38C"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Sample size</w:t>
            </w:r>
          </w:p>
        </w:tc>
        <w:tc>
          <w:tcPr>
            <w:tcW w:w="1515" w:type="dxa"/>
            <w:tcBorders>
              <w:bottom w:val="single" w:sz="4" w:space="0" w:color="000000"/>
            </w:tcBorders>
            <w:shd w:val="clear" w:color="auto" w:fill="FFFFFF"/>
            <w:vAlign w:val="center"/>
          </w:tcPr>
          <w:p w14:paraId="272CAD74"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Sample characteristics</w:t>
            </w:r>
          </w:p>
        </w:tc>
        <w:tc>
          <w:tcPr>
            <w:tcW w:w="2100" w:type="dxa"/>
            <w:tcBorders>
              <w:bottom w:val="single" w:sz="4" w:space="0" w:color="000000"/>
            </w:tcBorders>
            <w:shd w:val="clear" w:color="auto" w:fill="FFFFFF"/>
            <w:vAlign w:val="center"/>
          </w:tcPr>
          <w:p w14:paraId="7806FDE6"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Criteria for COMISA diagnosis</w:t>
            </w:r>
          </w:p>
        </w:tc>
        <w:tc>
          <w:tcPr>
            <w:tcW w:w="1320" w:type="dxa"/>
            <w:tcBorders>
              <w:bottom w:val="single" w:sz="4" w:space="0" w:color="000000"/>
            </w:tcBorders>
            <w:shd w:val="clear" w:color="auto" w:fill="FFFFFF"/>
            <w:vAlign w:val="center"/>
          </w:tcPr>
          <w:p w14:paraId="3F475AB0"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COMISA prevalence</w:t>
            </w:r>
          </w:p>
        </w:tc>
        <w:tc>
          <w:tcPr>
            <w:tcW w:w="2520" w:type="dxa"/>
            <w:tcBorders>
              <w:bottom w:val="single" w:sz="4" w:space="0" w:color="000000"/>
              <w:right w:val="single" w:sz="4" w:space="0" w:color="000000"/>
            </w:tcBorders>
            <w:shd w:val="clear" w:color="auto" w:fill="FFFFFF"/>
            <w:vAlign w:val="center"/>
          </w:tcPr>
          <w:p w14:paraId="2F6EEEC6"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Study conclusions</w:t>
            </w:r>
          </w:p>
        </w:tc>
        <w:tc>
          <w:tcPr>
            <w:tcW w:w="1065" w:type="dxa"/>
            <w:tcBorders>
              <w:left w:val="single" w:sz="4" w:space="0" w:color="000000"/>
              <w:bottom w:val="single" w:sz="4" w:space="0" w:color="000000"/>
              <w:right w:val="nil"/>
            </w:tcBorders>
            <w:shd w:val="clear" w:color="auto" w:fill="FFFFFF"/>
            <w:vAlign w:val="center"/>
          </w:tcPr>
          <w:p w14:paraId="4DCAFDCB"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Risk of bias</w:t>
            </w:r>
            <w:r>
              <w:rPr>
                <w:rFonts w:ascii="Times New Roman" w:eastAsia="Times New Roman" w:hAnsi="Times New Roman" w:cs="Times New Roman"/>
                <w:color w:val="212121"/>
                <w:sz w:val="16"/>
                <w:szCs w:val="16"/>
                <w:highlight w:val="white"/>
              </w:rPr>
              <w:t xml:space="preserve"> </w:t>
            </w:r>
          </w:p>
        </w:tc>
      </w:tr>
      <w:tr w:rsidR="00580A13" w14:paraId="1FDA4108" w14:textId="77777777">
        <w:tc>
          <w:tcPr>
            <w:tcW w:w="900" w:type="dxa"/>
            <w:tcBorders>
              <w:top w:val="single" w:sz="4" w:space="0" w:color="000000"/>
              <w:left w:val="nil"/>
              <w:bottom w:val="nil"/>
              <w:right w:val="nil"/>
            </w:tcBorders>
            <w:shd w:val="clear" w:color="auto" w:fill="FFFFFF"/>
            <w:vAlign w:val="center"/>
          </w:tcPr>
          <w:p w14:paraId="187CD69A"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rPr>
            </w:pPr>
            <w:r>
              <w:rPr>
                <w:rFonts w:ascii="Times New Roman" w:eastAsia="Times New Roman" w:hAnsi="Times New Roman" w:cs="Times New Roman"/>
                <w:color w:val="212121"/>
                <w:sz w:val="16"/>
                <w:szCs w:val="16"/>
              </w:rPr>
              <w:lastRenderedPageBreak/>
              <w:t>Cruz et al., 2022</w:t>
            </w:r>
          </w:p>
        </w:tc>
        <w:tc>
          <w:tcPr>
            <w:tcW w:w="1020" w:type="dxa"/>
            <w:tcBorders>
              <w:top w:val="single" w:sz="4" w:space="0" w:color="000000"/>
              <w:left w:val="nil"/>
              <w:bottom w:val="nil"/>
              <w:right w:val="nil"/>
            </w:tcBorders>
            <w:shd w:val="clear" w:color="auto" w:fill="FFFFFF"/>
            <w:vAlign w:val="center"/>
          </w:tcPr>
          <w:p w14:paraId="084183ED"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Cross-sectional</w:t>
            </w:r>
          </w:p>
        </w:tc>
        <w:tc>
          <w:tcPr>
            <w:tcW w:w="945" w:type="dxa"/>
            <w:tcBorders>
              <w:top w:val="single" w:sz="4" w:space="0" w:color="000000"/>
              <w:left w:val="nil"/>
              <w:bottom w:val="nil"/>
              <w:right w:val="nil"/>
            </w:tcBorders>
            <w:shd w:val="clear" w:color="auto" w:fill="FFFFFF"/>
            <w:vAlign w:val="center"/>
          </w:tcPr>
          <w:p w14:paraId="546ED47E"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Portugal, Brazil, USA</w:t>
            </w:r>
          </w:p>
        </w:tc>
        <w:tc>
          <w:tcPr>
            <w:tcW w:w="1545" w:type="dxa"/>
            <w:tcBorders>
              <w:top w:val="single" w:sz="4" w:space="0" w:color="000000"/>
              <w:left w:val="nil"/>
              <w:bottom w:val="nil"/>
              <w:right w:val="nil"/>
            </w:tcBorders>
            <w:shd w:val="clear" w:color="auto" w:fill="FFFFFF"/>
            <w:vAlign w:val="center"/>
          </w:tcPr>
          <w:p w14:paraId="3ADAC4DC"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Assess the frequency of co-occurrence of sleep-related respiratory disorders and insomnia in children and adolescents.</w:t>
            </w:r>
          </w:p>
        </w:tc>
        <w:tc>
          <w:tcPr>
            <w:tcW w:w="1080" w:type="dxa"/>
            <w:tcBorders>
              <w:top w:val="single" w:sz="4" w:space="0" w:color="000000"/>
              <w:left w:val="nil"/>
              <w:bottom w:val="nil"/>
              <w:right w:val="nil"/>
            </w:tcBorders>
            <w:shd w:val="clear" w:color="auto" w:fill="FFFFFF"/>
            <w:vAlign w:val="center"/>
          </w:tcPr>
          <w:p w14:paraId="75BEF2A7"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p w14:paraId="396FDC7E"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Coorte 1: 50; Coorte 2: 384</w:t>
            </w:r>
          </w:p>
          <w:p w14:paraId="136A8FF0"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participants</w:t>
            </w:r>
          </w:p>
          <w:p w14:paraId="7A20AC92"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1515" w:type="dxa"/>
            <w:tcBorders>
              <w:top w:val="single" w:sz="4" w:space="0" w:color="000000"/>
              <w:left w:val="nil"/>
              <w:bottom w:val="nil"/>
              <w:right w:val="nil"/>
            </w:tcBorders>
            <w:shd w:val="clear" w:color="auto" w:fill="FFFFFF"/>
            <w:vAlign w:val="center"/>
          </w:tcPr>
          <w:p w14:paraId="52895AB1"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Students (children/adolescents); Average Age: 13.6 (C1) / 12.9 (C2); Sex: 58% M (C1) / 55% M (C2); BMI: 23.0 (C1) / 26.0 (C2);</w:t>
            </w:r>
          </w:p>
          <w:p w14:paraId="7A6929AA"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2100" w:type="dxa"/>
            <w:tcBorders>
              <w:top w:val="single" w:sz="4" w:space="0" w:color="000000"/>
              <w:left w:val="nil"/>
              <w:bottom w:val="nil"/>
              <w:right w:val="nil"/>
            </w:tcBorders>
            <w:shd w:val="clear" w:color="auto" w:fill="FFFFFF"/>
            <w:vAlign w:val="center"/>
          </w:tcPr>
          <w:p w14:paraId="2F705825"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sdt>
              <w:sdtPr>
                <w:tag w:val="goog_rdk_0"/>
                <w:id w:val="203571796"/>
              </w:sdtPr>
              <w:sdtContent>
                <w:r>
                  <w:rPr>
                    <w:rFonts w:ascii="Gungsuh" w:eastAsia="Gungsuh" w:hAnsi="Gungsuh" w:cs="Gungsuh"/>
                    <w:color w:val="212121"/>
                    <w:sz w:val="16"/>
                    <w:szCs w:val="16"/>
                    <w:highlight w:val="white"/>
                  </w:rPr>
                  <w:t>High risk of OSA (≥3 affirmative responses to risk questions) and insomnia. For Cohort 2: SDB (AHI &gt;2 events/h) and OSA (obstructive AHI &gt;5 events/h).</w:t>
                </w:r>
              </w:sdtContent>
            </w:sdt>
          </w:p>
        </w:tc>
        <w:tc>
          <w:tcPr>
            <w:tcW w:w="1320" w:type="dxa"/>
            <w:tcBorders>
              <w:top w:val="single" w:sz="4" w:space="0" w:color="000000"/>
              <w:left w:val="nil"/>
              <w:bottom w:val="nil"/>
              <w:right w:val="nil"/>
            </w:tcBorders>
            <w:shd w:val="clear" w:color="auto" w:fill="FFFFFF"/>
            <w:vAlign w:val="center"/>
          </w:tcPr>
          <w:p w14:paraId="03F240D0"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16%–18%.</w:t>
            </w:r>
          </w:p>
        </w:tc>
        <w:tc>
          <w:tcPr>
            <w:tcW w:w="2520" w:type="dxa"/>
            <w:tcBorders>
              <w:top w:val="single" w:sz="4" w:space="0" w:color="000000"/>
              <w:left w:val="nil"/>
              <w:bottom w:val="nil"/>
              <w:right w:val="nil"/>
            </w:tcBorders>
            <w:shd w:val="clear" w:color="auto" w:fill="FFFFFF"/>
            <w:vAlign w:val="center"/>
          </w:tcPr>
          <w:p w14:paraId="7FAD15F8" w14:textId="77777777" w:rsidR="00580A13"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In both cohorts, COMISA manifested as a greater tendency toward sleepiness and fatigue. Thus, the presence of COMISA is common in the pediatric age group and is accompanied by a more prominent symptomatic phenotype</w:t>
            </w:r>
          </w:p>
        </w:tc>
        <w:tc>
          <w:tcPr>
            <w:tcW w:w="1065" w:type="dxa"/>
            <w:tcBorders>
              <w:top w:val="single" w:sz="4" w:space="0" w:color="000000"/>
              <w:left w:val="nil"/>
              <w:bottom w:val="nil"/>
              <w:right w:val="nil"/>
            </w:tcBorders>
            <w:shd w:val="clear" w:color="auto" w:fill="FFFFFF"/>
            <w:vAlign w:val="center"/>
          </w:tcPr>
          <w:p w14:paraId="2E30C3F4"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Moderate</w:t>
            </w:r>
          </w:p>
        </w:tc>
      </w:tr>
      <w:tr w:rsidR="00580A13" w14:paraId="6AB72950" w14:textId="77777777">
        <w:tc>
          <w:tcPr>
            <w:tcW w:w="900" w:type="dxa"/>
            <w:tcBorders>
              <w:top w:val="nil"/>
              <w:left w:val="nil"/>
              <w:bottom w:val="nil"/>
              <w:right w:val="nil"/>
            </w:tcBorders>
            <w:shd w:val="clear" w:color="auto" w:fill="FFFFFF"/>
            <w:vAlign w:val="center"/>
          </w:tcPr>
          <w:p w14:paraId="12FD9E22"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rPr>
            </w:pPr>
            <w:r>
              <w:rPr>
                <w:rFonts w:ascii="Times New Roman" w:eastAsia="Times New Roman" w:hAnsi="Times New Roman" w:cs="Times New Roman"/>
                <w:color w:val="212121"/>
                <w:sz w:val="16"/>
                <w:szCs w:val="16"/>
              </w:rPr>
              <w:t>Khazaie et al., 2024</w:t>
            </w:r>
          </w:p>
        </w:tc>
        <w:tc>
          <w:tcPr>
            <w:tcW w:w="1020" w:type="dxa"/>
            <w:tcBorders>
              <w:top w:val="nil"/>
              <w:left w:val="nil"/>
              <w:bottom w:val="nil"/>
              <w:right w:val="nil"/>
            </w:tcBorders>
            <w:shd w:val="clear" w:color="auto" w:fill="FFFFFF"/>
            <w:vAlign w:val="center"/>
          </w:tcPr>
          <w:p w14:paraId="26A84A1B"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Cross-sectional</w:t>
            </w:r>
          </w:p>
        </w:tc>
        <w:tc>
          <w:tcPr>
            <w:tcW w:w="945" w:type="dxa"/>
            <w:tcBorders>
              <w:top w:val="nil"/>
              <w:left w:val="nil"/>
              <w:bottom w:val="nil"/>
              <w:right w:val="nil"/>
            </w:tcBorders>
            <w:shd w:val="clear" w:color="auto" w:fill="FFFFFF"/>
            <w:vAlign w:val="center"/>
          </w:tcPr>
          <w:p w14:paraId="212FB9CA"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Iran</w:t>
            </w:r>
          </w:p>
        </w:tc>
        <w:tc>
          <w:tcPr>
            <w:tcW w:w="1545" w:type="dxa"/>
            <w:tcBorders>
              <w:top w:val="nil"/>
              <w:left w:val="nil"/>
              <w:bottom w:val="nil"/>
              <w:right w:val="nil"/>
            </w:tcBorders>
            <w:shd w:val="clear" w:color="auto" w:fill="FFFFFF"/>
            <w:vAlign w:val="center"/>
          </w:tcPr>
          <w:p w14:paraId="3EF734E7"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Investigate the prevalence and clinical associations of COMISA in a large sleep clinic sample</w:t>
            </w:r>
            <w:r>
              <w:rPr>
                <w:rFonts w:ascii="Times New Roman" w:eastAsia="Times New Roman" w:hAnsi="Times New Roman" w:cs="Times New Roman"/>
                <w:color w:val="212121"/>
                <w:sz w:val="16"/>
                <w:szCs w:val="16"/>
                <w:highlight w:val="white"/>
              </w:rPr>
              <w:t>.</w:t>
            </w:r>
          </w:p>
        </w:tc>
        <w:tc>
          <w:tcPr>
            <w:tcW w:w="1080" w:type="dxa"/>
            <w:tcBorders>
              <w:top w:val="nil"/>
              <w:left w:val="nil"/>
              <w:bottom w:val="nil"/>
              <w:right w:val="nil"/>
            </w:tcBorders>
            <w:shd w:val="clear" w:color="auto" w:fill="FFFFFF"/>
            <w:vAlign w:val="center"/>
          </w:tcPr>
          <w:p w14:paraId="2CB55670"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 xml:space="preserve">1807 </w:t>
            </w:r>
            <w:r>
              <w:rPr>
                <w:rFonts w:ascii="Times New Roman" w:eastAsia="Times New Roman" w:hAnsi="Times New Roman" w:cs="Times New Roman"/>
                <w:color w:val="EE0000"/>
                <w:sz w:val="16"/>
                <w:szCs w:val="16"/>
                <w:highlight w:val="white"/>
              </w:rPr>
              <w:t>participants</w:t>
            </w:r>
          </w:p>
          <w:p w14:paraId="43C1DC55"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1515" w:type="dxa"/>
            <w:tcBorders>
              <w:top w:val="nil"/>
              <w:left w:val="nil"/>
              <w:bottom w:val="nil"/>
              <w:right w:val="nil"/>
            </w:tcBorders>
            <w:shd w:val="clear" w:color="auto" w:fill="FFFFFF"/>
            <w:vAlign w:val="center"/>
          </w:tcPr>
          <w:p w14:paraId="7F2E73F4"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Patients; Average Age: 49.26; Sex: 61.2% Male / 38.8% Female; Average BMI: 31.11;</w:t>
            </w:r>
          </w:p>
          <w:p w14:paraId="342357FE"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p>
        </w:tc>
        <w:tc>
          <w:tcPr>
            <w:tcW w:w="2100" w:type="dxa"/>
            <w:tcBorders>
              <w:top w:val="nil"/>
              <w:left w:val="nil"/>
              <w:bottom w:val="nil"/>
              <w:right w:val="nil"/>
            </w:tcBorders>
            <w:shd w:val="clear" w:color="auto" w:fill="FFFFFF"/>
            <w:vAlign w:val="center"/>
          </w:tcPr>
          <w:p w14:paraId="4AF38AF5"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rPr>
            </w:pPr>
            <w:sdt>
              <w:sdtPr>
                <w:tag w:val="goog_rdk_1"/>
                <w:id w:val="-898856984"/>
              </w:sdtPr>
              <w:sdtContent>
                <w:r>
                  <w:rPr>
                    <w:rFonts w:ascii="Gungsuh" w:eastAsia="Gungsuh" w:hAnsi="Gungsuh" w:cs="Gungsuh"/>
                    <w:color w:val="EE0000"/>
                    <w:sz w:val="16"/>
                    <w:szCs w:val="16"/>
                  </w:rPr>
                  <w:t>SA (AHI ≥5) and INS (chronically confirmed by psychiatrists). COMISA: both present.</w:t>
                </w:r>
              </w:sdtContent>
            </w:sdt>
          </w:p>
          <w:p w14:paraId="7C26B11E"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1320" w:type="dxa"/>
            <w:tcBorders>
              <w:top w:val="nil"/>
              <w:left w:val="nil"/>
              <w:bottom w:val="nil"/>
              <w:right w:val="nil"/>
            </w:tcBorders>
            <w:shd w:val="clear" w:color="auto" w:fill="FFFFFF"/>
            <w:vAlign w:val="center"/>
          </w:tcPr>
          <w:p w14:paraId="7365BD1D"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26.6%.</w:t>
            </w:r>
          </w:p>
        </w:tc>
        <w:tc>
          <w:tcPr>
            <w:tcW w:w="2520" w:type="dxa"/>
            <w:tcBorders>
              <w:top w:val="nil"/>
              <w:left w:val="nil"/>
              <w:bottom w:val="nil"/>
              <w:right w:val="nil"/>
            </w:tcBorders>
            <w:shd w:val="clear" w:color="auto" w:fill="FFFFFF"/>
            <w:vAlign w:val="center"/>
          </w:tcPr>
          <w:p w14:paraId="2114ED0F"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COMISA is prevalent in sleep clinics in Iran. Male gender and advanced age are significantly associated with COMISA</w:t>
            </w:r>
          </w:p>
        </w:tc>
        <w:tc>
          <w:tcPr>
            <w:tcW w:w="1065" w:type="dxa"/>
            <w:tcBorders>
              <w:top w:val="nil"/>
              <w:left w:val="nil"/>
              <w:bottom w:val="nil"/>
              <w:right w:val="nil"/>
            </w:tcBorders>
            <w:shd w:val="clear" w:color="auto" w:fill="FFFFFF"/>
            <w:vAlign w:val="center"/>
          </w:tcPr>
          <w:p w14:paraId="3AD7251A"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 xml:space="preserve">Low </w:t>
            </w:r>
          </w:p>
        </w:tc>
      </w:tr>
      <w:tr w:rsidR="00580A13" w14:paraId="58DEEB25" w14:textId="77777777">
        <w:tc>
          <w:tcPr>
            <w:tcW w:w="900" w:type="dxa"/>
            <w:tcBorders>
              <w:top w:val="nil"/>
              <w:left w:val="nil"/>
              <w:bottom w:val="nil"/>
              <w:right w:val="nil"/>
            </w:tcBorders>
            <w:shd w:val="clear" w:color="auto" w:fill="FFFFFF"/>
            <w:vAlign w:val="center"/>
          </w:tcPr>
          <w:p w14:paraId="0FB8DE39"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rPr>
            </w:pPr>
            <w:r>
              <w:rPr>
                <w:rFonts w:ascii="Times New Roman" w:eastAsia="Times New Roman" w:hAnsi="Times New Roman" w:cs="Times New Roman"/>
                <w:color w:val="212121"/>
                <w:sz w:val="16"/>
                <w:szCs w:val="16"/>
              </w:rPr>
              <w:t>Kundu, et al., 2022</w:t>
            </w:r>
          </w:p>
        </w:tc>
        <w:tc>
          <w:tcPr>
            <w:tcW w:w="1020" w:type="dxa"/>
            <w:tcBorders>
              <w:top w:val="nil"/>
              <w:left w:val="nil"/>
              <w:bottom w:val="nil"/>
              <w:right w:val="nil"/>
            </w:tcBorders>
            <w:shd w:val="clear" w:color="auto" w:fill="FFFFFF"/>
            <w:vAlign w:val="center"/>
          </w:tcPr>
          <w:p w14:paraId="4231E35C"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Cross-sectional</w:t>
            </w:r>
          </w:p>
        </w:tc>
        <w:tc>
          <w:tcPr>
            <w:tcW w:w="945" w:type="dxa"/>
            <w:tcBorders>
              <w:top w:val="nil"/>
              <w:left w:val="nil"/>
              <w:bottom w:val="nil"/>
              <w:right w:val="nil"/>
            </w:tcBorders>
            <w:shd w:val="clear" w:color="auto" w:fill="FFFFFF"/>
            <w:vAlign w:val="center"/>
          </w:tcPr>
          <w:p w14:paraId="0EEC122C"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Índia</w:t>
            </w:r>
          </w:p>
        </w:tc>
        <w:tc>
          <w:tcPr>
            <w:tcW w:w="1545" w:type="dxa"/>
            <w:tcBorders>
              <w:top w:val="nil"/>
              <w:left w:val="nil"/>
              <w:bottom w:val="nil"/>
              <w:right w:val="nil"/>
            </w:tcBorders>
            <w:shd w:val="clear" w:color="auto" w:fill="FFFFFF"/>
            <w:vAlign w:val="center"/>
          </w:tcPr>
          <w:p w14:paraId="1181DBFB"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Determine the proportion of SSM and COMISA in patients with OSA and chronic insomnia. Compare sleep macroarchitecture.</w:t>
            </w:r>
          </w:p>
        </w:tc>
        <w:tc>
          <w:tcPr>
            <w:tcW w:w="1080" w:type="dxa"/>
            <w:tcBorders>
              <w:top w:val="nil"/>
              <w:left w:val="nil"/>
              <w:bottom w:val="nil"/>
              <w:right w:val="nil"/>
            </w:tcBorders>
            <w:shd w:val="clear" w:color="auto" w:fill="FFFFFF"/>
            <w:vAlign w:val="center"/>
          </w:tcPr>
          <w:p w14:paraId="3DE0F64A"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rPr>
            </w:pPr>
            <w:r>
              <w:rPr>
                <w:rFonts w:ascii="Times New Roman" w:eastAsia="Times New Roman" w:hAnsi="Times New Roman" w:cs="Times New Roman"/>
                <w:color w:val="212121"/>
                <w:sz w:val="16"/>
                <w:szCs w:val="16"/>
              </w:rPr>
              <w:t xml:space="preserve">32 </w:t>
            </w:r>
          </w:p>
          <w:p w14:paraId="7A554102"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participants</w:t>
            </w:r>
          </w:p>
          <w:p w14:paraId="33ABD88C"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1515" w:type="dxa"/>
            <w:tcBorders>
              <w:top w:val="nil"/>
              <w:left w:val="nil"/>
              <w:bottom w:val="nil"/>
              <w:right w:val="nil"/>
            </w:tcBorders>
            <w:shd w:val="clear" w:color="auto" w:fill="FFFFFF"/>
            <w:vAlign w:val="center"/>
          </w:tcPr>
          <w:p w14:paraId="629F3F36"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Patients; Average Age: ~50; Sex: 75% Male (Insomnia) / 81.25% Female (OSA); Average BMI: 26.98 (Insomnia) / 31.33 (OSA);</w:t>
            </w:r>
          </w:p>
          <w:p w14:paraId="1248D7FB"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p>
        </w:tc>
        <w:tc>
          <w:tcPr>
            <w:tcW w:w="2100" w:type="dxa"/>
            <w:tcBorders>
              <w:top w:val="nil"/>
              <w:left w:val="nil"/>
              <w:bottom w:val="nil"/>
              <w:right w:val="nil"/>
            </w:tcBorders>
            <w:shd w:val="clear" w:color="auto" w:fill="FFFFFF"/>
            <w:vAlign w:val="center"/>
          </w:tcPr>
          <w:p w14:paraId="0F92781A"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Chronic insomnia (ICSD-3 criteria) and OSA (AHI &gt;5).</w:t>
            </w:r>
          </w:p>
          <w:p w14:paraId="01162E9A"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1320" w:type="dxa"/>
            <w:tcBorders>
              <w:top w:val="nil"/>
              <w:left w:val="nil"/>
              <w:bottom w:val="nil"/>
              <w:right w:val="nil"/>
            </w:tcBorders>
            <w:shd w:val="clear" w:color="auto" w:fill="FFFFFF"/>
            <w:vAlign w:val="center"/>
          </w:tcPr>
          <w:p w14:paraId="4B06836A"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b/>
                <w:bCs/>
                <w:color w:val="EE0000"/>
                <w:sz w:val="16"/>
                <w:szCs w:val="16"/>
                <w:highlight w:val="white"/>
              </w:rPr>
              <w:t>18%</w:t>
            </w:r>
            <w:r>
              <w:rPr>
                <w:rFonts w:ascii="Times New Roman" w:eastAsia="Times New Roman" w:hAnsi="Times New Roman" w:cs="Times New Roman"/>
                <w:color w:val="EE0000"/>
                <w:sz w:val="16"/>
                <w:szCs w:val="16"/>
                <w:highlight w:val="white"/>
              </w:rPr>
              <w:t xml:space="preserve"> - </w:t>
            </w:r>
            <w:r>
              <w:rPr>
                <w:rFonts w:ascii="Times New Roman" w:eastAsia="Times New Roman" w:hAnsi="Times New Roman" w:cs="Times New Roman"/>
                <w:b/>
                <w:bCs/>
                <w:color w:val="EE0000"/>
                <w:sz w:val="16"/>
                <w:szCs w:val="16"/>
                <w:highlight w:val="white"/>
              </w:rPr>
              <w:t>43%</w:t>
            </w:r>
            <w:r>
              <w:rPr>
                <w:rFonts w:ascii="Times New Roman" w:eastAsia="Times New Roman" w:hAnsi="Times New Roman" w:cs="Times New Roman"/>
                <w:color w:val="EE0000"/>
                <w:sz w:val="16"/>
                <w:szCs w:val="16"/>
                <w:highlight w:val="white"/>
              </w:rPr>
              <w:t>.</w:t>
            </w:r>
          </w:p>
        </w:tc>
        <w:tc>
          <w:tcPr>
            <w:tcW w:w="2520" w:type="dxa"/>
            <w:tcBorders>
              <w:top w:val="nil"/>
              <w:left w:val="nil"/>
              <w:bottom w:val="nil"/>
              <w:right w:val="nil"/>
            </w:tcBorders>
            <w:shd w:val="clear" w:color="auto" w:fill="FFFFFF"/>
            <w:vAlign w:val="center"/>
          </w:tcPr>
          <w:p w14:paraId="53EC5F8F"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SSM is common among individuals with OSA and chronic insomnia. COMISA was more frequent among patients with OSA compared to those with insomnia. Sleep macroarchitecture is comparable across groups. Identifying COMISA is relevant for optimal management.</w:t>
            </w:r>
          </w:p>
        </w:tc>
        <w:tc>
          <w:tcPr>
            <w:tcW w:w="1065" w:type="dxa"/>
            <w:tcBorders>
              <w:top w:val="nil"/>
              <w:left w:val="nil"/>
              <w:bottom w:val="nil"/>
              <w:right w:val="nil"/>
            </w:tcBorders>
            <w:shd w:val="clear" w:color="auto" w:fill="FFFFFF"/>
            <w:vAlign w:val="center"/>
          </w:tcPr>
          <w:p w14:paraId="2E1AE564"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EE0000"/>
                <w:sz w:val="16"/>
                <w:szCs w:val="16"/>
                <w:highlight w:val="white"/>
              </w:rPr>
              <w:t>Moderate</w:t>
            </w:r>
          </w:p>
        </w:tc>
      </w:tr>
      <w:tr w:rsidR="00580A13" w14:paraId="42909D49" w14:textId="77777777">
        <w:tc>
          <w:tcPr>
            <w:tcW w:w="900" w:type="dxa"/>
            <w:tcBorders>
              <w:top w:val="nil"/>
              <w:left w:val="nil"/>
              <w:bottom w:val="nil"/>
              <w:right w:val="nil"/>
            </w:tcBorders>
            <w:shd w:val="clear" w:color="auto" w:fill="FFFFFF"/>
            <w:vAlign w:val="center"/>
          </w:tcPr>
          <w:p w14:paraId="7AEFBEA8"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rPr>
            </w:pPr>
            <w:r>
              <w:rPr>
                <w:rFonts w:ascii="Times New Roman" w:eastAsia="Times New Roman" w:hAnsi="Times New Roman" w:cs="Times New Roman"/>
                <w:color w:val="212121"/>
                <w:sz w:val="16"/>
                <w:szCs w:val="16"/>
              </w:rPr>
              <w:t>Luciano, 2024</w:t>
            </w:r>
          </w:p>
        </w:tc>
        <w:tc>
          <w:tcPr>
            <w:tcW w:w="1020" w:type="dxa"/>
            <w:tcBorders>
              <w:top w:val="nil"/>
              <w:left w:val="nil"/>
              <w:bottom w:val="nil"/>
              <w:right w:val="nil"/>
            </w:tcBorders>
            <w:shd w:val="clear" w:color="auto" w:fill="FFFFFF"/>
            <w:vAlign w:val="center"/>
          </w:tcPr>
          <w:p w14:paraId="5A723987"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Coorte</w:t>
            </w:r>
          </w:p>
        </w:tc>
        <w:tc>
          <w:tcPr>
            <w:tcW w:w="945" w:type="dxa"/>
            <w:tcBorders>
              <w:top w:val="nil"/>
              <w:left w:val="nil"/>
              <w:bottom w:val="nil"/>
              <w:right w:val="nil"/>
            </w:tcBorders>
            <w:shd w:val="clear" w:color="auto" w:fill="FFFFFF"/>
            <w:vAlign w:val="center"/>
          </w:tcPr>
          <w:p w14:paraId="6B15CBAE"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Brazil (São Paulo)</w:t>
            </w:r>
          </w:p>
        </w:tc>
        <w:tc>
          <w:tcPr>
            <w:tcW w:w="1545" w:type="dxa"/>
            <w:tcBorders>
              <w:top w:val="nil"/>
              <w:left w:val="nil"/>
              <w:bottom w:val="nil"/>
              <w:right w:val="nil"/>
            </w:tcBorders>
            <w:shd w:val="clear" w:color="auto" w:fill="FFFFFF"/>
            <w:vAlign w:val="center"/>
          </w:tcPr>
          <w:p w14:paraId="3E33B1AC"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Investigate the prevalence and incidence of COMISA in the population of São Paulo (EPISONO 2007 and 2015).</w:t>
            </w:r>
          </w:p>
        </w:tc>
        <w:tc>
          <w:tcPr>
            <w:tcW w:w="1080" w:type="dxa"/>
            <w:tcBorders>
              <w:top w:val="nil"/>
              <w:left w:val="nil"/>
              <w:bottom w:val="nil"/>
              <w:right w:val="nil"/>
            </w:tcBorders>
            <w:shd w:val="clear" w:color="auto" w:fill="FFFFFF"/>
            <w:vAlign w:val="center"/>
          </w:tcPr>
          <w:p w14:paraId="6033D6D8"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 xml:space="preserve">585 participants </w:t>
            </w:r>
          </w:p>
        </w:tc>
        <w:tc>
          <w:tcPr>
            <w:tcW w:w="1515" w:type="dxa"/>
            <w:tcBorders>
              <w:top w:val="nil"/>
              <w:left w:val="nil"/>
              <w:bottom w:val="nil"/>
              <w:right w:val="nil"/>
            </w:tcBorders>
            <w:shd w:val="clear" w:color="auto" w:fill="FFFFFF"/>
            <w:vAlign w:val="center"/>
          </w:tcPr>
          <w:p w14:paraId="3FC6019F"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General population (EPISONO); Age: 20 to 80 years (range); Sex: Mixed population; BMI: Not specified;</w:t>
            </w:r>
          </w:p>
          <w:p w14:paraId="2A3912D8"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2100" w:type="dxa"/>
            <w:tcBorders>
              <w:top w:val="nil"/>
              <w:left w:val="nil"/>
              <w:bottom w:val="nil"/>
              <w:right w:val="nil"/>
            </w:tcBorders>
            <w:shd w:val="clear" w:color="auto" w:fill="FFFFFF"/>
            <w:vAlign w:val="center"/>
          </w:tcPr>
          <w:p w14:paraId="6A94B964"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sdt>
              <w:sdtPr>
                <w:tag w:val="goog_rdk_2"/>
                <w:id w:val="996829546"/>
              </w:sdtPr>
              <w:sdtContent>
                <w:r>
                  <w:rPr>
                    <w:rFonts w:ascii="Gungsuh" w:eastAsia="Gungsuh" w:hAnsi="Gungsuh" w:cs="Gungsuh"/>
                    <w:color w:val="212121"/>
                    <w:sz w:val="16"/>
                    <w:szCs w:val="16"/>
                  </w:rPr>
                  <w:t>Insomnia (ISI: 8–28) and OSA (AHI: ≥5 with symptoms / ≥15 without symptoms).</w:t>
                </w:r>
              </w:sdtContent>
            </w:sdt>
            <w:r>
              <w:rPr>
                <w:rFonts w:ascii="Times New Roman" w:eastAsia="Times New Roman" w:hAnsi="Times New Roman" w:cs="Times New Roman"/>
                <w:color w:val="212121"/>
                <w:sz w:val="16"/>
                <w:szCs w:val="16"/>
                <w:highlight w:val="white"/>
              </w:rPr>
              <w:t xml:space="preserve"> </w:t>
            </w:r>
          </w:p>
        </w:tc>
        <w:tc>
          <w:tcPr>
            <w:tcW w:w="1320" w:type="dxa"/>
            <w:tcBorders>
              <w:top w:val="nil"/>
              <w:left w:val="nil"/>
              <w:bottom w:val="nil"/>
              <w:right w:val="nil"/>
            </w:tcBorders>
            <w:shd w:val="clear" w:color="auto" w:fill="FFFFFF"/>
            <w:vAlign w:val="center"/>
          </w:tcPr>
          <w:p w14:paraId="669911C2"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rPr>
            </w:pPr>
            <w:r>
              <w:rPr>
                <w:rFonts w:ascii="Times New Roman" w:eastAsia="Times New Roman" w:hAnsi="Times New Roman" w:cs="Times New Roman"/>
                <w:b/>
                <w:bCs/>
                <w:color w:val="EE0000"/>
                <w:sz w:val="16"/>
                <w:szCs w:val="16"/>
                <w:highlight w:val="white"/>
              </w:rPr>
              <w:t>2007:</w:t>
            </w:r>
            <w:r>
              <w:rPr>
                <w:rFonts w:ascii="Times New Roman" w:eastAsia="Times New Roman" w:hAnsi="Times New Roman" w:cs="Times New Roman"/>
                <w:color w:val="EE0000"/>
                <w:sz w:val="16"/>
                <w:szCs w:val="16"/>
                <w:highlight w:val="white"/>
              </w:rPr>
              <w:t xml:space="preserve"> </w:t>
            </w:r>
            <w:r>
              <w:rPr>
                <w:rFonts w:ascii="Times New Roman" w:eastAsia="Times New Roman" w:hAnsi="Times New Roman" w:cs="Times New Roman"/>
                <w:b/>
                <w:bCs/>
                <w:color w:val="EE0000"/>
                <w:sz w:val="16"/>
                <w:szCs w:val="16"/>
                <w:highlight w:val="white"/>
              </w:rPr>
              <w:t>17.64%.</w:t>
            </w:r>
            <w:r>
              <w:rPr>
                <w:rFonts w:ascii="Times New Roman" w:eastAsia="Times New Roman" w:hAnsi="Times New Roman" w:cs="Times New Roman"/>
                <w:color w:val="EE0000"/>
                <w:sz w:val="16"/>
                <w:szCs w:val="16"/>
                <w:highlight w:val="white"/>
              </w:rPr>
              <w:t xml:space="preserve"> </w:t>
            </w:r>
            <w:r>
              <w:rPr>
                <w:rFonts w:ascii="Times New Roman" w:eastAsia="Times New Roman" w:hAnsi="Times New Roman" w:cs="Times New Roman"/>
                <w:b/>
                <w:bCs/>
                <w:color w:val="EE0000"/>
                <w:sz w:val="16"/>
                <w:szCs w:val="16"/>
                <w:highlight w:val="white"/>
              </w:rPr>
              <w:t>2015:</w:t>
            </w:r>
            <w:r>
              <w:rPr>
                <w:rFonts w:ascii="Times New Roman" w:eastAsia="Times New Roman" w:hAnsi="Times New Roman" w:cs="Times New Roman"/>
                <w:color w:val="EE0000"/>
                <w:sz w:val="16"/>
                <w:szCs w:val="16"/>
                <w:highlight w:val="white"/>
              </w:rPr>
              <w:t xml:space="preserve"> </w:t>
            </w:r>
            <w:r>
              <w:rPr>
                <w:rFonts w:ascii="Times New Roman" w:eastAsia="Times New Roman" w:hAnsi="Times New Roman" w:cs="Times New Roman"/>
                <w:b/>
                <w:bCs/>
                <w:color w:val="EE0000"/>
                <w:sz w:val="16"/>
                <w:szCs w:val="16"/>
                <w:highlight w:val="white"/>
              </w:rPr>
              <w:t>22.95%.</w:t>
            </w:r>
            <w:r>
              <w:rPr>
                <w:rFonts w:ascii="Times New Roman" w:eastAsia="Times New Roman" w:hAnsi="Times New Roman" w:cs="Times New Roman"/>
                <w:color w:val="EE0000"/>
                <w:sz w:val="16"/>
                <w:szCs w:val="16"/>
                <w:highlight w:val="white"/>
              </w:rPr>
              <w:t xml:space="preserve"> </w:t>
            </w:r>
          </w:p>
        </w:tc>
        <w:tc>
          <w:tcPr>
            <w:tcW w:w="2520" w:type="dxa"/>
            <w:tcBorders>
              <w:top w:val="nil"/>
              <w:left w:val="nil"/>
              <w:bottom w:val="nil"/>
              <w:right w:val="nil"/>
            </w:tcBorders>
            <w:shd w:val="clear" w:color="auto" w:fill="FFFFFF"/>
            <w:vAlign w:val="center"/>
          </w:tcPr>
          <w:p w14:paraId="194B36EA" w14:textId="77777777" w:rsidR="00580A13"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The prevalence of COMISA is high and shows a significant increase over an 8-year follow-up. The incidence of COMISA is also high, affecting approximately one-sixth of individuals who did not present this condition at the initial assessment. The presence of one disorder increases the likelihood of developing the other.</w:t>
            </w:r>
            <w:r>
              <w:rPr>
                <w:rFonts w:ascii="Times New Roman" w:eastAsia="Times New Roman" w:hAnsi="Times New Roman" w:cs="Times New Roman"/>
                <w:color w:val="212121"/>
                <w:sz w:val="16"/>
                <w:szCs w:val="16"/>
                <w:highlight w:val="white"/>
              </w:rPr>
              <w:t xml:space="preserve"> </w:t>
            </w:r>
          </w:p>
        </w:tc>
        <w:tc>
          <w:tcPr>
            <w:tcW w:w="1065" w:type="dxa"/>
            <w:tcBorders>
              <w:top w:val="nil"/>
              <w:left w:val="nil"/>
              <w:bottom w:val="nil"/>
              <w:right w:val="nil"/>
            </w:tcBorders>
            <w:shd w:val="clear" w:color="auto" w:fill="FFFFFF"/>
            <w:vAlign w:val="center"/>
          </w:tcPr>
          <w:p w14:paraId="75867703"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 xml:space="preserve">Low </w:t>
            </w:r>
          </w:p>
        </w:tc>
      </w:tr>
      <w:tr w:rsidR="00580A13" w14:paraId="35A1A82C" w14:textId="77777777">
        <w:tc>
          <w:tcPr>
            <w:tcW w:w="900" w:type="dxa"/>
            <w:tcBorders>
              <w:top w:val="nil"/>
              <w:left w:val="nil"/>
              <w:bottom w:val="nil"/>
              <w:right w:val="nil"/>
            </w:tcBorders>
            <w:shd w:val="clear" w:color="auto" w:fill="FFFFFF"/>
            <w:vAlign w:val="center"/>
          </w:tcPr>
          <w:p w14:paraId="40EEC246"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rPr>
            </w:pPr>
            <w:r>
              <w:rPr>
                <w:rFonts w:ascii="Times New Roman" w:eastAsia="Times New Roman" w:hAnsi="Times New Roman" w:cs="Times New Roman"/>
                <w:color w:val="212121"/>
                <w:sz w:val="16"/>
                <w:szCs w:val="16"/>
              </w:rPr>
              <w:t>Misliviec et al., 2022</w:t>
            </w:r>
          </w:p>
        </w:tc>
        <w:tc>
          <w:tcPr>
            <w:tcW w:w="1020" w:type="dxa"/>
            <w:tcBorders>
              <w:top w:val="nil"/>
              <w:left w:val="nil"/>
              <w:bottom w:val="nil"/>
              <w:right w:val="nil"/>
            </w:tcBorders>
            <w:shd w:val="clear" w:color="auto" w:fill="FFFFFF"/>
            <w:vAlign w:val="center"/>
          </w:tcPr>
          <w:p w14:paraId="229FDF95"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Cross-sectional</w:t>
            </w:r>
          </w:p>
        </w:tc>
        <w:tc>
          <w:tcPr>
            <w:tcW w:w="945" w:type="dxa"/>
            <w:tcBorders>
              <w:top w:val="nil"/>
              <w:left w:val="nil"/>
              <w:bottom w:val="nil"/>
              <w:right w:val="nil"/>
            </w:tcBorders>
            <w:shd w:val="clear" w:color="auto" w:fill="FFFFFF"/>
            <w:vAlign w:val="center"/>
          </w:tcPr>
          <w:p w14:paraId="6A511D09"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USA</w:t>
            </w:r>
          </w:p>
        </w:tc>
        <w:tc>
          <w:tcPr>
            <w:tcW w:w="1545" w:type="dxa"/>
            <w:tcBorders>
              <w:top w:val="nil"/>
              <w:left w:val="nil"/>
              <w:bottom w:val="nil"/>
              <w:right w:val="nil"/>
            </w:tcBorders>
            <w:shd w:val="clear" w:color="auto" w:fill="FFFFFF"/>
            <w:vAlign w:val="center"/>
          </w:tcPr>
          <w:p w14:paraId="44D3CE2B"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Characterize insomnia, OSA, and COMISA in active-duty military personnel. Determine differences in symptoms</w:t>
            </w:r>
          </w:p>
        </w:tc>
        <w:tc>
          <w:tcPr>
            <w:tcW w:w="1080" w:type="dxa"/>
            <w:tcBorders>
              <w:top w:val="nil"/>
              <w:left w:val="nil"/>
              <w:bottom w:val="nil"/>
              <w:right w:val="nil"/>
            </w:tcBorders>
            <w:shd w:val="clear" w:color="auto" w:fill="FFFFFF"/>
            <w:vAlign w:val="center"/>
          </w:tcPr>
          <w:p w14:paraId="0C9910AE"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 xml:space="preserve">309 </w:t>
            </w:r>
          </w:p>
          <w:p w14:paraId="67219A82"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participants</w:t>
            </w:r>
          </w:p>
          <w:p w14:paraId="0F314904"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1515" w:type="dxa"/>
            <w:tcBorders>
              <w:top w:val="nil"/>
              <w:left w:val="nil"/>
              <w:bottom w:val="nil"/>
              <w:right w:val="nil"/>
            </w:tcBorders>
            <w:shd w:val="clear" w:color="auto" w:fill="FFFFFF"/>
            <w:vAlign w:val="center"/>
          </w:tcPr>
          <w:p w14:paraId="70CAE57C"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Active duty military personnel; Average age: 37.17; Sex: 62.1% male / 37.9% female; Average BMI: 28.73;</w:t>
            </w:r>
          </w:p>
          <w:p w14:paraId="32D2A761"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2100" w:type="dxa"/>
            <w:tcBorders>
              <w:top w:val="nil"/>
              <w:left w:val="nil"/>
              <w:bottom w:val="nil"/>
              <w:right w:val="nil"/>
            </w:tcBorders>
            <w:shd w:val="clear" w:color="auto" w:fill="FFFFFF"/>
            <w:vAlign w:val="center"/>
          </w:tcPr>
          <w:p w14:paraId="566C0C47"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sdt>
              <w:sdtPr>
                <w:tag w:val="goog_rdk_3"/>
                <w:id w:val="1620364644"/>
              </w:sdtPr>
              <w:sdtContent>
                <w:r>
                  <w:rPr>
                    <w:rFonts w:ascii="Gungsuh" w:eastAsia="Gungsuh" w:hAnsi="Gungsuh" w:cs="Gungsuh"/>
                    <w:color w:val="212121"/>
                    <w:sz w:val="16"/>
                    <w:szCs w:val="16"/>
                  </w:rPr>
                  <w:t>ICSD-3 criteria for chronic insomnia and OSA (AHI ≥5). Insomnia symptoms not exclusively attributable to disordered breathing</w:t>
                </w:r>
              </w:sdtContent>
            </w:sdt>
            <w:r>
              <w:rPr>
                <w:rFonts w:ascii="Times New Roman" w:eastAsia="Times New Roman" w:hAnsi="Times New Roman" w:cs="Times New Roman"/>
                <w:color w:val="212121"/>
                <w:sz w:val="16"/>
                <w:szCs w:val="16"/>
                <w:highlight w:val="white"/>
              </w:rPr>
              <w:t>.</w:t>
            </w:r>
          </w:p>
        </w:tc>
        <w:tc>
          <w:tcPr>
            <w:tcW w:w="1320" w:type="dxa"/>
            <w:tcBorders>
              <w:top w:val="nil"/>
              <w:left w:val="nil"/>
              <w:bottom w:val="nil"/>
              <w:right w:val="nil"/>
            </w:tcBorders>
            <w:shd w:val="clear" w:color="auto" w:fill="FFFFFF"/>
            <w:vAlign w:val="center"/>
          </w:tcPr>
          <w:p w14:paraId="0A1FEA0B"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b/>
                <w:bCs/>
                <w:color w:val="EE0000"/>
                <w:sz w:val="16"/>
                <w:szCs w:val="16"/>
                <w:highlight w:val="white"/>
              </w:rPr>
              <w:t>36.9%.</w:t>
            </w:r>
          </w:p>
        </w:tc>
        <w:tc>
          <w:tcPr>
            <w:tcW w:w="2520" w:type="dxa"/>
            <w:tcBorders>
              <w:top w:val="nil"/>
              <w:left w:val="nil"/>
              <w:bottom w:val="nil"/>
              <w:right w:val="nil"/>
            </w:tcBorders>
            <w:shd w:val="clear" w:color="auto" w:fill="FFFFFF"/>
            <w:vAlign w:val="center"/>
          </w:tcPr>
          <w:p w14:paraId="05627134"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Military personnel with insomnia and COMISA had greater morbidity than those with OSA alone. The high prevalence of sleep disorders associated with mental disorders underscores the importance of developing specific treatments. Higher prevalence of depression and anxiety in the insomnia/COMISA groups.</w:t>
            </w:r>
          </w:p>
        </w:tc>
        <w:tc>
          <w:tcPr>
            <w:tcW w:w="1065" w:type="dxa"/>
            <w:tcBorders>
              <w:top w:val="nil"/>
              <w:left w:val="nil"/>
              <w:bottom w:val="nil"/>
              <w:right w:val="nil"/>
            </w:tcBorders>
            <w:shd w:val="clear" w:color="auto" w:fill="FFFFFF"/>
            <w:vAlign w:val="center"/>
          </w:tcPr>
          <w:p w14:paraId="2C9D9D20"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 xml:space="preserve">Low </w:t>
            </w:r>
          </w:p>
        </w:tc>
      </w:tr>
      <w:tr w:rsidR="00580A13" w14:paraId="6DE4D591" w14:textId="77777777">
        <w:tc>
          <w:tcPr>
            <w:tcW w:w="900" w:type="dxa"/>
            <w:tcBorders>
              <w:top w:val="nil"/>
              <w:left w:val="nil"/>
              <w:bottom w:val="nil"/>
              <w:right w:val="nil"/>
            </w:tcBorders>
            <w:shd w:val="clear" w:color="auto" w:fill="FFFFFF"/>
            <w:vAlign w:val="center"/>
          </w:tcPr>
          <w:p w14:paraId="15BD67C5"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rPr>
            </w:pPr>
            <w:r>
              <w:rPr>
                <w:rFonts w:ascii="Times New Roman" w:eastAsia="Times New Roman" w:hAnsi="Times New Roman" w:cs="Times New Roman"/>
                <w:color w:val="212121"/>
                <w:sz w:val="16"/>
                <w:szCs w:val="16"/>
              </w:rPr>
              <w:t>Pan et al., 2024</w:t>
            </w:r>
          </w:p>
        </w:tc>
        <w:tc>
          <w:tcPr>
            <w:tcW w:w="1020" w:type="dxa"/>
            <w:tcBorders>
              <w:top w:val="nil"/>
              <w:left w:val="nil"/>
              <w:bottom w:val="nil"/>
              <w:right w:val="nil"/>
            </w:tcBorders>
            <w:shd w:val="clear" w:color="auto" w:fill="FFFFFF"/>
            <w:vAlign w:val="center"/>
          </w:tcPr>
          <w:p w14:paraId="1E42A47E"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Control Case</w:t>
            </w:r>
          </w:p>
        </w:tc>
        <w:tc>
          <w:tcPr>
            <w:tcW w:w="945" w:type="dxa"/>
            <w:tcBorders>
              <w:top w:val="nil"/>
              <w:left w:val="nil"/>
              <w:bottom w:val="nil"/>
              <w:right w:val="nil"/>
            </w:tcBorders>
            <w:shd w:val="clear" w:color="auto" w:fill="FFFFFF"/>
            <w:vAlign w:val="center"/>
          </w:tcPr>
          <w:p w14:paraId="7DAD4AE3"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China</w:t>
            </w:r>
          </w:p>
        </w:tc>
        <w:tc>
          <w:tcPr>
            <w:tcW w:w="1545" w:type="dxa"/>
            <w:tcBorders>
              <w:top w:val="nil"/>
              <w:left w:val="nil"/>
              <w:bottom w:val="nil"/>
              <w:right w:val="nil"/>
            </w:tcBorders>
            <w:shd w:val="clear" w:color="auto" w:fill="FFFFFF"/>
            <w:vAlign w:val="center"/>
          </w:tcPr>
          <w:p w14:paraId="7C1EF3DA"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Investigate changes in gray matter volume (GMV) in patients with COMISA and its relationship with clinical measures.</w:t>
            </w:r>
          </w:p>
        </w:tc>
        <w:tc>
          <w:tcPr>
            <w:tcW w:w="1080" w:type="dxa"/>
            <w:tcBorders>
              <w:top w:val="nil"/>
              <w:left w:val="nil"/>
              <w:bottom w:val="nil"/>
              <w:right w:val="nil"/>
            </w:tcBorders>
            <w:shd w:val="clear" w:color="auto" w:fill="FFFFFF"/>
            <w:vAlign w:val="center"/>
          </w:tcPr>
          <w:p w14:paraId="4A7DE91B"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 xml:space="preserve">58 </w:t>
            </w:r>
          </w:p>
          <w:p w14:paraId="5B6494D6"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participants</w:t>
            </w:r>
          </w:p>
          <w:p w14:paraId="3CAEC264"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1515" w:type="dxa"/>
            <w:tcBorders>
              <w:top w:val="nil"/>
              <w:left w:val="nil"/>
              <w:bottom w:val="nil"/>
              <w:right w:val="nil"/>
            </w:tcBorders>
            <w:shd w:val="clear" w:color="auto" w:fill="FFFFFF"/>
            <w:vAlign w:val="center"/>
          </w:tcPr>
          <w:p w14:paraId="17643858"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Patients; Average Age: 41.91; Sex: 30 Male / 4 Female; Average BMI: 29.6;</w:t>
            </w:r>
          </w:p>
          <w:p w14:paraId="7AD23C6A"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p>
        </w:tc>
        <w:tc>
          <w:tcPr>
            <w:tcW w:w="2100" w:type="dxa"/>
            <w:tcBorders>
              <w:top w:val="nil"/>
              <w:left w:val="nil"/>
              <w:bottom w:val="nil"/>
              <w:right w:val="nil"/>
            </w:tcBorders>
            <w:shd w:val="clear" w:color="auto" w:fill="FFFFFF"/>
            <w:vAlign w:val="center"/>
          </w:tcPr>
          <w:p w14:paraId="6E64B467"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sdt>
              <w:sdtPr>
                <w:tag w:val="goog_rdk_4"/>
                <w:id w:val="-1378325620"/>
              </w:sdtPr>
              <w:sdtContent>
                <w:r>
                  <w:rPr>
                    <w:rFonts w:ascii="Gungsuh" w:eastAsia="Gungsuh" w:hAnsi="Gungsuh" w:cs="Gungsuh"/>
                    <w:color w:val="212121"/>
                    <w:sz w:val="16"/>
                    <w:szCs w:val="16"/>
                  </w:rPr>
                  <w:t>ICSD-3 criteria for OSA and chronic insomnia (≥3 times/week for &gt;3 months). Subdivided by OSA severity (AHI 5–30; AHI &gt;30)</w:t>
                </w:r>
              </w:sdtContent>
            </w:sdt>
            <w:r>
              <w:rPr>
                <w:rFonts w:ascii="Times New Roman" w:eastAsia="Times New Roman" w:hAnsi="Times New Roman" w:cs="Times New Roman"/>
                <w:color w:val="212121"/>
                <w:sz w:val="16"/>
                <w:szCs w:val="16"/>
                <w:highlight w:val="white"/>
              </w:rPr>
              <w:t>.</w:t>
            </w:r>
          </w:p>
        </w:tc>
        <w:tc>
          <w:tcPr>
            <w:tcW w:w="1320" w:type="dxa"/>
            <w:tcBorders>
              <w:top w:val="nil"/>
              <w:left w:val="nil"/>
              <w:bottom w:val="nil"/>
              <w:right w:val="nil"/>
            </w:tcBorders>
            <w:shd w:val="clear" w:color="auto" w:fill="FFFFFF"/>
            <w:vAlign w:val="center"/>
          </w:tcPr>
          <w:p w14:paraId="2869C409"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b/>
                <w:bCs/>
                <w:color w:val="EE0000"/>
                <w:sz w:val="16"/>
                <w:szCs w:val="16"/>
                <w:highlight w:val="white"/>
              </w:rPr>
              <w:t>100%.</w:t>
            </w:r>
          </w:p>
        </w:tc>
        <w:tc>
          <w:tcPr>
            <w:tcW w:w="2520" w:type="dxa"/>
            <w:tcBorders>
              <w:top w:val="nil"/>
              <w:left w:val="nil"/>
              <w:bottom w:val="nil"/>
              <w:right w:val="nil"/>
            </w:tcBorders>
            <w:shd w:val="clear" w:color="auto" w:fill="FFFFFF"/>
            <w:vAlign w:val="center"/>
          </w:tcPr>
          <w:p w14:paraId="7C926768" w14:textId="77777777" w:rsidR="00580A13"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Findings showed an expansion of GMV atrophy from the temporal lobe to the limbic system (right amygdala) as severity stages increased in patients with COMISA.</w:t>
            </w:r>
          </w:p>
        </w:tc>
        <w:tc>
          <w:tcPr>
            <w:tcW w:w="1065" w:type="dxa"/>
            <w:tcBorders>
              <w:top w:val="nil"/>
              <w:left w:val="nil"/>
              <w:bottom w:val="nil"/>
              <w:right w:val="nil"/>
            </w:tcBorders>
            <w:shd w:val="clear" w:color="auto" w:fill="FFFFFF"/>
            <w:vAlign w:val="center"/>
          </w:tcPr>
          <w:p w14:paraId="1795EE54"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Moderate</w:t>
            </w:r>
          </w:p>
        </w:tc>
      </w:tr>
      <w:tr w:rsidR="00580A13" w14:paraId="63583104" w14:textId="77777777">
        <w:tc>
          <w:tcPr>
            <w:tcW w:w="900" w:type="dxa"/>
            <w:tcBorders>
              <w:top w:val="nil"/>
              <w:left w:val="nil"/>
              <w:bottom w:val="nil"/>
              <w:right w:val="nil"/>
            </w:tcBorders>
            <w:shd w:val="clear" w:color="auto" w:fill="FFFFFF"/>
            <w:vAlign w:val="center"/>
          </w:tcPr>
          <w:p w14:paraId="7EE21FB2"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rPr>
            </w:pPr>
            <w:r>
              <w:rPr>
                <w:rFonts w:ascii="Times New Roman" w:eastAsia="Times New Roman" w:hAnsi="Times New Roman" w:cs="Times New Roman"/>
                <w:color w:val="212121"/>
                <w:sz w:val="16"/>
                <w:szCs w:val="16"/>
              </w:rPr>
              <w:t>Paramo-Brando et al., 2019</w:t>
            </w:r>
          </w:p>
        </w:tc>
        <w:tc>
          <w:tcPr>
            <w:tcW w:w="1020" w:type="dxa"/>
            <w:tcBorders>
              <w:top w:val="nil"/>
              <w:left w:val="nil"/>
              <w:bottom w:val="nil"/>
              <w:right w:val="nil"/>
            </w:tcBorders>
            <w:shd w:val="clear" w:color="auto" w:fill="FFFFFF"/>
            <w:vAlign w:val="center"/>
          </w:tcPr>
          <w:p w14:paraId="43E6F1F7"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Cross-sectional</w:t>
            </w:r>
          </w:p>
        </w:tc>
        <w:tc>
          <w:tcPr>
            <w:tcW w:w="945" w:type="dxa"/>
            <w:tcBorders>
              <w:top w:val="nil"/>
              <w:left w:val="nil"/>
              <w:bottom w:val="nil"/>
              <w:right w:val="nil"/>
            </w:tcBorders>
            <w:shd w:val="clear" w:color="auto" w:fill="FFFFFF"/>
            <w:vAlign w:val="center"/>
          </w:tcPr>
          <w:p w14:paraId="0DDD65C7"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Mexico</w:t>
            </w:r>
          </w:p>
        </w:tc>
        <w:tc>
          <w:tcPr>
            <w:tcW w:w="1545" w:type="dxa"/>
            <w:tcBorders>
              <w:top w:val="nil"/>
              <w:left w:val="nil"/>
              <w:bottom w:val="nil"/>
              <w:right w:val="nil"/>
            </w:tcBorders>
            <w:shd w:val="clear" w:color="auto" w:fill="FFFFFF"/>
            <w:vAlign w:val="center"/>
          </w:tcPr>
          <w:p w14:paraId="01963CFE"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Compare EEG spectra in COMISA and sleep apnea only during pre-sleep wakefulness, N1, and REM.</w:t>
            </w:r>
          </w:p>
        </w:tc>
        <w:tc>
          <w:tcPr>
            <w:tcW w:w="1080" w:type="dxa"/>
            <w:tcBorders>
              <w:top w:val="nil"/>
              <w:left w:val="nil"/>
              <w:bottom w:val="nil"/>
              <w:right w:val="nil"/>
            </w:tcBorders>
            <w:shd w:val="clear" w:color="auto" w:fill="FFFFFF"/>
            <w:vAlign w:val="center"/>
          </w:tcPr>
          <w:p w14:paraId="7BAE8A80"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212121"/>
                <w:sz w:val="16"/>
                <w:szCs w:val="16"/>
                <w:highlight w:val="white"/>
              </w:rPr>
              <w:t xml:space="preserve">20 </w:t>
            </w:r>
            <w:r>
              <w:rPr>
                <w:rFonts w:ascii="Times New Roman" w:eastAsia="Times New Roman" w:hAnsi="Times New Roman" w:cs="Times New Roman"/>
                <w:color w:val="EE0000"/>
                <w:sz w:val="16"/>
                <w:szCs w:val="16"/>
                <w:highlight w:val="white"/>
              </w:rPr>
              <w:t>participants</w:t>
            </w:r>
          </w:p>
          <w:p w14:paraId="72045379"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1515" w:type="dxa"/>
            <w:tcBorders>
              <w:top w:val="nil"/>
              <w:left w:val="nil"/>
              <w:bottom w:val="nil"/>
              <w:right w:val="nil"/>
            </w:tcBorders>
            <w:shd w:val="clear" w:color="auto" w:fill="FFFFFF"/>
            <w:vAlign w:val="center"/>
          </w:tcPr>
          <w:p w14:paraId="2B0341D1"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Patients; Average Age: 38.7 (COMISA) / 41.6 (OSA); Sex: 70% M (COMISA) / 60% F (OSA); Average BMI: 26.0 (COMISA) / 28.1 (OSA);</w:t>
            </w:r>
          </w:p>
          <w:p w14:paraId="3700C851"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2100" w:type="dxa"/>
            <w:tcBorders>
              <w:top w:val="nil"/>
              <w:left w:val="nil"/>
              <w:bottom w:val="nil"/>
              <w:right w:val="nil"/>
            </w:tcBorders>
            <w:shd w:val="clear" w:color="auto" w:fill="FFFFFF"/>
            <w:vAlign w:val="center"/>
          </w:tcPr>
          <w:p w14:paraId="341199A7"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sdt>
              <w:sdtPr>
                <w:tag w:val="goog_rdk_5"/>
                <w:id w:val="-1403359655"/>
              </w:sdtPr>
              <w:sdtContent>
                <w:r>
                  <w:rPr>
                    <w:rFonts w:ascii="Gungsuh" w:eastAsia="Gungsuh" w:hAnsi="Gungsuh" w:cs="Gungsuh"/>
                    <w:color w:val="212121"/>
                    <w:sz w:val="16"/>
                    <w:szCs w:val="16"/>
                  </w:rPr>
                  <w:t>OSAS (AHI &gt;5). COMISA: additionally, difficulties initiating/maintaining sleep, non-restorative sleep for ≥1 month, and associated impairment.</w:t>
                </w:r>
              </w:sdtContent>
            </w:sdt>
          </w:p>
        </w:tc>
        <w:tc>
          <w:tcPr>
            <w:tcW w:w="1320" w:type="dxa"/>
            <w:tcBorders>
              <w:top w:val="nil"/>
              <w:left w:val="nil"/>
              <w:bottom w:val="nil"/>
              <w:right w:val="nil"/>
            </w:tcBorders>
            <w:shd w:val="clear" w:color="auto" w:fill="FFFFFF"/>
            <w:vAlign w:val="center"/>
          </w:tcPr>
          <w:p w14:paraId="2240676C"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EE0000"/>
                <w:sz w:val="16"/>
                <w:szCs w:val="16"/>
                <w:highlight w:val="white"/>
              </w:rPr>
              <w:t>Not applicable (selected sample).</w:t>
            </w:r>
          </w:p>
        </w:tc>
        <w:tc>
          <w:tcPr>
            <w:tcW w:w="2520" w:type="dxa"/>
            <w:tcBorders>
              <w:top w:val="nil"/>
              <w:left w:val="nil"/>
              <w:bottom w:val="nil"/>
              <w:right w:val="nil"/>
            </w:tcBorders>
            <w:shd w:val="clear" w:color="auto" w:fill="FFFFFF"/>
            <w:vAlign w:val="center"/>
          </w:tcPr>
          <w:p w14:paraId="1BCC6637"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Patients with COMISA, compared to those with OSA alone, exhibited higher left high-frequency rhythms during pre-sleep wakefulness and REM sleep, which may be due to increased emotional and cognitive activity. During stage N1, they showed greater left delta power, suggesting some slowing after sleep deprivation.</w:t>
            </w:r>
          </w:p>
        </w:tc>
        <w:tc>
          <w:tcPr>
            <w:tcW w:w="1065" w:type="dxa"/>
            <w:tcBorders>
              <w:top w:val="nil"/>
              <w:left w:val="nil"/>
              <w:bottom w:val="nil"/>
              <w:right w:val="nil"/>
            </w:tcBorders>
            <w:shd w:val="clear" w:color="auto" w:fill="FFFFFF"/>
            <w:vAlign w:val="center"/>
          </w:tcPr>
          <w:p w14:paraId="0B7A0681"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 xml:space="preserve">Moderate </w:t>
            </w:r>
          </w:p>
        </w:tc>
      </w:tr>
      <w:tr w:rsidR="00580A13" w14:paraId="6580C09A" w14:textId="77777777">
        <w:tc>
          <w:tcPr>
            <w:tcW w:w="900" w:type="dxa"/>
            <w:tcBorders>
              <w:top w:val="nil"/>
              <w:left w:val="nil"/>
              <w:bottom w:val="nil"/>
              <w:right w:val="nil"/>
            </w:tcBorders>
            <w:shd w:val="clear" w:color="auto" w:fill="FFFFFF"/>
            <w:vAlign w:val="center"/>
          </w:tcPr>
          <w:p w14:paraId="495D6276"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rPr>
            </w:pPr>
            <w:r>
              <w:rPr>
                <w:rFonts w:ascii="Times New Roman" w:eastAsia="Times New Roman" w:hAnsi="Times New Roman" w:cs="Times New Roman"/>
                <w:color w:val="212121"/>
                <w:sz w:val="16"/>
                <w:szCs w:val="16"/>
              </w:rPr>
              <w:t>Subramanian et al., 2021</w:t>
            </w:r>
          </w:p>
        </w:tc>
        <w:tc>
          <w:tcPr>
            <w:tcW w:w="1020" w:type="dxa"/>
            <w:tcBorders>
              <w:top w:val="nil"/>
              <w:left w:val="nil"/>
              <w:bottom w:val="nil"/>
              <w:right w:val="nil"/>
            </w:tcBorders>
            <w:shd w:val="clear" w:color="auto" w:fill="FFFFFF"/>
            <w:vAlign w:val="center"/>
          </w:tcPr>
          <w:p w14:paraId="1E9713F3"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Prevalence</w:t>
            </w:r>
          </w:p>
        </w:tc>
        <w:tc>
          <w:tcPr>
            <w:tcW w:w="945" w:type="dxa"/>
            <w:tcBorders>
              <w:top w:val="nil"/>
              <w:left w:val="nil"/>
              <w:bottom w:val="nil"/>
              <w:right w:val="nil"/>
            </w:tcBorders>
            <w:shd w:val="clear" w:color="auto" w:fill="FFFFFF"/>
            <w:vAlign w:val="center"/>
          </w:tcPr>
          <w:p w14:paraId="24E504E8"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EUA</w:t>
            </w:r>
          </w:p>
        </w:tc>
        <w:tc>
          <w:tcPr>
            <w:tcW w:w="1545" w:type="dxa"/>
            <w:tcBorders>
              <w:top w:val="nil"/>
              <w:left w:val="nil"/>
              <w:bottom w:val="nil"/>
              <w:right w:val="nil"/>
            </w:tcBorders>
            <w:shd w:val="clear" w:color="auto" w:fill="FFFFFF"/>
            <w:vAlign w:val="center"/>
          </w:tcPr>
          <w:p w14:paraId="00F9F188"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Describe the prevalence of COMISA in a population with sleep apnea and characterize its features.</w:t>
            </w:r>
          </w:p>
        </w:tc>
        <w:tc>
          <w:tcPr>
            <w:tcW w:w="1080" w:type="dxa"/>
            <w:tcBorders>
              <w:top w:val="nil"/>
              <w:left w:val="nil"/>
              <w:bottom w:val="nil"/>
              <w:right w:val="nil"/>
            </w:tcBorders>
            <w:shd w:val="clear" w:color="auto" w:fill="FFFFFF"/>
            <w:vAlign w:val="center"/>
          </w:tcPr>
          <w:p w14:paraId="0FB39932"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212121"/>
                <w:sz w:val="16"/>
                <w:szCs w:val="16"/>
                <w:highlight w:val="white"/>
              </w:rPr>
              <w:t xml:space="preserve">296 </w:t>
            </w:r>
            <w:r>
              <w:rPr>
                <w:rFonts w:ascii="Times New Roman" w:eastAsia="Times New Roman" w:hAnsi="Times New Roman" w:cs="Times New Roman"/>
                <w:color w:val="EE0000"/>
                <w:sz w:val="16"/>
                <w:szCs w:val="16"/>
                <w:highlight w:val="white"/>
              </w:rPr>
              <w:t>participants</w:t>
            </w:r>
          </w:p>
          <w:p w14:paraId="7808BBC6"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1515" w:type="dxa"/>
            <w:tcBorders>
              <w:top w:val="nil"/>
              <w:left w:val="nil"/>
              <w:bottom w:val="nil"/>
              <w:right w:val="nil"/>
            </w:tcBorders>
            <w:shd w:val="clear" w:color="auto" w:fill="FFFFFF"/>
            <w:vAlign w:val="center"/>
          </w:tcPr>
          <w:p w14:paraId="02189182"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Patients; Median age: 50; Sex: 49% male / 51% female; Median BMI: 41.5;</w:t>
            </w:r>
          </w:p>
          <w:p w14:paraId="0392D9C2"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2100" w:type="dxa"/>
            <w:tcBorders>
              <w:top w:val="nil"/>
              <w:left w:val="nil"/>
              <w:bottom w:val="nil"/>
              <w:right w:val="nil"/>
            </w:tcBorders>
            <w:shd w:val="clear" w:color="auto" w:fill="FFFFFF"/>
            <w:vAlign w:val="center"/>
          </w:tcPr>
          <w:p w14:paraId="33B89D6E"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sdt>
              <w:sdtPr>
                <w:tag w:val="goog_rdk_6"/>
                <w:id w:val="1995581659"/>
              </w:sdtPr>
              <w:sdtContent>
                <w:r>
                  <w:rPr>
                    <w:rFonts w:ascii="Gungsuh" w:eastAsia="Gungsuh" w:hAnsi="Gungsuh" w:cs="Gungsuh"/>
                    <w:color w:val="212121"/>
                    <w:sz w:val="16"/>
                    <w:szCs w:val="16"/>
                    <w:highlight w:val="white"/>
                  </w:rPr>
                  <w:t>OSA (AHI ≥5) and ≥2 main insomnia symptoms (difficulty falling asleep, staying asleep, or early awakening).</w:t>
                </w:r>
              </w:sdtContent>
            </w:sdt>
          </w:p>
        </w:tc>
        <w:tc>
          <w:tcPr>
            <w:tcW w:w="1320" w:type="dxa"/>
            <w:tcBorders>
              <w:top w:val="nil"/>
              <w:left w:val="nil"/>
              <w:bottom w:val="nil"/>
              <w:right w:val="nil"/>
            </w:tcBorders>
            <w:shd w:val="clear" w:color="auto" w:fill="FFFFFF"/>
            <w:vAlign w:val="center"/>
          </w:tcPr>
          <w:p w14:paraId="4C7C470A"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b/>
                <w:bCs/>
                <w:color w:val="EE0000"/>
                <w:sz w:val="16"/>
                <w:szCs w:val="16"/>
                <w:highlight w:val="white"/>
              </w:rPr>
              <w:t>63%.</w:t>
            </w:r>
            <w:r>
              <w:rPr>
                <w:rFonts w:ascii="Times New Roman" w:eastAsia="Times New Roman" w:hAnsi="Times New Roman" w:cs="Times New Roman"/>
                <w:color w:val="EE0000"/>
                <w:sz w:val="16"/>
                <w:szCs w:val="16"/>
                <w:highlight w:val="white"/>
              </w:rPr>
              <w:t xml:space="preserve"> </w:t>
            </w:r>
          </w:p>
        </w:tc>
        <w:tc>
          <w:tcPr>
            <w:tcW w:w="2520" w:type="dxa"/>
            <w:tcBorders>
              <w:top w:val="nil"/>
              <w:left w:val="nil"/>
              <w:bottom w:val="nil"/>
              <w:right w:val="nil"/>
            </w:tcBorders>
            <w:shd w:val="clear" w:color="auto" w:fill="FFFFFF"/>
            <w:vAlign w:val="center"/>
          </w:tcPr>
          <w:p w14:paraId="56BE1D2A"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Insomnia is extremely prevalent in patients with OSA, associated with daytime sleepiness, PPI symptoms (psychophysiological insomnia), GER (gastroesophageal reflux), and RL (restless legs).</w:t>
            </w:r>
          </w:p>
        </w:tc>
        <w:tc>
          <w:tcPr>
            <w:tcW w:w="1065" w:type="dxa"/>
            <w:tcBorders>
              <w:top w:val="nil"/>
              <w:left w:val="nil"/>
              <w:bottom w:val="nil"/>
              <w:right w:val="nil"/>
            </w:tcBorders>
            <w:shd w:val="clear" w:color="auto" w:fill="FFFFFF"/>
            <w:vAlign w:val="center"/>
          </w:tcPr>
          <w:p w14:paraId="5671C433"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 xml:space="preserve">Low </w:t>
            </w:r>
          </w:p>
        </w:tc>
      </w:tr>
      <w:tr w:rsidR="00580A13" w14:paraId="2ED1D22E" w14:textId="77777777">
        <w:tc>
          <w:tcPr>
            <w:tcW w:w="900" w:type="dxa"/>
            <w:tcBorders>
              <w:top w:val="nil"/>
              <w:left w:val="nil"/>
              <w:bottom w:val="nil"/>
              <w:right w:val="nil"/>
            </w:tcBorders>
            <w:shd w:val="clear" w:color="auto" w:fill="FFFFFF"/>
            <w:vAlign w:val="center"/>
          </w:tcPr>
          <w:p w14:paraId="1769B940"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rPr>
            </w:pPr>
            <w:r>
              <w:rPr>
                <w:rFonts w:ascii="Times New Roman" w:eastAsia="Times New Roman" w:hAnsi="Times New Roman" w:cs="Times New Roman"/>
                <w:color w:val="212121"/>
                <w:sz w:val="16"/>
                <w:szCs w:val="16"/>
              </w:rPr>
              <w:t>Wu et al., 2024</w:t>
            </w:r>
          </w:p>
        </w:tc>
        <w:tc>
          <w:tcPr>
            <w:tcW w:w="1020" w:type="dxa"/>
            <w:tcBorders>
              <w:top w:val="nil"/>
              <w:left w:val="nil"/>
              <w:bottom w:val="nil"/>
              <w:right w:val="nil"/>
            </w:tcBorders>
            <w:shd w:val="clear" w:color="auto" w:fill="FFFFFF"/>
            <w:vAlign w:val="center"/>
          </w:tcPr>
          <w:p w14:paraId="4DF495E7"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Cross-sectional</w:t>
            </w:r>
          </w:p>
        </w:tc>
        <w:tc>
          <w:tcPr>
            <w:tcW w:w="945" w:type="dxa"/>
            <w:tcBorders>
              <w:top w:val="nil"/>
              <w:left w:val="nil"/>
              <w:bottom w:val="nil"/>
              <w:right w:val="nil"/>
            </w:tcBorders>
            <w:shd w:val="clear" w:color="auto" w:fill="FFFFFF"/>
            <w:vAlign w:val="center"/>
          </w:tcPr>
          <w:p w14:paraId="3B27ADF6"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China</w:t>
            </w:r>
          </w:p>
        </w:tc>
        <w:tc>
          <w:tcPr>
            <w:tcW w:w="1545" w:type="dxa"/>
            <w:tcBorders>
              <w:top w:val="nil"/>
              <w:left w:val="nil"/>
              <w:bottom w:val="nil"/>
              <w:right w:val="nil"/>
            </w:tcBorders>
            <w:shd w:val="clear" w:color="auto" w:fill="FFFFFF"/>
            <w:vAlign w:val="center"/>
          </w:tcPr>
          <w:p w14:paraId="7C49978C"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Investigate the prevalence of COMISA related to age.</w:t>
            </w:r>
          </w:p>
        </w:tc>
        <w:tc>
          <w:tcPr>
            <w:tcW w:w="1080" w:type="dxa"/>
            <w:tcBorders>
              <w:top w:val="nil"/>
              <w:left w:val="nil"/>
              <w:bottom w:val="nil"/>
              <w:right w:val="nil"/>
            </w:tcBorders>
            <w:shd w:val="clear" w:color="auto" w:fill="FFFFFF"/>
            <w:vAlign w:val="center"/>
          </w:tcPr>
          <w:p w14:paraId="2E47C641"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212121"/>
                <w:sz w:val="16"/>
                <w:szCs w:val="16"/>
                <w:highlight w:val="white"/>
              </w:rPr>
              <w:t xml:space="preserve">2176 </w:t>
            </w:r>
            <w:r>
              <w:rPr>
                <w:rFonts w:ascii="Times New Roman" w:eastAsia="Times New Roman" w:hAnsi="Times New Roman" w:cs="Times New Roman"/>
                <w:color w:val="EE0000"/>
                <w:sz w:val="16"/>
                <w:szCs w:val="16"/>
                <w:highlight w:val="white"/>
              </w:rPr>
              <w:t>participants</w:t>
            </w:r>
          </w:p>
          <w:p w14:paraId="128D70C6"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1515" w:type="dxa"/>
            <w:tcBorders>
              <w:top w:val="nil"/>
              <w:left w:val="nil"/>
              <w:bottom w:val="nil"/>
              <w:right w:val="nil"/>
            </w:tcBorders>
            <w:shd w:val="clear" w:color="auto" w:fill="FFFFFF"/>
            <w:vAlign w:val="center"/>
          </w:tcPr>
          <w:p w14:paraId="572C2881"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Community/referenced cohort; Average age: 60.3; Sex: 52% male / 48% female; BMI: Not reported;</w:t>
            </w:r>
          </w:p>
          <w:p w14:paraId="541ACF21"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2100" w:type="dxa"/>
            <w:tcBorders>
              <w:top w:val="nil"/>
              <w:left w:val="nil"/>
              <w:bottom w:val="nil"/>
              <w:right w:val="nil"/>
            </w:tcBorders>
            <w:shd w:val="clear" w:color="auto" w:fill="FFFFFF"/>
            <w:vAlign w:val="center"/>
          </w:tcPr>
          <w:p w14:paraId="2388FEE7"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sdt>
              <w:sdtPr>
                <w:tag w:val="goog_rdk_7"/>
                <w:id w:val="1682377395"/>
              </w:sdtPr>
              <w:sdtContent>
                <w:r>
                  <w:rPr>
                    <w:rFonts w:ascii="Gungsuh" w:eastAsia="Gungsuh" w:hAnsi="Gungsuh" w:cs="Gungsuh"/>
                    <w:color w:val="212121"/>
                    <w:sz w:val="16"/>
                    <w:szCs w:val="16"/>
                  </w:rPr>
                  <w:t>AHI ≥5 and presence of (clinical) insomnia</w:t>
                </w:r>
              </w:sdtContent>
            </w:sdt>
            <w:r>
              <w:rPr>
                <w:rFonts w:ascii="Times New Roman" w:eastAsia="Times New Roman" w:hAnsi="Times New Roman" w:cs="Times New Roman"/>
                <w:color w:val="212121"/>
                <w:sz w:val="16"/>
                <w:szCs w:val="16"/>
                <w:highlight w:val="white"/>
              </w:rPr>
              <w:t>.</w:t>
            </w:r>
          </w:p>
        </w:tc>
        <w:tc>
          <w:tcPr>
            <w:tcW w:w="1320" w:type="dxa"/>
            <w:tcBorders>
              <w:top w:val="nil"/>
              <w:left w:val="nil"/>
              <w:bottom w:val="nil"/>
              <w:right w:val="nil"/>
            </w:tcBorders>
            <w:shd w:val="clear" w:color="auto" w:fill="FFFFFF"/>
            <w:vAlign w:val="center"/>
          </w:tcPr>
          <w:p w14:paraId="59A7BC8F"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b/>
                <w:bCs/>
                <w:color w:val="EE0000"/>
                <w:sz w:val="16"/>
                <w:szCs w:val="16"/>
                <w:highlight w:val="white"/>
              </w:rPr>
              <w:t>45.1%.</w:t>
            </w:r>
            <w:r>
              <w:rPr>
                <w:rFonts w:ascii="Times New Roman" w:eastAsia="Times New Roman" w:hAnsi="Times New Roman" w:cs="Times New Roman"/>
                <w:color w:val="EE0000"/>
                <w:sz w:val="16"/>
                <w:szCs w:val="16"/>
                <w:highlight w:val="white"/>
              </w:rPr>
              <w:t xml:space="preserve"> </w:t>
            </w:r>
          </w:p>
          <w:p w14:paraId="12F98F38"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2520" w:type="dxa"/>
            <w:tcBorders>
              <w:top w:val="nil"/>
              <w:left w:val="nil"/>
              <w:bottom w:val="nil"/>
              <w:right w:val="nil"/>
            </w:tcBorders>
            <w:shd w:val="clear" w:color="auto" w:fill="FFFFFF"/>
            <w:vAlign w:val="center"/>
          </w:tcPr>
          <w:p w14:paraId="0AF825F2"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Significant association between increasing age and the development of COMISA. COMISA is more frequent in women, and patients have longer sleep onset latency, shorter total sleep time, and lower AHI.</w:t>
            </w:r>
            <w:r>
              <w:rPr>
                <w:rFonts w:ascii="Times New Roman" w:eastAsia="Times New Roman" w:hAnsi="Times New Roman" w:cs="Times New Roman"/>
                <w:color w:val="212121"/>
                <w:sz w:val="16"/>
                <w:szCs w:val="16"/>
                <w:highlight w:val="white"/>
              </w:rPr>
              <w:t>.</w:t>
            </w:r>
          </w:p>
        </w:tc>
        <w:tc>
          <w:tcPr>
            <w:tcW w:w="1065" w:type="dxa"/>
            <w:tcBorders>
              <w:top w:val="nil"/>
              <w:left w:val="nil"/>
              <w:bottom w:val="nil"/>
              <w:right w:val="nil"/>
            </w:tcBorders>
            <w:shd w:val="clear" w:color="auto" w:fill="FFFFFF"/>
            <w:vAlign w:val="center"/>
          </w:tcPr>
          <w:p w14:paraId="6CD47D24"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 xml:space="preserve">Moderate </w:t>
            </w:r>
          </w:p>
        </w:tc>
      </w:tr>
      <w:tr w:rsidR="00580A13" w14:paraId="2D46DA33" w14:textId="77777777">
        <w:tc>
          <w:tcPr>
            <w:tcW w:w="900" w:type="dxa"/>
            <w:tcBorders>
              <w:top w:val="nil"/>
              <w:left w:val="nil"/>
              <w:bottom w:val="nil"/>
              <w:right w:val="nil"/>
            </w:tcBorders>
            <w:shd w:val="clear" w:color="auto" w:fill="FFFFFF"/>
            <w:vAlign w:val="center"/>
          </w:tcPr>
          <w:p w14:paraId="4278EB2E"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rPr>
            </w:pPr>
            <w:r>
              <w:rPr>
                <w:rFonts w:ascii="Times New Roman" w:eastAsia="Times New Roman" w:hAnsi="Times New Roman" w:cs="Times New Roman"/>
                <w:color w:val="212121"/>
                <w:sz w:val="16"/>
                <w:szCs w:val="16"/>
              </w:rPr>
              <w:t>Wulterkens et al., 2024</w:t>
            </w:r>
          </w:p>
        </w:tc>
        <w:tc>
          <w:tcPr>
            <w:tcW w:w="1020" w:type="dxa"/>
            <w:tcBorders>
              <w:top w:val="nil"/>
              <w:left w:val="nil"/>
              <w:bottom w:val="nil"/>
              <w:right w:val="nil"/>
            </w:tcBorders>
            <w:shd w:val="clear" w:color="auto" w:fill="FFFFFF"/>
            <w:vAlign w:val="center"/>
          </w:tcPr>
          <w:p w14:paraId="33E30D97"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Longitudinal</w:t>
            </w:r>
          </w:p>
        </w:tc>
        <w:tc>
          <w:tcPr>
            <w:tcW w:w="945" w:type="dxa"/>
            <w:tcBorders>
              <w:top w:val="nil"/>
              <w:left w:val="nil"/>
              <w:bottom w:val="nil"/>
              <w:right w:val="nil"/>
            </w:tcBorders>
            <w:shd w:val="clear" w:color="auto" w:fill="FFFFFF"/>
            <w:vAlign w:val="center"/>
          </w:tcPr>
          <w:p w14:paraId="288D3771"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Netherlands</w:t>
            </w:r>
          </w:p>
        </w:tc>
        <w:tc>
          <w:tcPr>
            <w:tcW w:w="1545" w:type="dxa"/>
            <w:tcBorders>
              <w:top w:val="nil"/>
              <w:left w:val="nil"/>
              <w:bottom w:val="nil"/>
              <w:right w:val="nil"/>
            </w:tcBorders>
            <w:shd w:val="clear" w:color="auto" w:fill="FFFFFF"/>
            <w:vAlign w:val="center"/>
          </w:tcPr>
          <w:p w14:paraId="4C94BEDF"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Explore sleep architecture in patients with OSA and COMISA using single-night PSG and multi-night PPG/actigraphy.</w:t>
            </w:r>
          </w:p>
        </w:tc>
        <w:tc>
          <w:tcPr>
            <w:tcW w:w="1080" w:type="dxa"/>
            <w:tcBorders>
              <w:top w:val="nil"/>
              <w:left w:val="nil"/>
              <w:bottom w:val="nil"/>
              <w:right w:val="nil"/>
            </w:tcBorders>
            <w:shd w:val="clear" w:color="auto" w:fill="FFFFFF"/>
            <w:vAlign w:val="center"/>
          </w:tcPr>
          <w:p w14:paraId="016B3C2B"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 xml:space="preserve">117 </w:t>
            </w:r>
          </w:p>
          <w:p w14:paraId="09EFF838"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participants</w:t>
            </w:r>
          </w:p>
          <w:p w14:paraId="56123178"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1515" w:type="dxa"/>
            <w:tcBorders>
              <w:top w:val="nil"/>
              <w:left w:val="nil"/>
              <w:bottom w:val="nil"/>
              <w:right w:val="nil"/>
            </w:tcBorders>
            <w:shd w:val="clear" w:color="auto" w:fill="FFFFFF"/>
            <w:vAlign w:val="center"/>
          </w:tcPr>
          <w:p w14:paraId="1300A59F"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Patients with suspected OSA; Median Age: 51; Sex: 65.7% M / 34.3% F; Median BMI: 28.3;</w:t>
            </w:r>
          </w:p>
          <w:p w14:paraId="1ADE7877"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2100" w:type="dxa"/>
            <w:tcBorders>
              <w:top w:val="nil"/>
              <w:left w:val="nil"/>
              <w:bottom w:val="nil"/>
              <w:right w:val="nil"/>
            </w:tcBorders>
            <w:shd w:val="clear" w:color="auto" w:fill="FFFFFF"/>
            <w:vAlign w:val="center"/>
          </w:tcPr>
          <w:p w14:paraId="63C02D71"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sdt>
              <w:sdtPr>
                <w:tag w:val="goog_rdk_8"/>
                <w:id w:val="-1578937401"/>
              </w:sdtPr>
              <w:sdtContent>
                <w:r>
                  <w:rPr>
                    <w:rFonts w:ascii="Gungsuh" w:eastAsia="Gungsuh" w:hAnsi="Gungsuh" w:cs="Gungsuh"/>
                    <w:color w:val="212121"/>
                    <w:sz w:val="16"/>
                    <w:szCs w:val="16"/>
                  </w:rPr>
                  <w:t>OSA (ICSD-3, AHI ≥5). Clinically significant insomnia (ISI sub-score ≥4 + complaints). COMISA: both.</w:t>
                </w:r>
              </w:sdtContent>
            </w:sdt>
            <w:r>
              <w:rPr>
                <w:rFonts w:ascii="Times New Roman" w:eastAsia="Times New Roman" w:hAnsi="Times New Roman" w:cs="Times New Roman"/>
                <w:color w:val="212121"/>
                <w:sz w:val="16"/>
                <w:szCs w:val="16"/>
                <w:highlight w:val="white"/>
              </w:rPr>
              <w:t xml:space="preserve"> </w:t>
            </w:r>
          </w:p>
        </w:tc>
        <w:tc>
          <w:tcPr>
            <w:tcW w:w="1320" w:type="dxa"/>
            <w:tcBorders>
              <w:top w:val="nil"/>
              <w:left w:val="nil"/>
              <w:bottom w:val="nil"/>
              <w:right w:val="nil"/>
            </w:tcBorders>
            <w:shd w:val="clear" w:color="auto" w:fill="FFFFFF"/>
            <w:vAlign w:val="center"/>
          </w:tcPr>
          <w:p w14:paraId="5E9C3B70"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b/>
                <w:bCs/>
                <w:color w:val="EE0000"/>
                <w:sz w:val="16"/>
                <w:szCs w:val="16"/>
                <w:highlight w:val="white"/>
              </w:rPr>
              <w:t>57,2%.</w:t>
            </w:r>
          </w:p>
        </w:tc>
        <w:tc>
          <w:tcPr>
            <w:tcW w:w="2520" w:type="dxa"/>
            <w:tcBorders>
              <w:top w:val="nil"/>
              <w:left w:val="nil"/>
              <w:bottom w:val="nil"/>
              <w:right w:val="nil"/>
            </w:tcBorders>
            <w:shd w:val="clear" w:color="auto" w:fill="FFFFFF"/>
            <w:vAlign w:val="center"/>
          </w:tcPr>
          <w:p w14:paraId="2AA12D67"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Single-night PSG showed no significant differences. Multi-night measurements: COMISA had longer sleep onset latency, lower sleep efficiency, longer and more variable awakenings.</w:t>
            </w:r>
          </w:p>
        </w:tc>
        <w:tc>
          <w:tcPr>
            <w:tcW w:w="1065" w:type="dxa"/>
            <w:tcBorders>
              <w:top w:val="nil"/>
              <w:left w:val="nil"/>
              <w:bottom w:val="nil"/>
              <w:right w:val="nil"/>
            </w:tcBorders>
            <w:shd w:val="clear" w:color="auto" w:fill="FFFFFF"/>
            <w:vAlign w:val="center"/>
          </w:tcPr>
          <w:p w14:paraId="0457899C"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 xml:space="preserve">Low </w:t>
            </w:r>
          </w:p>
        </w:tc>
      </w:tr>
      <w:tr w:rsidR="00580A13" w14:paraId="7B8CEC25" w14:textId="77777777">
        <w:tc>
          <w:tcPr>
            <w:tcW w:w="900" w:type="dxa"/>
            <w:tcBorders>
              <w:top w:val="nil"/>
              <w:left w:val="nil"/>
              <w:bottom w:val="nil"/>
              <w:right w:val="nil"/>
            </w:tcBorders>
            <w:shd w:val="clear" w:color="auto" w:fill="FFFFFF"/>
            <w:vAlign w:val="center"/>
          </w:tcPr>
          <w:p w14:paraId="122D96AB"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rPr>
            </w:pPr>
            <w:r>
              <w:rPr>
                <w:rFonts w:ascii="Times New Roman" w:eastAsia="Times New Roman" w:hAnsi="Times New Roman" w:cs="Times New Roman"/>
                <w:color w:val="212121"/>
                <w:sz w:val="16"/>
                <w:szCs w:val="16"/>
              </w:rPr>
              <w:t>Yelov et al., 2024</w:t>
            </w:r>
          </w:p>
        </w:tc>
        <w:tc>
          <w:tcPr>
            <w:tcW w:w="1020" w:type="dxa"/>
            <w:tcBorders>
              <w:top w:val="nil"/>
              <w:left w:val="nil"/>
              <w:bottom w:val="nil"/>
              <w:right w:val="nil"/>
            </w:tcBorders>
            <w:shd w:val="clear" w:color="auto" w:fill="FFFFFF"/>
            <w:vAlign w:val="center"/>
          </w:tcPr>
          <w:p w14:paraId="79F9E42D"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Cross-sectional</w:t>
            </w:r>
          </w:p>
        </w:tc>
        <w:tc>
          <w:tcPr>
            <w:tcW w:w="945" w:type="dxa"/>
            <w:tcBorders>
              <w:top w:val="nil"/>
              <w:left w:val="nil"/>
              <w:bottom w:val="nil"/>
              <w:right w:val="nil"/>
            </w:tcBorders>
            <w:shd w:val="clear" w:color="auto" w:fill="FFFFFF"/>
            <w:vAlign w:val="center"/>
          </w:tcPr>
          <w:p w14:paraId="02B38C2F"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Israel</w:t>
            </w:r>
          </w:p>
        </w:tc>
        <w:tc>
          <w:tcPr>
            <w:tcW w:w="1545" w:type="dxa"/>
            <w:tcBorders>
              <w:top w:val="nil"/>
              <w:left w:val="nil"/>
              <w:bottom w:val="nil"/>
              <w:right w:val="nil"/>
            </w:tcBorders>
            <w:shd w:val="clear" w:color="auto" w:fill="FFFFFF"/>
            <w:vAlign w:val="center"/>
          </w:tcPr>
          <w:p w14:paraId="3D15A80A"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Examine the association between Pediatric Behavioral Insomnia (BIC) and OSA in young children.</w:t>
            </w:r>
          </w:p>
        </w:tc>
        <w:tc>
          <w:tcPr>
            <w:tcW w:w="1080" w:type="dxa"/>
            <w:tcBorders>
              <w:top w:val="nil"/>
              <w:left w:val="nil"/>
              <w:bottom w:val="nil"/>
              <w:right w:val="nil"/>
            </w:tcBorders>
            <w:shd w:val="clear" w:color="auto" w:fill="FFFFFF"/>
            <w:vAlign w:val="center"/>
          </w:tcPr>
          <w:p w14:paraId="02DC4D9F"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 xml:space="preserve">312 </w:t>
            </w:r>
          </w:p>
          <w:p w14:paraId="589A89E7"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participants</w:t>
            </w:r>
          </w:p>
          <w:p w14:paraId="3BA94527"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1515" w:type="dxa"/>
            <w:tcBorders>
              <w:top w:val="nil"/>
              <w:left w:val="nil"/>
              <w:bottom w:val="nil"/>
              <w:right w:val="nil"/>
            </w:tcBorders>
            <w:shd w:val="clear" w:color="auto" w:fill="FFFFFF"/>
            <w:vAlign w:val="center"/>
          </w:tcPr>
          <w:p w14:paraId="67CEB8AA"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Children; Average Age: 4.42; Sex: 62.5% Male / 37.5% Female; BMI: 45.79 (percentile);</w:t>
            </w:r>
          </w:p>
          <w:p w14:paraId="008F4740"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p>
        </w:tc>
        <w:tc>
          <w:tcPr>
            <w:tcW w:w="2100" w:type="dxa"/>
            <w:tcBorders>
              <w:top w:val="nil"/>
              <w:left w:val="nil"/>
              <w:bottom w:val="nil"/>
              <w:right w:val="nil"/>
            </w:tcBorders>
            <w:shd w:val="clear" w:color="auto" w:fill="FFFFFF"/>
            <w:vAlign w:val="center"/>
          </w:tcPr>
          <w:p w14:paraId="13AD0E89"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Pediatric Behavioral Insomnia (clinical, ICSD-3) and OSA (AHI &gt;2). COMISA: both present.</w:t>
            </w:r>
          </w:p>
        </w:tc>
        <w:tc>
          <w:tcPr>
            <w:tcW w:w="1320" w:type="dxa"/>
            <w:tcBorders>
              <w:top w:val="nil"/>
              <w:left w:val="nil"/>
              <w:bottom w:val="nil"/>
              <w:right w:val="nil"/>
            </w:tcBorders>
            <w:shd w:val="clear" w:color="auto" w:fill="FFFFFF"/>
            <w:vAlign w:val="center"/>
          </w:tcPr>
          <w:p w14:paraId="71135EA8"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b/>
                <w:bCs/>
                <w:color w:val="EE0000"/>
                <w:sz w:val="16"/>
                <w:szCs w:val="16"/>
                <w:highlight w:val="white"/>
              </w:rPr>
              <w:t>8.7%.</w:t>
            </w:r>
          </w:p>
        </w:tc>
        <w:tc>
          <w:tcPr>
            <w:tcW w:w="2520" w:type="dxa"/>
            <w:tcBorders>
              <w:top w:val="nil"/>
              <w:left w:val="nil"/>
              <w:bottom w:val="nil"/>
              <w:right w:val="nil"/>
            </w:tcBorders>
            <w:shd w:val="clear" w:color="auto" w:fill="FFFFFF"/>
            <w:vAlign w:val="center"/>
          </w:tcPr>
          <w:p w14:paraId="0F2343EA"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There is no association between Pediatric Behavioral Insomnia and OSA in children. Children with COMISA were significantly younger. Healthcare professionals should consider both disorders separately</w:t>
            </w:r>
          </w:p>
        </w:tc>
        <w:tc>
          <w:tcPr>
            <w:tcW w:w="1065" w:type="dxa"/>
            <w:tcBorders>
              <w:top w:val="nil"/>
              <w:left w:val="nil"/>
              <w:bottom w:val="nil"/>
              <w:right w:val="nil"/>
            </w:tcBorders>
            <w:shd w:val="clear" w:color="auto" w:fill="FFFFFF"/>
            <w:vAlign w:val="center"/>
          </w:tcPr>
          <w:p w14:paraId="56F12107"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 xml:space="preserve">Moderate </w:t>
            </w:r>
          </w:p>
        </w:tc>
      </w:tr>
      <w:tr w:rsidR="00580A13" w14:paraId="71E120C0" w14:textId="77777777">
        <w:tc>
          <w:tcPr>
            <w:tcW w:w="900" w:type="dxa"/>
            <w:tcBorders>
              <w:top w:val="nil"/>
              <w:left w:val="nil"/>
              <w:bottom w:val="nil"/>
              <w:right w:val="nil"/>
            </w:tcBorders>
            <w:shd w:val="clear" w:color="auto" w:fill="FFFFFF"/>
            <w:vAlign w:val="center"/>
          </w:tcPr>
          <w:p w14:paraId="684C4924"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rPr>
            </w:pPr>
            <w:r>
              <w:rPr>
                <w:rFonts w:ascii="Times New Roman" w:eastAsia="Times New Roman" w:hAnsi="Times New Roman" w:cs="Times New Roman"/>
                <w:color w:val="212121"/>
                <w:sz w:val="16"/>
                <w:szCs w:val="16"/>
              </w:rPr>
              <w:t>Bjorvatn et al., 2014</w:t>
            </w:r>
          </w:p>
        </w:tc>
        <w:tc>
          <w:tcPr>
            <w:tcW w:w="1020" w:type="dxa"/>
            <w:tcBorders>
              <w:top w:val="nil"/>
              <w:left w:val="nil"/>
              <w:bottom w:val="nil"/>
              <w:right w:val="nil"/>
            </w:tcBorders>
            <w:shd w:val="clear" w:color="auto" w:fill="FFFFFF"/>
            <w:vAlign w:val="center"/>
          </w:tcPr>
          <w:p w14:paraId="519ED41A"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Cross-sectional</w:t>
            </w:r>
          </w:p>
        </w:tc>
        <w:tc>
          <w:tcPr>
            <w:tcW w:w="945" w:type="dxa"/>
            <w:tcBorders>
              <w:top w:val="nil"/>
              <w:left w:val="nil"/>
              <w:bottom w:val="nil"/>
              <w:right w:val="nil"/>
            </w:tcBorders>
            <w:shd w:val="clear" w:color="auto" w:fill="FFFFFF"/>
            <w:vAlign w:val="center"/>
          </w:tcPr>
          <w:p w14:paraId="553BC41C"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Norway</w:t>
            </w:r>
          </w:p>
        </w:tc>
        <w:tc>
          <w:tcPr>
            <w:tcW w:w="1545" w:type="dxa"/>
            <w:tcBorders>
              <w:top w:val="nil"/>
              <w:left w:val="nil"/>
              <w:bottom w:val="nil"/>
              <w:right w:val="nil"/>
            </w:tcBorders>
            <w:shd w:val="clear" w:color="auto" w:fill="FFFFFF"/>
            <w:vAlign w:val="center"/>
          </w:tcPr>
          <w:p w14:paraId="70DF37C4"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Investigate the prevalence and correlates of insomnia and excessive sleepiness/hypersomnia in participants with OSA symptoms.</w:t>
            </w:r>
          </w:p>
        </w:tc>
        <w:tc>
          <w:tcPr>
            <w:tcW w:w="1080" w:type="dxa"/>
            <w:tcBorders>
              <w:top w:val="nil"/>
              <w:left w:val="nil"/>
              <w:bottom w:val="nil"/>
              <w:right w:val="nil"/>
            </w:tcBorders>
            <w:shd w:val="clear" w:color="auto" w:fill="FFFFFF"/>
            <w:vAlign w:val="center"/>
          </w:tcPr>
          <w:p w14:paraId="3E6B52FD"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1502 participants</w:t>
            </w:r>
          </w:p>
        </w:tc>
        <w:tc>
          <w:tcPr>
            <w:tcW w:w="1515" w:type="dxa"/>
            <w:tcBorders>
              <w:top w:val="nil"/>
              <w:left w:val="nil"/>
              <w:bottom w:val="nil"/>
              <w:right w:val="nil"/>
            </w:tcBorders>
            <w:shd w:val="clear" w:color="auto" w:fill="FFFFFF"/>
            <w:vAlign w:val="center"/>
          </w:tcPr>
          <w:p w14:paraId="365B8642"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General population; Average age: 53.6; Sex: 50.7% male / 49.3% female; BMI: Not reported;</w:t>
            </w:r>
          </w:p>
          <w:p w14:paraId="703A5D5A"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p>
        </w:tc>
        <w:tc>
          <w:tcPr>
            <w:tcW w:w="2100" w:type="dxa"/>
            <w:tcBorders>
              <w:top w:val="nil"/>
              <w:left w:val="nil"/>
              <w:bottom w:val="nil"/>
              <w:right w:val="nil"/>
            </w:tcBorders>
            <w:shd w:val="clear" w:color="auto" w:fill="FFFFFF"/>
            <w:vAlign w:val="center"/>
          </w:tcPr>
          <w:p w14:paraId="0A1C3B90"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 xml:space="preserve"> </w:t>
            </w:r>
            <w:sdt>
              <w:sdtPr>
                <w:tag w:val="goog_rdk_9"/>
                <w:id w:val="-1732508374"/>
              </w:sdtPr>
              <w:sdtContent>
                <w:r>
                  <w:rPr>
                    <w:rFonts w:ascii="Gungsuh" w:eastAsia="Gungsuh" w:hAnsi="Gungsuh" w:cs="Gungsuh"/>
                    <w:color w:val="212121"/>
                    <w:sz w:val="16"/>
                    <w:szCs w:val="16"/>
                  </w:rPr>
                  <w:t>Insomnia (≥3 days/week in sleep and daytime items) and OSA symptoms (self-reported)</w:t>
                </w:r>
              </w:sdtContent>
            </w:sdt>
          </w:p>
        </w:tc>
        <w:tc>
          <w:tcPr>
            <w:tcW w:w="1320" w:type="dxa"/>
            <w:tcBorders>
              <w:top w:val="nil"/>
              <w:left w:val="nil"/>
              <w:bottom w:val="nil"/>
              <w:right w:val="nil"/>
            </w:tcBorders>
            <w:shd w:val="clear" w:color="auto" w:fill="FFFFFF"/>
            <w:vAlign w:val="center"/>
          </w:tcPr>
          <w:p w14:paraId="7825AC25"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b/>
                <w:bCs/>
                <w:color w:val="EE0000"/>
                <w:sz w:val="16"/>
                <w:szCs w:val="16"/>
                <w:highlight w:val="white"/>
              </w:rPr>
              <w:t xml:space="preserve">3.5%. </w:t>
            </w:r>
          </w:p>
        </w:tc>
        <w:tc>
          <w:tcPr>
            <w:tcW w:w="2520" w:type="dxa"/>
            <w:tcBorders>
              <w:top w:val="nil"/>
              <w:left w:val="nil"/>
              <w:bottom w:val="nil"/>
              <w:right w:val="nil"/>
            </w:tcBorders>
            <w:shd w:val="clear" w:color="auto" w:fill="FFFFFF"/>
            <w:vAlign w:val="center"/>
          </w:tcPr>
          <w:p w14:paraId="584A076B"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Insomnia twice as common (and hypersomnia three times more) among participants with OSA symptoms. Non-restorative sleep is the most common complaint (55%).</w:t>
            </w:r>
          </w:p>
        </w:tc>
        <w:tc>
          <w:tcPr>
            <w:tcW w:w="1065" w:type="dxa"/>
            <w:tcBorders>
              <w:top w:val="nil"/>
              <w:left w:val="nil"/>
              <w:bottom w:val="nil"/>
              <w:right w:val="nil"/>
            </w:tcBorders>
            <w:shd w:val="clear" w:color="auto" w:fill="FFFFFF"/>
            <w:vAlign w:val="center"/>
          </w:tcPr>
          <w:p w14:paraId="2B0B7701"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 xml:space="preserve">Moderate </w:t>
            </w:r>
          </w:p>
        </w:tc>
      </w:tr>
      <w:tr w:rsidR="00580A13" w14:paraId="6E67E879" w14:textId="77777777">
        <w:tc>
          <w:tcPr>
            <w:tcW w:w="900" w:type="dxa"/>
            <w:tcBorders>
              <w:top w:val="nil"/>
              <w:left w:val="nil"/>
              <w:bottom w:val="nil"/>
              <w:right w:val="nil"/>
            </w:tcBorders>
            <w:shd w:val="clear" w:color="auto" w:fill="FFFFFF"/>
            <w:vAlign w:val="center"/>
          </w:tcPr>
          <w:p w14:paraId="64B25936"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rPr>
            </w:pPr>
            <w:r>
              <w:rPr>
                <w:rFonts w:ascii="Times New Roman" w:eastAsia="Times New Roman" w:hAnsi="Times New Roman" w:cs="Times New Roman"/>
                <w:color w:val="212121"/>
                <w:sz w:val="16"/>
                <w:szCs w:val="16"/>
              </w:rPr>
              <w:t>Choi et al., 2020</w:t>
            </w:r>
          </w:p>
        </w:tc>
        <w:tc>
          <w:tcPr>
            <w:tcW w:w="1020" w:type="dxa"/>
            <w:tcBorders>
              <w:top w:val="nil"/>
              <w:left w:val="nil"/>
              <w:bottom w:val="nil"/>
              <w:right w:val="nil"/>
            </w:tcBorders>
            <w:shd w:val="clear" w:color="auto" w:fill="FFFFFF"/>
            <w:vAlign w:val="center"/>
          </w:tcPr>
          <w:p w14:paraId="29156960"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Cross-sectional</w:t>
            </w:r>
          </w:p>
        </w:tc>
        <w:tc>
          <w:tcPr>
            <w:tcW w:w="945" w:type="dxa"/>
            <w:tcBorders>
              <w:top w:val="nil"/>
              <w:left w:val="nil"/>
              <w:bottom w:val="nil"/>
              <w:right w:val="nil"/>
            </w:tcBorders>
            <w:shd w:val="clear" w:color="auto" w:fill="FFFFFF"/>
            <w:vAlign w:val="center"/>
          </w:tcPr>
          <w:p w14:paraId="35784BE9"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Korea</w:t>
            </w:r>
          </w:p>
        </w:tc>
        <w:tc>
          <w:tcPr>
            <w:tcW w:w="1545" w:type="dxa"/>
            <w:tcBorders>
              <w:top w:val="nil"/>
              <w:left w:val="nil"/>
              <w:bottom w:val="nil"/>
              <w:right w:val="nil"/>
            </w:tcBorders>
            <w:shd w:val="clear" w:color="auto" w:fill="FFFFFF"/>
            <w:vAlign w:val="center"/>
          </w:tcPr>
          <w:p w14:paraId="630500C9"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Investigate differences in sleep perception in chronic insomnia (CI), COMISA (OSA-I), OSA only, and normal controls (NC).</w:t>
            </w:r>
          </w:p>
        </w:tc>
        <w:tc>
          <w:tcPr>
            <w:tcW w:w="1080" w:type="dxa"/>
            <w:tcBorders>
              <w:top w:val="nil"/>
              <w:left w:val="nil"/>
              <w:bottom w:val="nil"/>
              <w:right w:val="nil"/>
            </w:tcBorders>
            <w:shd w:val="clear" w:color="auto" w:fill="FFFFFF"/>
            <w:vAlign w:val="center"/>
          </w:tcPr>
          <w:p w14:paraId="51FC0260"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 xml:space="preserve">360 </w:t>
            </w:r>
          </w:p>
          <w:p w14:paraId="4BF3F12B"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participants</w:t>
            </w:r>
          </w:p>
          <w:p w14:paraId="6877E5B8"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1515" w:type="dxa"/>
            <w:tcBorders>
              <w:top w:val="nil"/>
              <w:left w:val="nil"/>
              <w:bottom w:val="nil"/>
              <w:right w:val="nil"/>
            </w:tcBorders>
            <w:shd w:val="clear" w:color="auto" w:fill="FFFFFF"/>
            <w:vAlign w:val="center"/>
          </w:tcPr>
          <w:p w14:paraId="5AB4C1A6"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Patients; Median age: ~49-61; Sex: Predominantly male; Median BMI: ~23-25.5;</w:t>
            </w:r>
          </w:p>
          <w:p w14:paraId="6375D62B"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2100" w:type="dxa"/>
            <w:tcBorders>
              <w:top w:val="nil"/>
              <w:left w:val="nil"/>
              <w:bottom w:val="nil"/>
              <w:right w:val="nil"/>
            </w:tcBorders>
            <w:shd w:val="clear" w:color="auto" w:fill="FFFFFF"/>
            <w:vAlign w:val="center"/>
          </w:tcPr>
          <w:p w14:paraId="3AA619CC"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sdt>
              <w:sdtPr>
                <w:tag w:val="goog_rdk_10"/>
                <w:id w:val="-615357618"/>
              </w:sdtPr>
              <w:sdtContent>
                <w:r>
                  <w:rPr>
                    <w:rFonts w:ascii="Gungsuh" w:eastAsia="Gungsuh" w:hAnsi="Gungsuh" w:cs="Gungsuh"/>
                    <w:color w:val="212121"/>
                    <w:sz w:val="16"/>
                    <w:szCs w:val="16"/>
                  </w:rPr>
                  <w:t>CI (chronic insomnia, AHI &lt;5), OSA-I (OSA AHI ≥5 + insomnia complaints), OSA (OSA only), NC (healthy AHI &lt;5).</w:t>
                </w:r>
              </w:sdtContent>
            </w:sdt>
            <w:r>
              <w:rPr>
                <w:rFonts w:ascii="Times New Roman" w:eastAsia="Times New Roman" w:hAnsi="Times New Roman" w:cs="Times New Roman"/>
                <w:color w:val="212121"/>
                <w:sz w:val="16"/>
                <w:szCs w:val="16"/>
                <w:highlight w:val="white"/>
              </w:rPr>
              <w:t xml:space="preserve"> </w:t>
            </w:r>
          </w:p>
        </w:tc>
        <w:tc>
          <w:tcPr>
            <w:tcW w:w="1320" w:type="dxa"/>
            <w:tcBorders>
              <w:top w:val="nil"/>
              <w:left w:val="nil"/>
              <w:bottom w:val="nil"/>
              <w:right w:val="nil"/>
            </w:tcBorders>
            <w:shd w:val="clear" w:color="auto" w:fill="FFFFFF"/>
            <w:vAlign w:val="center"/>
          </w:tcPr>
          <w:p w14:paraId="11386959"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b/>
                <w:bCs/>
                <w:color w:val="EE0000"/>
                <w:sz w:val="16"/>
                <w:szCs w:val="16"/>
                <w:highlight w:val="white"/>
              </w:rPr>
              <w:t>13.6%.</w:t>
            </w:r>
            <w:r>
              <w:rPr>
                <w:rFonts w:ascii="Times New Roman" w:eastAsia="Times New Roman" w:hAnsi="Times New Roman" w:cs="Times New Roman"/>
                <w:color w:val="EE0000"/>
                <w:sz w:val="16"/>
                <w:szCs w:val="16"/>
                <w:highlight w:val="white"/>
              </w:rPr>
              <w:t xml:space="preserve"> </w:t>
            </w:r>
          </w:p>
        </w:tc>
        <w:tc>
          <w:tcPr>
            <w:tcW w:w="2520" w:type="dxa"/>
            <w:tcBorders>
              <w:top w:val="nil"/>
              <w:left w:val="nil"/>
              <w:bottom w:val="nil"/>
              <w:right w:val="nil"/>
            </w:tcBorders>
            <w:shd w:val="clear" w:color="auto" w:fill="FFFFFF"/>
            <w:vAlign w:val="center"/>
          </w:tcPr>
          <w:p w14:paraId="3C2E44B0"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Patients with COMISA reported the smallest discrepancy between habitual sleep duration and subjective total sleep time. PSG profiles are distinct for OSA with or without insomnia.</w:t>
            </w:r>
          </w:p>
        </w:tc>
        <w:tc>
          <w:tcPr>
            <w:tcW w:w="1065" w:type="dxa"/>
            <w:tcBorders>
              <w:top w:val="nil"/>
              <w:left w:val="nil"/>
              <w:bottom w:val="nil"/>
              <w:right w:val="nil"/>
            </w:tcBorders>
            <w:shd w:val="clear" w:color="auto" w:fill="FFFFFF"/>
            <w:vAlign w:val="center"/>
          </w:tcPr>
          <w:p w14:paraId="560DE71B"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9900"/>
                <w:sz w:val="16"/>
                <w:szCs w:val="16"/>
                <w:highlight w:val="white"/>
              </w:rPr>
            </w:pPr>
            <w:r>
              <w:rPr>
                <w:rFonts w:ascii="Times New Roman" w:eastAsia="Times New Roman" w:hAnsi="Times New Roman" w:cs="Times New Roman"/>
                <w:sz w:val="16"/>
                <w:szCs w:val="16"/>
                <w:highlight w:val="white"/>
              </w:rPr>
              <w:t>Moderate</w:t>
            </w:r>
          </w:p>
        </w:tc>
      </w:tr>
      <w:tr w:rsidR="00580A13" w14:paraId="1157F288" w14:textId="77777777">
        <w:tc>
          <w:tcPr>
            <w:tcW w:w="900" w:type="dxa"/>
            <w:tcBorders>
              <w:top w:val="nil"/>
              <w:left w:val="nil"/>
              <w:bottom w:val="nil"/>
              <w:right w:val="nil"/>
            </w:tcBorders>
            <w:shd w:val="clear" w:color="auto" w:fill="FFFFFF"/>
            <w:vAlign w:val="center"/>
          </w:tcPr>
          <w:p w14:paraId="234E58DA"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rPr>
            </w:pPr>
            <w:r>
              <w:rPr>
                <w:rFonts w:ascii="Times New Roman" w:eastAsia="Times New Roman" w:hAnsi="Times New Roman" w:cs="Times New Roman"/>
                <w:color w:val="212121"/>
                <w:sz w:val="16"/>
                <w:szCs w:val="16"/>
              </w:rPr>
              <w:t>Hilmisson et al.  2019</w:t>
            </w:r>
          </w:p>
        </w:tc>
        <w:tc>
          <w:tcPr>
            <w:tcW w:w="1020" w:type="dxa"/>
            <w:tcBorders>
              <w:top w:val="nil"/>
              <w:left w:val="nil"/>
              <w:bottom w:val="nil"/>
              <w:right w:val="nil"/>
            </w:tcBorders>
            <w:shd w:val="clear" w:color="auto" w:fill="FFFFFF"/>
            <w:vAlign w:val="center"/>
          </w:tcPr>
          <w:p w14:paraId="0FB37672"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Cross-sectional</w:t>
            </w:r>
          </w:p>
        </w:tc>
        <w:tc>
          <w:tcPr>
            <w:tcW w:w="945" w:type="dxa"/>
            <w:tcBorders>
              <w:top w:val="nil"/>
              <w:left w:val="nil"/>
              <w:bottom w:val="nil"/>
              <w:right w:val="nil"/>
            </w:tcBorders>
            <w:shd w:val="clear" w:color="auto" w:fill="FFFFFF"/>
            <w:vAlign w:val="center"/>
          </w:tcPr>
          <w:p w14:paraId="72D39F52"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Iceland</w:t>
            </w:r>
          </w:p>
        </w:tc>
        <w:tc>
          <w:tcPr>
            <w:tcW w:w="1545" w:type="dxa"/>
            <w:tcBorders>
              <w:top w:val="nil"/>
              <w:left w:val="nil"/>
              <w:bottom w:val="nil"/>
              <w:right w:val="nil"/>
            </w:tcBorders>
            <w:shd w:val="clear" w:color="auto" w:fill="FFFFFF"/>
            <w:vAlign w:val="center"/>
          </w:tcPr>
          <w:p w14:paraId="3B93F790"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Determine the prevalence of undiagnosed SDB in patients with chronic insomnia.</w:t>
            </w:r>
          </w:p>
        </w:tc>
        <w:tc>
          <w:tcPr>
            <w:tcW w:w="1080" w:type="dxa"/>
            <w:tcBorders>
              <w:top w:val="nil"/>
              <w:left w:val="nil"/>
              <w:bottom w:val="nil"/>
              <w:right w:val="nil"/>
            </w:tcBorders>
            <w:shd w:val="clear" w:color="auto" w:fill="FFFFFF"/>
            <w:vAlign w:val="center"/>
          </w:tcPr>
          <w:p w14:paraId="368D2302"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212121"/>
                <w:sz w:val="16"/>
                <w:szCs w:val="16"/>
                <w:highlight w:val="white"/>
              </w:rPr>
              <w:t xml:space="preserve">110 </w:t>
            </w:r>
            <w:r>
              <w:rPr>
                <w:rFonts w:ascii="Times New Roman" w:eastAsia="Times New Roman" w:hAnsi="Times New Roman" w:cs="Times New Roman"/>
                <w:color w:val="EE0000"/>
                <w:sz w:val="16"/>
                <w:szCs w:val="16"/>
                <w:highlight w:val="white"/>
              </w:rPr>
              <w:t>participants</w:t>
            </w:r>
          </w:p>
          <w:p w14:paraId="5F84D971"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1515" w:type="dxa"/>
            <w:tcBorders>
              <w:top w:val="nil"/>
              <w:left w:val="nil"/>
              <w:bottom w:val="nil"/>
              <w:right w:val="nil"/>
            </w:tcBorders>
            <w:shd w:val="clear" w:color="auto" w:fill="FFFFFF"/>
            <w:vAlign w:val="center"/>
          </w:tcPr>
          <w:p w14:paraId="0696BC77"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Patients with chronic insomnia undergoing pharmacological treatment; Average Age: 49.9; Sex: 12% Male / 88% Female; Average BMI: 32.0;</w:t>
            </w:r>
          </w:p>
          <w:p w14:paraId="5FC8D0BC"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2100" w:type="dxa"/>
            <w:tcBorders>
              <w:top w:val="nil"/>
              <w:left w:val="nil"/>
              <w:bottom w:val="nil"/>
              <w:right w:val="nil"/>
            </w:tcBorders>
            <w:shd w:val="clear" w:color="auto" w:fill="FFFFFF"/>
            <w:vAlign w:val="center"/>
          </w:tcPr>
          <w:p w14:paraId="35FC9C48"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Chronic insomnia and undiagnosed SDB/OSA (Respiratory Event Index – REI &gt;15).</w:t>
            </w:r>
          </w:p>
        </w:tc>
        <w:tc>
          <w:tcPr>
            <w:tcW w:w="1320" w:type="dxa"/>
            <w:tcBorders>
              <w:top w:val="nil"/>
              <w:left w:val="nil"/>
              <w:bottom w:val="nil"/>
              <w:right w:val="nil"/>
            </w:tcBorders>
            <w:shd w:val="clear" w:color="auto" w:fill="FFFFFF"/>
            <w:vAlign w:val="center"/>
          </w:tcPr>
          <w:p w14:paraId="370443C8"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b/>
                <w:bCs/>
                <w:color w:val="EE0000"/>
                <w:sz w:val="16"/>
                <w:szCs w:val="16"/>
                <w:highlight w:val="white"/>
              </w:rPr>
              <w:t>25%.</w:t>
            </w:r>
            <w:r>
              <w:rPr>
                <w:rFonts w:ascii="Times New Roman" w:eastAsia="Times New Roman" w:hAnsi="Times New Roman" w:cs="Times New Roman"/>
                <w:color w:val="EE0000"/>
                <w:sz w:val="16"/>
                <w:szCs w:val="16"/>
                <w:highlight w:val="white"/>
              </w:rPr>
              <w:t xml:space="preserve"> </w:t>
            </w:r>
          </w:p>
        </w:tc>
        <w:tc>
          <w:tcPr>
            <w:tcW w:w="2520" w:type="dxa"/>
            <w:tcBorders>
              <w:top w:val="nil"/>
              <w:left w:val="nil"/>
              <w:bottom w:val="nil"/>
              <w:right w:val="nil"/>
            </w:tcBorders>
            <w:shd w:val="clear" w:color="auto" w:fill="FFFFFF"/>
            <w:vAlign w:val="center"/>
          </w:tcPr>
          <w:p w14:paraId="39A93064"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High prevalence and symptom overlap justify objective testing before therapy. Diagnostic caution for women with insomnia, as SDB may not be considered.</w:t>
            </w:r>
          </w:p>
        </w:tc>
        <w:tc>
          <w:tcPr>
            <w:tcW w:w="1065" w:type="dxa"/>
            <w:tcBorders>
              <w:top w:val="nil"/>
              <w:left w:val="nil"/>
              <w:bottom w:val="nil"/>
              <w:right w:val="nil"/>
            </w:tcBorders>
            <w:shd w:val="clear" w:color="auto" w:fill="FFFFFF"/>
            <w:vAlign w:val="center"/>
          </w:tcPr>
          <w:p w14:paraId="2AB232EA"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 xml:space="preserve">Low </w:t>
            </w:r>
          </w:p>
        </w:tc>
      </w:tr>
      <w:tr w:rsidR="00580A13" w14:paraId="28B2680A" w14:textId="77777777">
        <w:tc>
          <w:tcPr>
            <w:tcW w:w="900" w:type="dxa"/>
            <w:tcBorders>
              <w:top w:val="nil"/>
              <w:left w:val="nil"/>
              <w:bottom w:val="nil"/>
              <w:right w:val="nil"/>
            </w:tcBorders>
            <w:shd w:val="clear" w:color="auto" w:fill="FFFFFF"/>
            <w:vAlign w:val="center"/>
          </w:tcPr>
          <w:p w14:paraId="760015BB"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rPr>
            </w:pPr>
            <w:r>
              <w:rPr>
                <w:rFonts w:ascii="Times New Roman" w:eastAsia="Times New Roman" w:hAnsi="Times New Roman" w:cs="Times New Roman"/>
                <w:color w:val="212121"/>
                <w:sz w:val="16"/>
                <w:szCs w:val="16"/>
              </w:rPr>
              <w:t>Lang et al., 2017</w:t>
            </w:r>
          </w:p>
        </w:tc>
        <w:tc>
          <w:tcPr>
            <w:tcW w:w="1020" w:type="dxa"/>
            <w:tcBorders>
              <w:top w:val="nil"/>
              <w:left w:val="nil"/>
              <w:bottom w:val="nil"/>
              <w:right w:val="nil"/>
            </w:tcBorders>
            <w:shd w:val="clear" w:color="auto" w:fill="FFFFFF"/>
            <w:vAlign w:val="center"/>
          </w:tcPr>
          <w:p w14:paraId="7C4EAE53"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Prevalance</w:t>
            </w:r>
          </w:p>
        </w:tc>
        <w:tc>
          <w:tcPr>
            <w:tcW w:w="945" w:type="dxa"/>
            <w:tcBorders>
              <w:top w:val="nil"/>
              <w:left w:val="nil"/>
              <w:bottom w:val="nil"/>
              <w:right w:val="nil"/>
            </w:tcBorders>
            <w:shd w:val="clear" w:color="auto" w:fill="FFFFFF"/>
            <w:vAlign w:val="center"/>
          </w:tcPr>
          <w:p w14:paraId="7182AF0B"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Australia</w:t>
            </w:r>
          </w:p>
        </w:tc>
        <w:tc>
          <w:tcPr>
            <w:tcW w:w="1545" w:type="dxa"/>
            <w:tcBorders>
              <w:top w:val="nil"/>
              <w:left w:val="nil"/>
              <w:bottom w:val="nil"/>
              <w:right w:val="nil"/>
            </w:tcBorders>
            <w:shd w:val="clear" w:color="auto" w:fill="FFFFFF"/>
            <w:vAlign w:val="center"/>
          </w:tcPr>
          <w:p w14:paraId="3D8233CE"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Examine the prevalence and profile of undiagnosed COMISA in men in the community.</w:t>
            </w:r>
          </w:p>
        </w:tc>
        <w:tc>
          <w:tcPr>
            <w:tcW w:w="1080" w:type="dxa"/>
            <w:tcBorders>
              <w:top w:val="nil"/>
              <w:left w:val="nil"/>
              <w:bottom w:val="nil"/>
              <w:right w:val="nil"/>
            </w:tcBorders>
            <w:shd w:val="clear" w:color="auto" w:fill="FFFFFF"/>
            <w:vAlign w:val="center"/>
          </w:tcPr>
          <w:p w14:paraId="470A3496"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 xml:space="preserve">700 </w:t>
            </w:r>
          </w:p>
          <w:p w14:paraId="6D9034A8"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participants</w:t>
            </w:r>
          </w:p>
          <w:p w14:paraId="50410CE3"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1515" w:type="dxa"/>
            <w:tcBorders>
              <w:top w:val="nil"/>
              <w:left w:val="nil"/>
              <w:bottom w:val="nil"/>
              <w:right w:val="nil"/>
            </w:tcBorders>
            <w:shd w:val="clear" w:color="auto" w:fill="FFFFFF"/>
            <w:vAlign w:val="center"/>
          </w:tcPr>
          <w:p w14:paraId="6A98440B"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Community; Average Age: 58.5; Sex: 100% Male; Average BMI: 29.1;</w:t>
            </w:r>
          </w:p>
          <w:p w14:paraId="6E774331"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2100" w:type="dxa"/>
            <w:tcBorders>
              <w:top w:val="nil"/>
              <w:left w:val="nil"/>
              <w:bottom w:val="nil"/>
              <w:right w:val="nil"/>
            </w:tcBorders>
            <w:shd w:val="clear" w:color="auto" w:fill="FFFFFF"/>
            <w:vAlign w:val="center"/>
          </w:tcPr>
          <w:p w14:paraId="7059AFE6"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sdt>
              <w:sdtPr>
                <w:tag w:val="goog_rdk_11"/>
                <w:id w:val="-550271226"/>
              </w:sdtPr>
              <w:sdtContent>
                <w:r>
                  <w:rPr>
                    <w:rFonts w:ascii="Gungsuh" w:eastAsia="Gungsuh" w:hAnsi="Gungsuh" w:cs="Gungsuh"/>
                    <w:color w:val="212121"/>
                    <w:sz w:val="16"/>
                    <w:szCs w:val="16"/>
                  </w:rPr>
                  <w:t>Insomnia: DIMS-F (difficulty initiating/maintaining sleep in the presence of daytime fatigue). OSA: AHI ≥10. COMISA: both conditions</w:t>
                </w:r>
              </w:sdtContent>
            </w:sdt>
          </w:p>
        </w:tc>
        <w:tc>
          <w:tcPr>
            <w:tcW w:w="1320" w:type="dxa"/>
            <w:tcBorders>
              <w:top w:val="nil"/>
              <w:left w:val="nil"/>
              <w:bottom w:val="nil"/>
              <w:right w:val="nil"/>
            </w:tcBorders>
            <w:shd w:val="clear" w:color="auto" w:fill="FFFFFF"/>
            <w:vAlign w:val="center"/>
          </w:tcPr>
          <w:p w14:paraId="3BBE098F"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b/>
                <w:bCs/>
                <w:color w:val="EE0000"/>
                <w:sz w:val="16"/>
                <w:szCs w:val="16"/>
                <w:highlight w:val="white"/>
              </w:rPr>
              <w:t>6.7%.</w:t>
            </w:r>
            <w:r>
              <w:rPr>
                <w:rFonts w:ascii="Times New Roman" w:eastAsia="Times New Roman" w:hAnsi="Times New Roman" w:cs="Times New Roman"/>
                <w:color w:val="EE0000"/>
                <w:sz w:val="16"/>
                <w:szCs w:val="16"/>
                <w:highlight w:val="white"/>
              </w:rPr>
              <w:t xml:space="preserve"> </w:t>
            </w:r>
          </w:p>
        </w:tc>
        <w:tc>
          <w:tcPr>
            <w:tcW w:w="2520" w:type="dxa"/>
            <w:tcBorders>
              <w:top w:val="nil"/>
              <w:left w:val="nil"/>
              <w:bottom w:val="nil"/>
              <w:right w:val="nil"/>
            </w:tcBorders>
            <w:shd w:val="clear" w:color="auto" w:fill="FFFFFF"/>
            <w:vAlign w:val="center"/>
          </w:tcPr>
          <w:p w14:paraId="0481884C"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Men with COMISA have higher prevalence and severity of depression compared to men with only one disorder.</w:t>
            </w:r>
            <w:r>
              <w:rPr>
                <w:rFonts w:ascii="Times New Roman" w:eastAsia="Times New Roman" w:hAnsi="Times New Roman" w:cs="Times New Roman"/>
                <w:color w:val="212121"/>
                <w:sz w:val="16"/>
                <w:szCs w:val="16"/>
                <w:highlight w:val="white"/>
              </w:rPr>
              <w:t xml:space="preserve">. </w:t>
            </w:r>
          </w:p>
        </w:tc>
        <w:tc>
          <w:tcPr>
            <w:tcW w:w="1065" w:type="dxa"/>
            <w:tcBorders>
              <w:top w:val="nil"/>
              <w:left w:val="nil"/>
              <w:bottom w:val="nil"/>
              <w:right w:val="nil"/>
            </w:tcBorders>
            <w:shd w:val="clear" w:color="auto" w:fill="FFFFFF"/>
            <w:vAlign w:val="center"/>
          </w:tcPr>
          <w:p w14:paraId="78567AD0"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 xml:space="preserve">Low </w:t>
            </w:r>
          </w:p>
        </w:tc>
      </w:tr>
      <w:tr w:rsidR="00580A13" w14:paraId="2D7D0F0A" w14:textId="77777777">
        <w:tc>
          <w:tcPr>
            <w:tcW w:w="900" w:type="dxa"/>
            <w:tcBorders>
              <w:top w:val="nil"/>
              <w:left w:val="nil"/>
              <w:bottom w:val="single" w:sz="4" w:space="0" w:color="000000"/>
              <w:right w:val="nil"/>
            </w:tcBorders>
            <w:shd w:val="clear" w:color="auto" w:fill="FFFFFF"/>
            <w:vAlign w:val="center"/>
          </w:tcPr>
          <w:p w14:paraId="5F4DFF74"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rPr>
            </w:pPr>
            <w:r>
              <w:rPr>
                <w:rFonts w:ascii="Times New Roman" w:eastAsia="Times New Roman" w:hAnsi="Times New Roman" w:cs="Times New Roman"/>
                <w:color w:val="212121"/>
                <w:sz w:val="16"/>
                <w:szCs w:val="16"/>
              </w:rPr>
              <w:t>Wulterkens et al., 2023</w:t>
            </w:r>
          </w:p>
        </w:tc>
        <w:tc>
          <w:tcPr>
            <w:tcW w:w="1020" w:type="dxa"/>
            <w:tcBorders>
              <w:top w:val="nil"/>
              <w:left w:val="nil"/>
              <w:bottom w:val="single" w:sz="4" w:space="0" w:color="000000"/>
              <w:right w:val="nil"/>
            </w:tcBorders>
            <w:shd w:val="clear" w:color="auto" w:fill="FFFFFF"/>
            <w:vAlign w:val="center"/>
          </w:tcPr>
          <w:p w14:paraId="4E4DEB58"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Cross-sectional</w:t>
            </w:r>
          </w:p>
        </w:tc>
        <w:tc>
          <w:tcPr>
            <w:tcW w:w="945" w:type="dxa"/>
            <w:tcBorders>
              <w:top w:val="nil"/>
              <w:left w:val="nil"/>
              <w:bottom w:val="single" w:sz="4" w:space="0" w:color="000000"/>
              <w:right w:val="nil"/>
            </w:tcBorders>
            <w:shd w:val="clear" w:color="auto" w:fill="FFFFFF"/>
            <w:vAlign w:val="center"/>
          </w:tcPr>
          <w:p w14:paraId="1E4A5F85"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Netherlands</w:t>
            </w:r>
          </w:p>
        </w:tc>
        <w:tc>
          <w:tcPr>
            <w:tcW w:w="1545" w:type="dxa"/>
            <w:tcBorders>
              <w:top w:val="nil"/>
              <w:left w:val="nil"/>
              <w:bottom w:val="single" w:sz="4" w:space="0" w:color="000000"/>
              <w:right w:val="nil"/>
            </w:tcBorders>
            <w:shd w:val="clear" w:color="auto" w:fill="FFFFFF"/>
            <w:vAlign w:val="center"/>
          </w:tcPr>
          <w:p w14:paraId="263F2EE9"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Investigate differences in sleep architecture among patients with OSA, insomnia, and COMISA to improve COMISA diagnosis.</w:t>
            </w:r>
          </w:p>
        </w:tc>
        <w:tc>
          <w:tcPr>
            <w:tcW w:w="1080" w:type="dxa"/>
            <w:tcBorders>
              <w:top w:val="nil"/>
              <w:left w:val="nil"/>
              <w:bottom w:val="single" w:sz="4" w:space="0" w:color="000000"/>
              <w:right w:val="nil"/>
            </w:tcBorders>
            <w:shd w:val="clear" w:color="auto" w:fill="FFFFFF"/>
            <w:vAlign w:val="center"/>
          </w:tcPr>
          <w:p w14:paraId="60F75FF5"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rPr>
            </w:pPr>
            <w:r>
              <w:rPr>
                <w:rFonts w:ascii="Times New Roman" w:eastAsia="Times New Roman" w:hAnsi="Times New Roman" w:cs="Times New Roman"/>
                <w:color w:val="212121"/>
                <w:sz w:val="16"/>
                <w:szCs w:val="16"/>
              </w:rPr>
              <w:t xml:space="preserve">326 </w:t>
            </w:r>
          </w:p>
          <w:p w14:paraId="0D292681"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participants</w:t>
            </w:r>
          </w:p>
          <w:p w14:paraId="7EB6D6EF"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1515" w:type="dxa"/>
            <w:tcBorders>
              <w:top w:val="nil"/>
              <w:left w:val="nil"/>
              <w:bottom w:val="single" w:sz="4" w:space="0" w:color="000000"/>
              <w:right w:val="nil"/>
            </w:tcBorders>
            <w:shd w:val="clear" w:color="auto" w:fill="FFFFFF"/>
            <w:vAlign w:val="center"/>
          </w:tcPr>
          <w:p w14:paraId="4760983E"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EE0000"/>
                <w:sz w:val="16"/>
                <w:szCs w:val="16"/>
                <w:highlight w:val="white"/>
              </w:rPr>
            </w:pPr>
            <w:r>
              <w:rPr>
                <w:rFonts w:ascii="Times New Roman" w:eastAsia="Times New Roman" w:hAnsi="Times New Roman" w:cs="Times New Roman"/>
                <w:color w:val="EE0000"/>
                <w:sz w:val="16"/>
                <w:szCs w:val="16"/>
                <w:highlight w:val="white"/>
              </w:rPr>
              <w:t>Patients; Median Age: 56.0; Sex: 66.6% M / 33.4% M; Median BMI: 27.9 (OSA) / 27.5 (COMISA);</w:t>
            </w:r>
          </w:p>
          <w:p w14:paraId="5FBD6175" w14:textId="77777777" w:rsidR="00580A13" w:rsidRDefault="00580A1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tc>
        <w:tc>
          <w:tcPr>
            <w:tcW w:w="2100" w:type="dxa"/>
            <w:tcBorders>
              <w:top w:val="nil"/>
              <w:left w:val="nil"/>
              <w:bottom w:val="single" w:sz="4" w:space="0" w:color="000000"/>
              <w:right w:val="nil"/>
            </w:tcBorders>
            <w:shd w:val="clear" w:color="auto" w:fill="FFFFFF"/>
            <w:vAlign w:val="center"/>
          </w:tcPr>
          <w:p w14:paraId="7F50A4A9"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sdt>
              <w:sdtPr>
                <w:tag w:val="goog_rdk_12"/>
                <w:id w:val="111480558"/>
              </w:sdtPr>
              <w:sdtContent>
                <w:r>
                  <w:rPr>
                    <w:rFonts w:ascii="Gungsuh" w:eastAsia="Gungsuh" w:hAnsi="Gungsuh" w:cs="Gungsuh"/>
                    <w:color w:val="212121"/>
                    <w:sz w:val="16"/>
                    <w:szCs w:val="16"/>
                  </w:rPr>
                  <w:t>OSA and insomnia diagnosed by ICSD-2/ICSD-3. Insomnia: difficulties initiating/maintaining sleep + daytime consequences (≥3 months, ≥3 times/week). COMISA: both conditions.</w:t>
                </w:r>
              </w:sdtContent>
            </w:sdt>
            <w:r>
              <w:rPr>
                <w:rFonts w:ascii="Times New Roman" w:eastAsia="Times New Roman" w:hAnsi="Times New Roman" w:cs="Times New Roman"/>
                <w:color w:val="212121"/>
                <w:sz w:val="16"/>
                <w:szCs w:val="16"/>
                <w:highlight w:val="white"/>
              </w:rPr>
              <w:t>.</w:t>
            </w:r>
          </w:p>
        </w:tc>
        <w:tc>
          <w:tcPr>
            <w:tcW w:w="1320" w:type="dxa"/>
            <w:tcBorders>
              <w:top w:val="nil"/>
              <w:left w:val="nil"/>
              <w:bottom w:val="single" w:sz="4" w:space="0" w:color="000000"/>
              <w:right w:val="nil"/>
            </w:tcBorders>
            <w:shd w:val="clear" w:color="auto" w:fill="FFFFFF"/>
            <w:vAlign w:val="center"/>
          </w:tcPr>
          <w:p w14:paraId="53C9DB75"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b/>
                <w:bCs/>
                <w:color w:val="EE0000"/>
                <w:sz w:val="16"/>
                <w:szCs w:val="16"/>
                <w:highlight w:val="white"/>
              </w:rPr>
              <w:t>24.5%.</w:t>
            </w:r>
            <w:r>
              <w:rPr>
                <w:rFonts w:ascii="Times New Roman" w:eastAsia="Times New Roman" w:hAnsi="Times New Roman" w:cs="Times New Roman"/>
                <w:color w:val="EE0000"/>
                <w:sz w:val="16"/>
                <w:szCs w:val="16"/>
                <w:highlight w:val="white"/>
              </w:rPr>
              <w:t xml:space="preserve"> </w:t>
            </w:r>
          </w:p>
        </w:tc>
        <w:tc>
          <w:tcPr>
            <w:tcW w:w="2520" w:type="dxa"/>
            <w:tcBorders>
              <w:top w:val="nil"/>
              <w:left w:val="nil"/>
              <w:bottom w:val="single" w:sz="4" w:space="0" w:color="000000"/>
              <w:right w:val="nil"/>
            </w:tcBorders>
            <w:shd w:val="clear" w:color="auto" w:fill="FFFFFF"/>
            <w:vAlign w:val="center"/>
          </w:tcPr>
          <w:p w14:paraId="01F4FF49"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rPr>
              <w:t>COMISA shows prolonged awakenings. Wake after sleep onset and long awakenings significantly higher in COMISA/Insomnia vs OSA.Total sleep time and sleep efficiency higher in OSA vs COMISA/Insomnia.COMISA results in greater sleep disruption.</w:t>
            </w:r>
          </w:p>
        </w:tc>
        <w:tc>
          <w:tcPr>
            <w:tcW w:w="1065" w:type="dxa"/>
            <w:tcBorders>
              <w:top w:val="nil"/>
              <w:left w:val="nil"/>
              <w:bottom w:val="single" w:sz="4" w:space="0" w:color="000000"/>
              <w:right w:val="nil"/>
            </w:tcBorders>
            <w:shd w:val="clear" w:color="auto" w:fill="FFFFFF"/>
            <w:vAlign w:val="center"/>
          </w:tcPr>
          <w:p w14:paraId="2EF23696" w14:textId="77777777" w:rsidR="00580A13" w:rsidRDefault="00580A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16"/>
                <w:szCs w:val="16"/>
                <w:highlight w:val="white"/>
              </w:rPr>
            </w:pPr>
          </w:p>
          <w:p w14:paraId="1D24F2A3" w14:textId="77777777" w:rsidR="00580A13" w:rsidRDefault="0000000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 xml:space="preserve">Low </w:t>
            </w:r>
          </w:p>
        </w:tc>
      </w:tr>
    </w:tbl>
    <w:p w14:paraId="31B6B279" w14:textId="77777777" w:rsidR="00580A13"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EE0000"/>
          <w:sz w:val="16"/>
          <w:szCs w:val="16"/>
        </w:rPr>
      </w:pPr>
      <w:r>
        <w:rPr>
          <w:rFonts w:ascii="Times New Roman" w:eastAsia="Times New Roman" w:hAnsi="Times New Roman" w:cs="Times New Roman"/>
          <w:color w:val="EE0000"/>
          <w:sz w:val="16"/>
          <w:szCs w:val="16"/>
        </w:rPr>
        <w:t>Legend: AHI (Apnea-Hypopnea Index); BIC (Behavioral Insomnia of Childhood); BMI (Body Mass Index); C1 / C2 (Cohort 1 / Cohort 2); CI (Chronic Insomnia); COMISA (Comorbid Insomnia and Sleep Apnea); DIMS-F (Difficulty Initiating/Maintaining Sleep in the presence of daytime Fatigue); EEG (Electroencephalogram); ESS (Epworth Sleepiness Scale); F (Female); GER (Gastroesophageal Reflux); GMV (Gray Matter Volume); ICSD-2 / ICSD-3 (International Classification of Sleep Disorders); IGI / ISI (Insomnia Severity Index); INS (Insomnia); M (Male); NC (Normal Controls); OSA / OSA-I (Obstructive Sleep Apnea / Obstructive Sleep Apnea and Insomnia); OSAS (Obstructive Sleep Apnea Syndrome); PPG (Photoplethysmography); PPI (Psychophysiological Insomnia); PSG (Polysomnography); REI (Respiratory Event Index); RL (Restless Legs); SA (Sleep Apnea); SDB (Sleep-Disordered Breathing); SSM (Sleep State Misperception); TST (Total Sleep Time).</w:t>
      </w:r>
    </w:p>
    <w:sectPr w:rsidR="00580A13">
      <w:pgSz w:w="16838" w:h="11906" w:orient="landscape"/>
      <w:pgMar w:top="1701" w:right="1417" w:bottom="1701"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64B888F-B3C7-43F1-867A-918126C7568A}"/>
    <w:embedBold r:id="rId2" w:fontKey="{E953347C-EBDD-490B-8483-C6960E998E48}"/>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roman"/>
    <w:notTrueType/>
    <w:pitch w:val="default"/>
    <w:embedRegular r:id="rId3" w:fontKey="{14CC73BA-C95B-4D2D-AF19-743D03F1762C}"/>
  </w:font>
  <w:font w:name="Georgia">
    <w:panose1 w:val="02040502050405020303"/>
    <w:charset w:val="00"/>
    <w:family w:val="auto"/>
    <w:pitch w:val="default"/>
    <w:embedItalic r:id="rId4" w:fontKey="{73F5B987-D85E-46AD-865C-791D63018D96}"/>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embedRegular r:id="rId5" w:subsetted="1" w:fontKey="{C2D40F00-366C-4ADE-852B-D6A6C945DED9}"/>
  </w:font>
  <w:font w:name="Calibri Light">
    <w:panose1 w:val="020F0302020204030204"/>
    <w:charset w:val="00"/>
    <w:family w:val="swiss"/>
    <w:pitch w:val="variable"/>
    <w:sig w:usb0="E4002EFF" w:usb1="C200247B" w:usb2="00000009" w:usb3="00000000" w:csb0="000001FF" w:csb1="00000000"/>
    <w:embedRegular r:id="rId6" w:fontKey="{F3BC4FD1-038F-429C-B8E4-6BAADD2BEEF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A13"/>
    <w:rsid w:val="00195ABB"/>
    <w:rsid w:val="00580A13"/>
    <w:rsid w:val="00C17DE6"/>
    <w:rsid w:val="00E316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1FF70"/>
  <w15:docId w15:val="{785B4FFA-32AB-46B3-92E1-D81FFCB46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Pr-formataoHTML">
    <w:name w:val="HTML Preformatted"/>
    <w:basedOn w:val="Normal"/>
    <w:link w:val="Pr-formataoHTMLChar"/>
    <w:uiPriority w:val="99"/>
    <w:semiHidden/>
    <w:unhideWhenUsed/>
    <w:rsid w:val="00792C67"/>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792C67"/>
    <w:rPr>
      <w:rFonts w:ascii="Consolas" w:eastAsia="Calibri" w:hAnsi="Consolas" w:cs="Calibri"/>
      <w:sz w:val="20"/>
      <w:szCs w:val="20"/>
      <w:lang w:eastAsia="pt-BR"/>
    </w:rPr>
  </w:style>
  <w:style w:type="paragraph" w:styleId="Corpodetexto">
    <w:name w:val="Body Text"/>
    <w:basedOn w:val="Normal"/>
    <w:link w:val="CorpodetextoChar"/>
    <w:uiPriority w:val="1"/>
    <w:qFormat/>
    <w:rsid w:val="00734BE4"/>
    <w:pPr>
      <w:widowControl w:val="0"/>
      <w:autoSpaceDE w:val="0"/>
      <w:autoSpaceDN w:val="0"/>
      <w:spacing w:before="1" w:after="0" w:line="240" w:lineRule="auto"/>
    </w:pPr>
    <w:rPr>
      <w:rFonts w:ascii="Times New Roman" w:eastAsia="Times New Roman" w:hAnsi="Times New Roman" w:cs="Times New Roman"/>
      <w:sz w:val="24"/>
      <w:szCs w:val="24"/>
      <w:lang w:val="en-US" w:eastAsia="en-US"/>
    </w:rPr>
  </w:style>
  <w:style w:type="character" w:customStyle="1" w:styleId="CorpodetextoChar">
    <w:name w:val="Corpo de texto Char"/>
    <w:basedOn w:val="Fontepargpadro"/>
    <w:link w:val="Corpodetexto"/>
    <w:uiPriority w:val="1"/>
    <w:rsid w:val="00734BE4"/>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734BE4"/>
    <w:rPr>
      <w:color w:val="0563C1" w:themeColor="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otrikpsiquiatria@gmail.com" TargetMode="External"/><Relationship Id="rId5" Type="http://schemas.openxmlformats.org/officeDocument/2006/relationships/hyperlink" Target="https://link.springer.com/journal/11325"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LZEm+g9RE8suEt6J/YSzCXiSEw==">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4AHIhMXFDdkg3VVBReVlqajQyNTlyUnl0UXhabkJiekh5M3I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1823</Words>
  <Characters>9850</Characters>
  <Application>Microsoft Office Word</Application>
  <DocSecurity>0</DocSecurity>
  <Lines>82</Lines>
  <Paragraphs>23</Paragraphs>
  <ScaleCrop>false</ScaleCrop>
  <Company/>
  <LinksUpToDate>false</LinksUpToDate>
  <CharactersWithSpaces>11650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 B MAGALHÃES REZIO</dc:creator>
  <cp:lastModifiedBy>Janete Capel</cp:lastModifiedBy>
  <cp:revision>3</cp:revision>
  <dcterms:created xsi:type="dcterms:W3CDTF">2026-01-19T15:05:00Z</dcterms:created>
  <dcterms:modified xsi:type="dcterms:W3CDTF">2026-01-19T15:05:00Z</dcterms:modified>
</cp:coreProperties>
</file>