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92791" w14:textId="77777777" w:rsidR="00940F29" w:rsidRDefault="002E421F">
      <w:pPr>
        <w:widowControl/>
        <w:spacing w:line="480" w:lineRule="auto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Online Resource 1</w:t>
      </w:r>
      <w:r>
        <w:rPr>
          <w:rFonts w:ascii="Times New Roman" w:eastAsia="Times New Roman" w:hAnsi="Times New Roman" w:cs="Times New Roman"/>
          <w:sz w:val="24"/>
        </w:rPr>
        <w:t xml:space="preserve"> Participant characteristics of Studies 1 and 2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8"/>
        <w:gridCol w:w="3316"/>
        <w:gridCol w:w="3322"/>
      </w:tblGrid>
      <w:tr w:rsidR="00940F29" w14:paraId="6D77EA2C" w14:textId="77777777">
        <w:tc>
          <w:tcPr>
            <w:tcW w:w="2388" w:type="dxa"/>
            <w:vAlign w:val="bottom"/>
          </w:tcPr>
          <w:p w14:paraId="572FB9F8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Variable</w:t>
            </w:r>
          </w:p>
        </w:tc>
        <w:tc>
          <w:tcPr>
            <w:tcW w:w="3316" w:type="dxa"/>
            <w:vAlign w:val="bottom"/>
          </w:tcPr>
          <w:p w14:paraId="5CFE4632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Study 1 (n = 20)</w:t>
            </w:r>
          </w:p>
        </w:tc>
        <w:tc>
          <w:tcPr>
            <w:tcW w:w="3322" w:type="dxa"/>
            <w:vAlign w:val="bottom"/>
          </w:tcPr>
          <w:p w14:paraId="21D7C39C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Study 2 (n = 25)</w:t>
            </w:r>
          </w:p>
        </w:tc>
      </w:tr>
      <w:tr w:rsidR="00940F29" w14:paraId="5EB30CD0" w14:textId="77777777">
        <w:tc>
          <w:tcPr>
            <w:tcW w:w="2388" w:type="dxa"/>
            <w:vAlign w:val="bottom"/>
          </w:tcPr>
          <w:p w14:paraId="2C5F8429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Age (years)</w:t>
            </w:r>
          </w:p>
        </w:tc>
        <w:tc>
          <w:tcPr>
            <w:tcW w:w="3316" w:type="dxa"/>
            <w:vAlign w:val="bottom"/>
          </w:tcPr>
          <w:p w14:paraId="675DDB34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37.5 ± 1.9 (23–49)</w:t>
            </w:r>
          </w:p>
        </w:tc>
        <w:tc>
          <w:tcPr>
            <w:tcW w:w="3322" w:type="dxa"/>
            <w:vAlign w:val="bottom"/>
          </w:tcPr>
          <w:p w14:paraId="16AF5094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38.2 ± 1.9 (23–52)</w:t>
            </w:r>
          </w:p>
        </w:tc>
      </w:tr>
      <w:tr w:rsidR="00940F29" w14:paraId="0D70CC1C" w14:textId="77777777">
        <w:tc>
          <w:tcPr>
            <w:tcW w:w="2388" w:type="dxa"/>
            <w:vAlign w:val="bottom"/>
          </w:tcPr>
          <w:p w14:paraId="15FF799B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Height (cm)</w:t>
            </w:r>
          </w:p>
        </w:tc>
        <w:tc>
          <w:tcPr>
            <w:tcW w:w="3316" w:type="dxa"/>
            <w:vAlign w:val="bottom"/>
          </w:tcPr>
          <w:p w14:paraId="04E8F452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173.6 ± 1.4 (163.7–189.1)</w:t>
            </w:r>
          </w:p>
        </w:tc>
        <w:tc>
          <w:tcPr>
            <w:tcW w:w="3322" w:type="dxa"/>
            <w:vAlign w:val="bottom"/>
          </w:tcPr>
          <w:p w14:paraId="77F1AC6D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172.8 ± 1.1 (163.1–183.9)</w:t>
            </w:r>
          </w:p>
        </w:tc>
      </w:tr>
      <w:tr w:rsidR="00940F29" w14:paraId="6185724B" w14:textId="77777777">
        <w:tc>
          <w:tcPr>
            <w:tcW w:w="2388" w:type="dxa"/>
            <w:vAlign w:val="bottom"/>
          </w:tcPr>
          <w:p w14:paraId="3B53010C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Weight (kg)</w:t>
            </w:r>
          </w:p>
        </w:tc>
        <w:tc>
          <w:tcPr>
            <w:tcW w:w="3316" w:type="dxa"/>
            <w:vAlign w:val="bottom"/>
          </w:tcPr>
          <w:p w14:paraId="7A5C1002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71.1 ± 1.9 (58.7–88.2)</w:t>
            </w:r>
          </w:p>
        </w:tc>
        <w:tc>
          <w:tcPr>
            <w:tcW w:w="3322" w:type="dxa"/>
            <w:vAlign w:val="bottom"/>
          </w:tcPr>
          <w:p w14:paraId="38DF1716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69.7 ± 1.9 (53.8–90.6)</w:t>
            </w:r>
          </w:p>
        </w:tc>
      </w:tr>
      <w:tr w:rsidR="00940F29" w14:paraId="6C64FA01" w14:textId="77777777">
        <w:tc>
          <w:tcPr>
            <w:tcW w:w="2388" w:type="dxa"/>
            <w:vAlign w:val="bottom"/>
          </w:tcPr>
          <w:p w14:paraId="577E9624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BMI (kg/m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316" w:type="dxa"/>
            <w:vAlign w:val="bottom"/>
          </w:tcPr>
          <w:p w14:paraId="2E52B653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23.6 ± 0.6 (17.6–29.8)</w:t>
            </w:r>
          </w:p>
        </w:tc>
        <w:tc>
          <w:tcPr>
            <w:tcW w:w="3322" w:type="dxa"/>
            <w:vAlign w:val="bottom"/>
          </w:tcPr>
          <w:p w14:paraId="3629606D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23.2 ± 0.4 (19.5–26.8)</w:t>
            </w:r>
          </w:p>
        </w:tc>
      </w:tr>
      <w:tr w:rsidR="00940F29" w14:paraId="065E3D7A" w14:textId="77777777">
        <w:tc>
          <w:tcPr>
            <w:tcW w:w="2388" w:type="dxa"/>
            <w:vAlign w:val="bottom"/>
          </w:tcPr>
          <w:p w14:paraId="78D7F258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VO</w:t>
            </w:r>
            <w:r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2max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(mL/min/kg)</w:t>
            </w:r>
          </w:p>
        </w:tc>
        <w:tc>
          <w:tcPr>
            <w:tcW w:w="3316" w:type="dxa"/>
            <w:vAlign w:val="bottom"/>
          </w:tcPr>
          <w:p w14:paraId="0F790F16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 ± 1.0 (22.0–37.0)</w:t>
            </w:r>
          </w:p>
        </w:tc>
        <w:tc>
          <w:tcPr>
            <w:tcW w:w="3322" w:type="dxa"/>
            <w:vAlign w:val="bottom"/>
          </w:tcPr>
          <w:p w14:paraId="32446EDF" w14:textId="77777777" w:rsidR="00940F29" w:rsidRDefault="002E421F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29.2 ± 0.4 (24.8–32.9)</w:t>
            </w:r>
          </w:p>
        </w:tc>
      </w:tr>
    </w:tbl>
    <w:p w14:paraId="68692A57" w14:textId="77777777" w:rsidR="00940F29" w:rsidRDefault="002E421F">
      <w:pPr>
        <w:spacing w:line="480" w:lineRule="auto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Values are presented as the mean ± SE (range). </w:t>
      </w:r>
    </w:p>
    <w:p w14:paraId="258A2E37" w14:textId="77777777" w:rsidR="00940F29" w:rsidRDefault="00940F29">
      <w:pPr>
        <w:spacing w:line="480" w:lineRule="auto"/>
        <w:jc w:val="left"/>
      </w:pPr>
    </w:p>
    <w:sectPr w:rsidR="00940F29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7D263" w14:textId="77777777" w:rsidR="00D11A10" w:rsidRDefault="00D11A10" w:rsidP="0034161F">
      <w:r>
        <w:separator/>
      </w:r>
    </w:p>
  </w:endnote>
  <w:endnote w:type="continuationSeparator" w:id="0">
    <w:p w14:paraId="67C8B27F" w14:textId="77777777" w:rsidR="00D11A10" w:rsidRDefault="00D11A10" w:rsidP="0034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C668C" w14:textId="77777777" w:rsidR="00D11A10" w:rsidRDefault="00D11A10" w:rsidP="0034161F">
      <w:r>
        <w:separator/>
      </w:r>
    </w:p>
  </w:footnote>
  <w:footnote w:type="continuationSeparator" w:id="0">
    <w:p w14:paraId="2FCF8066" w14:textId="77777777" w:rsidR="00D11A10" w:rsidRDefault="00D11A10" w:rsidP="00341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F29"/>
    <w:rsid w:val="002E421F"/>
    <w:rsid w:val="002E7A03"/>
    <w:rsid w:val="0034161F"/>
    <w:rsid w:val="00940F29"/>
    <w:rsid w:val="00D1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D03FDB"/>
  <w15:docId w15:val="{95CF2BB8-BF9D-4CD5-B27A-49D0C422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annotation reference"/>
    <w:basedOn w:val="a0"/>
    <w:rPr>
      <w:sz w:val="18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customStyle="1" w:styleId="Articletitle">
    <w:name w:val="Article title"/>
    <w:basedOn w:val="a"/>
    <w:qFormat/>
    <w:pPr>
      <w:widowControl/>
      <w:spacing w:after="120" w:line="360" w:lineRule="auto"/>
      <w:jc w:val="left"/>
    </w:pPr>
    <w:rPr>
      <w:rFonts w:ascii="Times New Roman" w:eastAsia="Times New Roman" w:hAnsi="Times New Roman" w:cs="Times New Roman"/>
      <w:b/>
      <w:sz w:val="28"/>
    </w:rPr>
  </w:style>
  <w:style w:type="paragraph" w:customStyle="1" w:styleId="Authornames">
    <w:name w:val="Author names"/>
    <w:basedOn w:val="a"/>
    <w:pPr>
      <w:widowControl/>
      <w:spacing w:before="240" w:line="360" w:lineRule="auto"/>
      <w:jc w:val="left"/>
    </w:pPr>
    <w:rPr>
      <w:rFonts w:ascii="Times New Roman" w:eastAsia="Times New Roman" w:hAnsi="Times New Roman" w:cs="Times New Roman"/>
      <w:sz w:val="28"/>
    </w:rPr>
  </w:style>
  <w:style w:type="paragraph" w:customStyle="1" w:styleId="Affiliation">
    <w:name w:val="Affiliation"/>
    <w:basedOn w:val="a"/>
    <w:pPr>
      <w:widowControl/>
      <w:spacing w:before="240" w:line="360" w:lineRule="auto"/>
      <w:jc w:val="left"/>
    </w:pPr>
    <w:rPr>
      <w:rFonts w:ascii="Times New Roman" w:eastAsia="Times New Roman" w:hAnsi="Times New Roman" w:cs="Times New Roman"/>
      <w:i/>
      <w:sz w:val="24"/>
    </w:rPr>
  </w:style>
  <w:style w:type="paragraph" w:customStyle="1" w:styleId="Abstract">
    <w:name w:val="Abstract"/>
    <w:basedOn w:val="a"/>
    <w:pPr>
      <w:widowControl/>
      <w:spacing w:before="360" w:after="300" w:line="360" w:lineRule="auto"/>
      <w:ind w:left="720" w:right="567"/>
      <w:jc w:val="left"/>
    </w:pPr>
    <w:rPr>
      <w:rFonts w:ascii="Times New Roman" w:eastAsia="Times New Roman" w:hAnsi="Times New Roman" w:cs="Times New Roman"/>
      <w:sz w:val="22"/>
    </w:rPr>
  </w:style>
  <w:style w:type="paragraph" w:customStyle="1" w:styleId="Correspondencedetails">
    <w:name w:val="Correspondence details"/>
    <w:basedOn w:val="a"/>
    <w:pPr>
      <w:widowControl/>
      <w:spacing w:before="240" w:line="360" w:lineRule="auto"/>
      <w:jc w:val="left"/>
    </w:pPr>
    <w:rPr>
      <w:rFonts w:ascii="Times New Roman" w:eastAsia="Times New Roman" w:hAnsi="Times New Roman" w:cs="Times New Roman"/>
      <w:sz w:val="24"/>
    </w:r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annotation text"/>
    <w:basedOn w:val="a"/>
    <w:pPr>
      <w:jc w:val="left"/>
    </w:pPr>
    <w:rPr>
      <w:rFonts w:ascii="Calibri" w:eastAsia="Calibri" w:hAnsi="Calibri" w:cs="Calibri"/>
      <w:sz w:val="20"/>
    </w:rPr>
  </w:style>
  <w:style w:type="paragraph" w:styleId="ab">
    <w:name w:val="Balloon Text"/>
    <w:basedOn w:val="a"/>
    <w:rPr>
      <w:rFonts w:ascii="Calibri Light" w:eastAsia="Calibri Light" w:hAnsi="Calibri Light" w:cs="Calibri Light"/>
      <w:sz w:val="18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styleId="ac">
    <w:name w:val="Normal Indent"/>
    <w:basedOn w:val="a"/>
    <w:qFormat/>
    <w:pPr>
      <w:ind w:firstLine="480"/>
    </w:pPr>
    <w:rPr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character" w:customStyle="1" w:styleId="Heading">
    <w:name w:val="Heading:"/>
    <w:basedOn w:val="a0"/>
    <w:rPr>
      <w:color w:val="5B89C1"/>
    </w:rPr>
  </w:style>
  <w:style w:type="paragraph" w:styleId="ad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ae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styleId="af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af0">
    <w:name w:val="endnote text"/>
    <w:basedOn w:val="a"/>
    <w:rPr>
      <w:rFonts w:ascii="Calibri" w:eastAsia="Calibri" w:hAnsi="Calibri" w:cs="Calibri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character" w:customStyle="1" w:styleId="Publisher">
    <w:name w:val="Publisher"/>
    <w:basedOn w:val="a0"/>
    <w:rPr>
      <w:shd w:val="clear" w:color="auto" w:fill="F2DDFF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character" w:customStyle="1" w:styleId="City">
    <w:name w:val="City"/>
    <w:basedOn w:val="a0"/>
    <w:rPr>
      <w:shd w:val="clear" w:color="auto" w:fill="D7D7D7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character" w:customStyle="1" w:styleId="GivenName">
    <w:name w:val="Given Name"/>
    <w:basedOn w:val="a0"/>
    <w:rPr>
      <w:shd w:val="clear" w:color="auto" w:fill="D0FCE2"/>
    </w:rPr>
  </w:style>
  <w:style w:type="paragraph" w:styleId="af1">
    <w:name w:val="foot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character" w:customStyle="1" w:styleId="Edition">
    <w:name w:val="Edition"/>
    <w:basedOn w:val="a0"/>
    <w:rPr>
      <w:shd w:val="clear" w:color="auto" w:fill="FFF6A4"/>
    </w:rPr>
  </w:style>
  <w:style w:type="character" w:customStyle="1" w:styleId="GrantID">
    <w:name w:val="Grant ID"/>
    <w:basedOn w:val="a0"/>
    <w:rPr>
      <w:shd w:val="clear" w:color="auto" w:fill="DDA5FF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styleId="af2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Katoh, Aina(加藤　愛那)</cp:lastModifiedBy>
  <cp:revision>4</cp:revision>
  <dcterms:created xsi:type="dcterms:W3CDTF">2024-09-17T15:07:00Z</dcterms:created>
  <dcterms:modified xsi:type="dcterms:W3CDTF">2024-09-19T00:55:00Z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150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1</vt:lpwstr>
  </property>
  <property fmtid="{D5CDD505-2E9C-101B-9397-08002B2CF9AE}" pid="20" name="Merops figures count">
    <vt:lpwstr>0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1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merops/preset-v1/springer-basic-brackets</vt:lpwstr>
  </property>
  <property fmtid="{D5CDD505-2E9C-101B-9397-08002B2CF9AE}" pid="26" name="Merops Standard Set modified">
    <vt:lpwstr/>
  </property>
  <property fmtid="{D5CDD505-2E9C-101B-9397-08002B2CF9AE}" pid="27" name="Merops client version">
    <vt:lpwstr/>
  </property>
  <property fmtid="{D5CDD505-2E9C-101B-9397-08002B2CF9AE}" pid="28" name="Merops input file path">
    <vt:lpwstr>crm_e61404aa-da14-40d2-a5d8-ff718148451a.docx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/>
  </property>
  <property fmtid="{D5CDD505-2E9C-101B-9397-08002B2CF9AE}" pid="31" name="Merops item path">
    <vt:lpwstr>MG-Session/On-20240916/I:5748f392-fe9e-4076-b170-48642a40d8ac</vt:lpwstr>
  </property>
  <property fmtid="{D5CDD505-2E9C-101B-9397-08002B2CF9AE}" pid="32" name="Merops processed date">
    <vt:lpwstr>2024/09/16 05:12:31 AM</vt:lpwstr>
  </property>
  <property fmtid="{D5CDD505-2E9C-101B-9397-08002B2CF9AE}" pid="33" name="Merops WorldCat links count">
    <vt:lpwstr>0</vt:lpwstr>
  </property>
  <property fmtid="{D5CDD505-2E9C-101B-9397-08002B2CF9AE}" pid="34" name="Merops Scopus links count">
    <vt:lpwstr>0</vt:lpwstr>
  </property>
  <property fmtid="{D5CDD505-2E9C-101B-9397-08002B2CF9AE}" pid="35" name="Merops comment count">
    <vt:lpwstr>0</vt:lpwstr>
  </property>
  <property fmtid="{D5CDD505-2E9C-101B-9397-08002B2CF9AE}" pid="36" name="Merops change count">
    <vt:lpwstr>0</vt:lpwstr>
  </property>
</Properties>
</file>