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BF8" w:rsidRPr="00B546ED" w:rsidRDefault="00372BF8" w:rsidP="00372BF8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B546ED">
        <w:rPr>
          <w:rFonts w:ascii="Times New Roman" w:hAnsi="Times New Roman" w:cs="Times New Roman"/>
          <w:b/>
          <w:bCs/>
          <w:color w:val="000000" w:themeColor="text1"/>
        </w:rPr>
        <w:t xml:space="preserve">Supplementary Table 1. Results of the Comparisons </w:t>
      </w:r>
      <w:proofErr w:type="gramStart"/>
      <w:r w:rsidRPr="00B546ED">
        <w:rPr>
          <w:rFonts w:ascii="Times New Roman" w:hAnsi="Times New Roman" w:cs="Times New Roman"/>
          <w:b/>
          <w:bCs/>
          <w:color w:val="000000" w:themeColor="text1"/>
        </w:rPr>
        <w:t>Between</w:t>
      </w:r>
      <w:proofErr w:type="gramEnd"/>
      <w:r w:rsidRPr="00B546ED">
        <w:rPr>
          <w:rFonts w:ascii="Times New Roman" w:hAnsi="Times New Roman" w:cs="Times New Roman"/>
          <w:b/>
          <w:bCs/>
          <w:color w:val="000000" w:themeColor="text1"/>
        </w:rPr>
        <w:t xml:space="preserve"> Completers and Non-Completers</w:t>
      </w:r>
    </w:p>
    <w:tbl>
      <w:tblPr>
        <w:tblStyle w:val="Grigliatabella1"/>
        <w:tblW w:w="0" w:type="auto"/>
        <w:tblBorders>
          <w:top w:val="single" w:sz="4" w:space="0" w:color="000000"/>
          <w:left w:val="none" w:sz="0" w:space="0" w:color="auto"/>
          <w:bottom w:val="single" w:sz="4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7"/>
        <w:gridCol w:w="2482"/>
        <w:gridCol w:w="2236"/>
        <w:gridCol w:w="781"/>
      </w:tblGrid>
      <w:tr w:rsidR="00372BF8" w:rsidRPr="00B546ED" w:rsidTr="00EA27DA">
        <w:tc>
          <w:tcPr>
            <w:tcW w:w="0" w:type="auto"/>
            <w:tcBorders>
              <w:bottom w:val="single" w:sz="4" w:space="0" w:color="000000"/>
            </w:tcBorders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/>
                <w:i/>
                <w:color w:val="000000" w:themeColor="text1"/>
              </w:rPr>
            </w:pPr>
          </w:p>
        </w:tc>
        <w:tc>
          <w:tcPr>
            <w:tcW w:w="2070" w:type="dxa"/>
            <w:tcBorders>
              <w:bottom w:val="single" w:sz="4" w:space="0" w:color="000000"/>
            </w:tcBorders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/>
                <w:color w:val="000000" w:themeColor="text1"/>
              </w:rPr>
              <w:t>Completers</w:t>
            </w:r>
          </w:p>
        </w:tc>
        <w:tc>
          <w:tcPr>
            <w:tcW w:w="2236" w:type="dxa"/>
            <w:tcBorders>
              <w:bottom w:val="single" w:sz="4" w:space="0" w:color="000000"/>
            </w:tcBorders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/>
                <w:color w:val="000000" w:themeColor="text1"/>
              </w:rPr>
              <w:t>Non-completers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/>
                <w:i/>
                <w:color w:val="000000" w:themeColor="text1"/>
              </w:rPr>
              <w:t>p</w:t>
            </w:r>
          </w:p>
        </w:tc>
      </w:tr>
      <w:tr w:rsidR="00372BF8" w:rsidRPr="00B546ED" w:rsidTr="00EA27DA">
        <w:tc>
          <w:tcPr>
            <w:tcW w:w="0" w:type="auto"/>
            <w:tcBorders>
              <w:top w:val="single" w:sz="4" w:space="0" w:color="000000"/>
            </w:tcBorders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/>
                <w:i/>
                <w:color w:val="000000" w:themeColor="text1"/>
              </w:rPr>
              <w:t>N</w:t>
            </w:r>
          </w:p>
        </w:tc>
        <w:tc>
          <w:tcPr>
            <w:tcW w:w="0" w:type="auto"/>
            <w:tcBorders>
              <w:top w:val="single" w:sz="4" w:space="0" w:color="000000"/>
            </w:tcBorders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color w:val="000000" w:themeColor="text1"/>
              </w:rPr>
              <w:t>54</w:t>
            </w:r>
          </w:p>
        </w:tc>
        <w:tc>
          <w:tcPr>
            <w:tcW w:w="2236" w:type="dxa"/>
            <w:tcBorders>
              <w:top w:val="single" w:sz="4" w:space="0" w:color="000000"/>
              <w:bottom w:val="nil"/>
            </w:tcBorders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color w:val="000000" w:themeColor="text1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bottom w:val="nil"/>
            </w:tcBorders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color w:val="000000" w:themeColor="text1"/>
              </w:rPr>
              <w:t xml:space="preserve">- </w:t>
            </w:r>
          </w:p>
        </w:tc>
      </w:tr>
      <w:tr w:rsidR="00372BF8" w:rsidRPr="00B546ED" w:rsidTr="00EA27DA"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/>
                <w:color w:val="000000" w:themeColor="text1"/>
              </w:rPr>
              <w:t>Age (years)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 xml:space="preserve">22.43 ± 2.57 </w:t>
            </w:r>
            <w:r w:rsidRPr="00B546ED">
              <w:rPr>
                <w:rFonts w:ascii="Times New Roman" w:eastAsia="Calibri" w:hAnsi="Times New Roman" w:cs="Times New Roman"/>
                <w:iCs/>
                <w:color w:val="000000" w:themeColor="text1"/>
              </w:rPr>
              <w:t>(18-30)</w:t>
            </w:r>
          </w:p>
        </w:tc>
        <w:tc>
          <w:tcPr>
            <w:tcW w:w="2236" w:type="dxa"/>
            <w:tcBorders>
              <w:top w:val="nil"/>
            </w:tcBorders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22.83 ± 2.25 (19-26)</w:t>
            </w:r>
          </w:p>
        </w:tc>
        <w:tc>
          <w:tcPr>
            <w:tcW w:w="567" w:type="dxa"/>
            <w:tcBorders>
              <w:top w:val="nil"/>
            </w:tcBorders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0.614</w:t>
            </w:r>
            <w:r w:rsidRPr="00B546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</w:tc>
      </w:tr>
      <w:tr w:rsidR="00372BF8" w:rsidRPr="00B546ED" w:rsidTr="00EA27DA"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/>
                <w:color w:val="000000" w:themeColor="text1"/>
              </w:rPr>
              <w:t>Sex (male/female)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color w:val="000000" w:themeColor="text1"/>
              </w:rPr>
              <w:t>40/14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color w:val="000000" w:themeColor="text1"/>
              </w:rPr>
              <w:t>7/5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</w:pPr>
            <w:r w:rsidRPr="00B546ED">
              <w:rPr>
                <w:rFonts w:ascii="Times New Roman" w:eastAsia="Calibri" w:hAnsi="Times New Roman" w:cs="Times New Roman"/>
                <w:color w:val="000000" w:themeColor="text1"/>
              </w:rPr>
              <w:t>0.276</w:t>
            </w:r>
            <w:r w:rsidRPr="00B546ED">
              <w:rPr>
                <w:rFonts w:ascii="Times New Roman" w:eastAsia="Calibri" w:hAnsi="Times New Roman" w:cs="Times New Roman"/>
                <w:color w:val="000000" w:themeColor="text1"/>
                <w:vertAlign w:val="superscript"/>
              </w:rPr>
              <w:t>b</w:t>
            </w:r>
          </w:p>
        </w:tc>
      </w:tr>
      <w:tr w:rsidR="00372BF8" w:rsidRPr="00B546ED" w:rsidTr="00EA27DA"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/>
                <w:color w:val="000000" w:themeColor="text1"/>
              </w:rPr>
              <w:t>Marital status (unmarried/other)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color w:val="000000" w:themeColor="text1"/>
              </w:rPr>
              <w:t>54/0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color w:val="000000" w:themeColor="text1"/>
              </w:rPr>
              <w:t>12/0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color w:val="000000" w:themeColor="text1"/>
              </w:rPr>
              <w:t>-</w:t>
            </w:r>
          </w:p>
        </w:tc>
      </w:tr>
      <w:tr w:rsidR="00372BF8" w:rsidRPr="00B546ED" w:rsidTr="00EA27DA"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/>
                <w:color w:val="000000" w:themeColor="text1"/>
              </w:rPr>
              <w:t>Education (years)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15.44 ± 2.79</w:t>
            </w:r>
            <w:r w:rsidRPr="00B546ED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</w:t>
            </w:r>
            <w:r w:rsidRPr="00B546ED">
              <w:rPr>
                <w:rFonts w:ascii="Times New Roman" w:eastAsia="Calibri" w:hAnsi="Times New Roman" w:cs="Times New Roman"/>
                <w:iCs/>
                <w:color w:val="000000" w:themeColor="text1"/>
              </w:rPr>
              <w:t>(3-20)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15.67 ± 1.67 (13-18)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1.000</w:t>
            </w:r>
            <w:r w:rsidRPr="00B546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c</w:t>
            </w:r>
          </w:p>
        </w:tc>
      </w:tr>
      <w:tr w:rsidR="00372BF8" w:rsidRPr="00B546ED" w:rsidTr="00EA27DA"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/>
                <w:color w:val="000000" w:themeColor="text1"/>
              </w:rPr>
              <w:t>Educational attainment (</w:t>
            </w:r>
            <w:r w:rsidRPr="00B546ED"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</w:rPr>
              <w:t>N</w:t>
            </w:r>
            <w:r w:rsidRPr="00B546ED">
              <w:rPr>
                <w:rFonts w:ascii="Times New Roman" w:eastAsia="Calibri" w:hAnsi="Times New Roman" w:cs="Times New Roman"/>
                <w:b/>
                <w:color w:val="000000" w:themeColor="text1"/>
              </w:rPr>
              <w:t>)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0.807</w:t>
            </w:r>
            <w:r w:rsidRPr="00B546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b</w:t>
            </w:r>
          </w:p>
        </w:tc>
      </w:tr>
      <w:tr w:rsidR="00372BF8" w:rsidRPr="00B546ED" w:rsidTr="00EA27DA">
        <w:trPr>
          <w:trHeight w:val="174"/>
        </w:trPr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   Middle school diploma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372BF8" w:rsidRPr="00B546ED" w:rsidTr="00EA27DA">
        <w:trPr>
          <w:trHeight w:val="248"/>
        </w:trPr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   High school diploma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372BF8" w:rsidRPr="00B546ED" w:rsidTr="00EA27DA">
        <w:trPr>
          <w:trHeight w:val="138"/>
        </w:trPr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   University degree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372BF8" w:rsidRPr="00B546ED" w:rsidTr="00EA27DA"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   Other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372BF8" w:rsidRPr="00B546ED" w:rsidTr="00EA27DA"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/>
                <w:color w:val="000000" w:themeColor="text1"/>
              </w:rPr>
              <w:t>Current occupation (student/other)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37/17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10/2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0.305</w:t>
            </w:r>
            <w:r w:rsidRPr="00B546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b</w:t>
            </w:r>
          </w:p>
        </w:tc>
      </w:tr>
      <w:tr w:rsidR="00372BF8" w:rsidRPr="00B546ED" w:rsidTr="00EA27DA"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/>
                <w:color w:val="000000" w:themeColor="text1"/>
              </w:rPr>
              <w:t>Sport practiced (</w:t>
            </w:r>
            <w:r w:rsidRPr="00B546ED">
              <w:rPr>
                <w:rFonts w:ascii="Times New Roman" w:eastAsia="Calibri" w:hAnsi="Times New Roman" w:cs="Times New Roman"/>
                <w:b/>
                <w:i/>
                <w:iCs/>
                <w:color w:val="000000" w:themeColor="text1"/>
              </w:rPr>
              <w:t>N</w:t>
            </w:r>
            <w:r w:rsidRPr="00B546ED">
              <w:rPr>
                <w:rFonts w:ascii="Times New Roman" w:eastAsia="Calibri" w:hAnsi="Times New Roman" w:cs="Times New Roman"/>
                <w:b/>
                <w:color w:val="000000" w:themeColor="text1"/>
              </w:rPr>
              <w:t>)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0.372</w:t>
            </w:r>
            <w:r w:rsidRPr="00B546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b</w:t>
            </w:r>
          </w:p>
        </w:tc>
      </w:tr>
      <w:tr w:rsidR="00372BF8" w:rsidRPr="00B546ED" w:rsidTr="00EA27DA"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   Beach volley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372BF8" w:rsidRPr="00B546ED" w:rsidTr="00EA27DA"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/>
                <w:color w:val="000000" w:themeColor="text1"/>
              </w:rPr>
              <w:t xml:space="preserve">    </w:t>
            </w:r>
            <w:r w:rsidRPr="00B546ED">
              <w:rPr>
                <w:rFonts w:ascii="Times New Roman" w:eastAsia="Calibri" w:hAnsi="Times New Roman" w:cs="Times New Roman"/>
                <w:bCs/>
                <w:color w:val="000000" w:themeColor="text1"/>
              </w:rPr>
              <w:t>Soccer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372BF8" w:rsidRPr="00B546ED" w:rsidTr="00EA27DA">
        <w:trPr>
          <w:trHeight w:val="230"/>
        </w:trPr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   Canoe/kayak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372BF8" w:rsidRPr="00B546ED" w:rsidTr="00EA27DA">
        <w:trPr>
          <w:trHeight w:val="148"/>
        </w:trPr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   Cycling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372BF8" w:rsidRPr="00B546ED" w:rsidTr="00EA27DA">
        <w:trPr>
          <w:trHeight w:val="222"/>
        </w:trPr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   Swimming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372BF8" w:rsidRPr="00B546ED" w:rsidTr="00EA27DA">
        <w:trPr>
          <w:trHeight w:val="222"/>
        </w:trPr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   Volleyball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372BF8" w:rsidRPr="00B546ED" w:rsidTr="00EA27DA">
        <w:trPr>
          <w:trHeight w:val="141"/>
        </w:trPr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   Rugby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372BF8" w:rsidRPr="00B546ED" w:rsidTr="00EA27DA"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   Track and field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372BF8" w:rsidRPr="00B546ED" w:rsidTr="00EA27DA"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   Basketball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372BF8" w:rsidRPr="00B546ED" w:rsidTr="00EA27DA">
        <w:trPr>
          <w:trHeight w:val="234"/>
        </w:trPr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   Artistic gymnastics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372BF8" w:rsidRPr="00B546ED" w:rsidTr="00EA27DA">
        <w:trPr>
          <w:trHeight w:val="246"/>
        </w:trPr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   Freestyle skating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372BF8" w:rsidRPr="00B546ED" w:rsidTr="00EA27DA">
        <w:trPr>
          <w:trHeight w:val="184"/>
        </w:trPr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   Powerlifting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372BF8" w:rsidRPr="00B546ED" w:rsidTr="00EA27DA">
        <w:trPr>
          <w:trHeight w:val="116"/>
        </w:trPr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   Historical fencing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372BF8" w:rsidRPr="00B546ED" w:rsidTr="00EA27DA"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   Tennis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372BF8" w:rsidRPr="00B546ED" w:rsidTr="00EA27DA"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   Triathlon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372BF8" w:rsidRPr="00B546ED" w:rsidTr="00EA27DA"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   </w:t>
            </w:r>
            <w:proofErr w:type="spellStart"/>
            <w:r w:rsidRPr="00B546ED">
              <w:rPr>
                <w:rFonts w:ascii="Times New Roman" w:eastAsia="Calibri" w:hAnsi="Times New Roman" w:cs="Times New Roman"/>
                <w:bCs/>
                <w:color w:val="000000" w:themeColor="text1"/>
              </w:rPr>
              <w:t>Padel</w:t>
            </w:r>
            <w:proofErr w:type="spellEnd"/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372BF8" w:rsidRPr="00B546ED" w:rsidTr="00EA27DA"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Cs/>
                <w:color w:val="000000" w:themeColor="text1"/>
              </w:rPr>
              <w:t xml:space="preserve">    Chess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</w:tr>
      <w:tr w:rsidR="00372BF8" w:rsidRPr="00B546ED" w:rsidTr="00EA27DA"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/>
                <w:color w:val="000000" w:themeColor="text1"/>
              </w:rPr>
              <w:t>Type of sport (open-skill/closed-skill)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35/19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5/6*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0.229</w:t>
            </w:r>
            <w:r w:rsidRPr="00B546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b</w:t>
            </w:r>
          </w:p>
        </w:tc>
      </w:tr>
      <w:tr w:rsidR="00372BF8" w:rsidRPr="00B546ED" w:rsidTr="00EA27DA"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/>
                <w:color w:val="000000" w:themeColor="text1"/>
              </w:rPr>
              <w:t>Sport practice (years)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13.37 ± 4.70</w:t>
            </w:r>
            <w:r w:rsidRPr="00B546ED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</w:t>
            </w:r>
            <w:r w:rsidRPr="00B546ED">
              <w:rPr>
                <w:rFonts w:ascii="Times New Roman" w:eastAsia="Calibri" w:hAnsi="Times New Roman" w:cs="Times New Roman"/>
                <w:iCs/>
                <w:color w:val="000000" w:themeColor="text1"/>
              </w:rPr>
              <w:t>(2-22)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12.14 ± 6.11</w:t>
            </w:r>
            <w:r w:rsidRPr="00B546ED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</w:t>
            </w:r>
            <w:r w:rsidRPr="00B546ED">
              <w:rPr>
                <w:rFonts w:ascii="Times New Roman" w:eastAsia="Calibri" w:hAnsi="Times New Roman" w:cs="Times New Roman"/>
                <w:iCs/>
                <w:color w:val="000000" w:themeColor="text1"/>
              </w:rPr>
              <w:t>(1.67-19)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0.440</w:t>
            </w:r>
            <w:r w:rsidRPr="00B546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</w:tc>
      </w:tr>
      <w:tr w:rsidR="00372BF8" w:rsidRPr="00B546ED" w:rsidTr="00EA27DA"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/>
                <w:color w:val="000000" w:themeColor="text1"/>
              </w:rPr>
              <w:t>Competitive sport (years)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10.63 ± 4.39</w:t>
            </w:r>
            <w:r w:rsidRPr="00B546ED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</w:t>
            </w:r>
            <w:r w:rsidRPr="00B546ED">
              <w:rPr>
                <w:rFonts w:ascii="Times New Roman" w:eastAsia="Calibri" w:hAnsi="Times New Roman" w:cs="Times New Roman"/>
                <w:iCs/>
                <w:color w:val="000000" w:themeColor="text1"/>
              </w:rPr>
              <w:t>(2-20)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9.20 ± 5.53</w:t>
            </w:r>
            <w:r w:rsidRPr="00B546ED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</w:t>
            </w:r>
            <w:r w:rsidRPr="00B546ED">
              <w:rPr>
                <w:rFonts w:ascii="Times New Roman" w:eastAsia="Calibri" w:hAnsi="Times New Roman" w:cs="Times New Roman"/>
                <w:iCs/>
                <w:color w:val="000000" w:themeColor="text1"/>
              </w:rPr>
              <w:t>(0.42-16)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0.335</w:t>
            </w:r>
            <w:r w:rsidRPr="00B546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</w:tc>
      </w:tr>
      <w:tr w:rsidR="00372BF8" w:rsidRPr="00B546ED" w:rsidTr="00EA27DA">
        <w:trPr>
          <w:trHeight w:val="230"/>
        </w:trPr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/>
                <w:color w:val="000000" w:themeColor="text1"/>
              </w:rPr>
              <w:lastRenderedPageBreak/>
              <w:t>Training sessions per week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4.57 ± 2.61</w:t>
            </w:r>
            <w:r w:rsidRPr="00B546ED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</w:t>
            </w:r>
            <w:r w:rsidRPr="00B546ED">
              <w:rPr>
                <w:rFonts w:ascii="Times New Roman" w:eastAsia="Calibri" w:hAnsi="Times New Roman" w:cs="Times New Roman"/>
                <w:iCs/>
                <w:color w:val="000000" w:themeColor="text1"/>
              </w:rPr>
              <w:t>(2-12)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5.33 ± 2.53</w:t>
            </w:r>
            <w:r w:rsidRPr="00B546ED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</w:t>
            </w:r>
            <w:r w:rsidRPr="00B546ED">
              <w:rPr>
                <w:rFonts w:ascii="Times New Roman" w:eastAsia="Calibri" w:hAnsi="Times New Roman" w:cs="Times New Roman"/>
                <w:iCs/>
                <w:color w:val="000000" w:themeColor="text1"/>
              </w:rPr>
              <w:t>(2-10)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0.237</w:t>
            </w:r>
            <w:r w:rsidRPr="00B546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c</w:t>
            </w:r>
          </w:p>
        </w:tc>
      </w:tr>
      <w:tr w:rsidR="00372BF8" w:rsidRPr="00B546ED" w:rsidTr="00EA27DA">
        <w:trPr>
          <w:trHeight w:val="148"/>
        </w:trPr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/>
                <w:color w:val="000000" w:themeColor="text1"/>
              </w:rPr>
              <w:t>Competitions per month during season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3.03 ± 1.43</w:t>
            </w:r>
            <w:r w:rsidRPr="00B546ED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</w:t>
            </w:r>
            <w:r w:rsidRPr="00B546ED">
              <w:rPr>
                <w:rFonts w:ascii="Times New Roman" w:eastAsia="Calibri" w:hAnsi="Times New Roman" w:cs="Times New Roman"/>
                <w:iCs/>
                <w:color w:val="000000" w:themeColor="text1"/>
              </w:rPr>
              <w:t>(0.21-6)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2.88 ± 1.25</w:t>
            </w:r>
            <w:r w:rsidRPr="00B546ED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</w:t>
            </w:r>
            <w:r w:rsidRPr="00B546ED">
              <w:rPr>
                <w:rFonts w:ascii="Times New Roman" w:eastAsia="Calibri" w:hAnsi="Times New Roman" w:cs="Times New Roman"/>
                <w:iCs/>
                <w:color w:val="000000" w:themeColor="text1"/>
              </w:rPr>
              <w:t>(1-4.5)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0.727</w:t>
            </w:r>
            <w:r w:rsidRPr="00B546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</w:tc>
      </w:tr>
      <w:tr w:rsidR="00372BF8" w:rsidRPr="00B546ED" w:rsidTr="00EA27DA">
        <w:trPr>
          <w:trHeight w:val="148"/>
        </w:trPr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/>
                <w:color w:val="000000" w:themeColor="text1"/>
              </w:rPr>
              <w:t>FS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 xml:space="preserve">42.28 ± 5.10 </w:t>
            </w:r>
            <w:r w:rsidRPr="00B546ED">
              <w:rPr>
                <w:rFonts w:ascii="Times New Roman" w:eastAsia="Calibri" w:hAnsi="Times New Roman" w:cs="Times New Roman"/>
                <w:iCs/>
                <w:color w:val="000000" w:themeColor="text1"/>
              </w:rPr>
              <w:t>(31-53)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 xml:space="preserve">42.00 ± 3.67 </w:t>
            </w:r>
            <w:r w:rsidRPr="00B546ED">
              <w:rPr>
                <w:rFonts w:ascii="Times New Roman" w:eastAsia="Calibri" w:hAnsi="Times New Roman" w:cs="Times New Roman"/>
                <w:iCs/>
                <w:color w:val="000000" w:themeColor="text1"/>
              </w:rPr>
              <w:t>(36-48)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0.859</w:t>
            </w:r>
            <w:r w:rsidRPr="00B546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</w:tc>
      </w:tr>
      <w:tr w:rsidR="00372BF8" w:rsidRPr="00B546ED" w:rsidTr="00EA27DA">
        <w:trPr>
          <w:trHeight w:val="148"/>
        </w:trPr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/>
                <w:color w:val="000000" w:themeColor="text1"/>
              </w:rPr>
              <w:t>QuAM-2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 xml:space="preserve">162.85 ± 15.24 </w:t>
            </w:r>
            <w:r w:rsidRPr="00B546ED">
              <w:rPr>
                <w:rFonts w:ascii="Times New Roman" w:eastAsia="Calibri" w:hAnsi="Times New Roman" w:cs="Times New Roman"/>
                <w:iCs/>
                <w:color w:val="000000" w:themeColor="text1"/>
              </w:rPr>
              <w:t>(132-191)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 xml:space="preserve">153.58 ± 21.72 </w:t>
            </w:r>
            <w:r w:rsidRPr="00B546ED">
              <w:rPr>
                <w:rFonts w:ascii="Times New Roman" w:eastAsia="Calibri" w:hAnsi="Times New Roman" w:cs="Times New Roman"/>
                <w:iCs/>
                <w:color w:val="000000" w:themeColor="text1"/>
              </w:rPr>
              <w:t>(112-182)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0.084</w:t>
            </w:r>
            <w:r w:rsidRPr="00B546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</w:tc>
      </w:tr>
      <w:tr w:rsidR="00372BF8" w:rsidRPr="00B546ED" w:rsidTr="00EA27DA">
        <w:trPr>
          <w:trHeight w:val="148"/>
        </w:trPr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/>
                <w:color w:val="000000" w:themeColor="text1"/>
              </w:rPr>
              <w:t>SE-QuAM-2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 xml:space="preserve">20.76 ± 3.49 </w:t>
            </w:r>
            <w:r w:rsidRPr="00B546ED">
              <w:rPr>
                <w:rFonts w:ascii="Times New Roman" w:eastAsia="Calibri" w:hAnsi="Times New Roman" w:cs="Times New Roman"/>
                <w:iCs/>
                <w:color w:val="000000" w:themeColor="text1"/>
              </w:rPr>
              <w:t>(13-28)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 xml:space="preserve">19.25 ± 4.54 </w:t>
            </w:r>
            <w:r w:rsidRPr="00B546ED">
              <w:rPr>
                <w:rFonts w:ascii="Times New Roman" w:eastAsia="Calibri" w:hAnsi="Times New Roman" w:cs="Times New Roman"/>
                <w:iCs/>
                <w:color w:val="000000" w:themeColor="text1"/>
              </w:rPr>
              <w:t>(10-27)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0.205</w:t>
            </w:r>
            <w:r w:rsidRPr="00B546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</w:tc>
      </w:tr>
      <w:tr w:rsidR="00372BF8" w:rsidRPr="00B546ED" w:rsidTr="00EA27DA">
        <w:trPr>
          <w:trHeight w:val="148"/>
        </w:trPr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/>
                <w:color w:val="000000" w:themeColor="text1"/>
              </w:rPr>
              <w:t>M-QuAM-2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 xml:space="preserve">23.24 ± 3.44 </w:t>
            </w:r>
            <w:r w:rsidRPr="00B546ED">
              <w:rPr>
                <w:rFonts w:ascii="Times New Roman" w:eastAsia="Calibri" w:hAnsi="Times New Roman" w:cs="Times New Roman"/>
                <w:iCs/>
                <w:color w:val="000000" w:themeColor="text1"/>
              </w:rPr>
              <w:t>(12-29)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 xml:space="preserve">21.25 ± 4.11 </w:t>
            </w:r>
            <w:r w:rsidRPr="00B546ED">
              <w:rPr>
                <w:rFonts w:ascii="Times New Roman" w:eastAsia="Calibri" w:hAnsi="Times New Roman" w:cs="Times New Roman"/>
                <w:iCs/>
                <w:color w:val="000000" w:themeColor="text1"/>
              </w:rPr>
              <w:t>(15-27)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0.085</w:t>
            </w:r>
            <w:r w:rsidRPr="00B546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</w:tc>
      </w:tr>
      <w:tr w:rsidR="00372BF8" w:rsidRPr="00B546ED" w:rsidTr="00EA27DA">
        <w:trPr>
          <w:trHeight w:val="148"/>
        </w:trPr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/>
                <w:color w:val="000000" w:themeColor="text1"/>
              </w:rPr>
              <w:t>SM-QuAM-2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 xml:space="preserve">18.69 ± 3.41 </w:t>
            </w:r>
            <w:r w:rsidRPr="00B546ED">
              <w:rPr>
                <w:rFonts w:ascii="Times New Roman" w:eastAsia="Calibri" w:hAnsi="Times New Roman" w:cs="Times New Roman"/>
                <w:iCs/>
                <w:color w:val="000000" w:themeColor="text1"/>
              </w:rPr>
              <w:t>(12-26)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 xml:space="preserve">18.83 ± 4.53 </w:t>
            </w:r>
            <w:r w:rsidRPr="00B546ED">
              <w:rPr>
                <w:rFonts w:ascii="Times New Roman" w:eastAsia="Calibri" w:hAnsi="Times New Roman" w:cs="Times New Roman"/>
                <w:iCs/>
                <w:color w:val="000000" w:themeColor="text1"/>
              </w:rPr>
              <w:t>(13-25)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0.899</w:t>
            </w:r>
            <w:r w:rsidRPr="00B546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</w:tc>
      </w:tr>
      <w:tr w:rsidR="00372BF8" w:rsidRPr="00B546ED" w:rsidTr="00EA27DA">
        <w:trPr>
          <w:trHeight w:val="148"/>
        </w:trPr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/>
                <w:color w:val="000000" w:themeColor="text1"/>
              </w:rPr>
              <w:t>A-QuAM-2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22.83 ± 4.56 (12-30)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22.92 ± 3.70 (15-27)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0.953</w:t>
            </w:r>
            <w:r w:rsidRPr="00B546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</w:tc>
      </w:tr>
      <w:tr w:rsidR="00372BF8" w:rsidRPr="00B546ED" w:rsidTr="00EA27DA">
        <w:trPr>
          <w:trHeight w:val="148"/>
        </w:trPr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/>
                <w:color w:val="000000" w:themeColor="text1"/>
              </w:rPr>
              <w:t>MCA-QuAM-2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19.24 ± 4.03 (8-30)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18.58 ± 4.50 (10-25)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0.618</w:t>
            </w:r>
            <w:r w:rsidRPr="00B546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</w:tc>
      </w:tr>
      <w:tr w:rsidR="00372BF8" w:rsidRPr="00B546ED" w:rsidTr="00EA27DA">
        <w:trPr>
          <w:trHeight w:val="148"/>
        </w:trPr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/>
                <w:color w:val="000000" w:themeColor="text1"/>
              </w:rPr>
              <w:t>AC-QuAM-2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20.93 ± 3.21 (14-29)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19.00 ± 3.41 (12-22)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0.068</w:t>
            </w:r>
            <w:r w:rsidRPr="00B546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</w:tc>
      </w:tr>
      <w:tr w:rsidR="00372BF8" w:rsidRPr="00B546ED" w:rsidTr="00EA27DA">
        <w:trPr>
          <w:trHeight w:val="148"/>
        </w:trPr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/>
                <w:color w:val="000000" w:themeColor="text1"/>
              </w:rPr>
              <w:t>SG-QuAM-2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18.57 ± 3.45 (8-26)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16.83 ± 3.69 (10-24)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0.123</w:t>
            </w:r>
            <w:r w:rsidRPr="00B546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</w:tc>
      </w:tr>
      <w:tr w:rsidR="00372BF8" w:rsidRPr="00B546ED" w:rsidTr="00EA27DA">
        <w:trPr>
          <w:trHeight w:val="148"/>
        </w:trPr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/>
                <w:color w:val="000000" w:themeColor="text1"/>
              </w:rPr>
              <w:t>IA-QuAM-2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18.59 ± 4.88 (8-28)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16.92 ± 4.80 (6-25)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0.285</w:t>
            </w:r>
            <w:r w:rsidRPr="00B546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</w:tc>
      </w:tr>
      <w:tr w:rsidR="00372BF8" w:rsidRPr="00B546ED" w:rsidTr="00EA27DA">
        <w:trPr>
          <w:trHeight w:val="148"/>
        </w:trPr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/>
                <w:color w:val="000000" w:themeColor="text1"/>
              </w:rPr>
              <w:t>TSCI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69.37 ± 19.88 (18-103)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68.00 ± 18.43 (44-93)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0.828</w:t>
            </w:r>
            <w:r w:rsidRPr="00B546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</w:tc>
      </w:tr>
      <w:tr w:rsidR="00372BF8" w:rsidRPr="00B546ED" w:rsidTr="00EA27DA">
        <w:trPr>
          <w:trHeight w:val="148"/>
        </w:trPr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/>
                <w:color w:val="000000" w:themeColor="text1"/>
              </w:rPr>
              <w:t>PANAS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48.43 ± 8.26 (34-64)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45.58 ± 6.49 (35-59)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0.269</w:t>
            </w:r>
            <w:r w:rsidRPr="00B546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</w:tc>
      </w:tr>
      <w:tr w:rsidR="00372BF8" w:rsidRPr="00B546ED" w:rsidTr="00EA27DA">
        <w:trPr>
          <w:trHeight w:val="148"/>
        </w:trPr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/>
                <w:color w:val="000000" w:themeColor="text1"/>
              </w:rPr>
              <w:t>PA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30.57 ± 4.63 (20-41)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29.00 ± 4.29 (22-36)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0.285</w:t>
            </w:r>
            <w:r w:rsidRPr="00B546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</w:tc>
      </w:tr>
      <w:tr w:rsidR="00372BF8" w:rsidRPr="00B546ED" w:rsidTr="00EA27DA">
        <w:trPr>
          <w:trHeight w:val="148"/>
        </w:trPr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/>
                <w:color w:val="000000" w:themeColor="text1"/>
              </w:rPr>
              <w:t>NA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17.85 ± 6.86 (10-34)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16.58 ± 4.76 (10-26)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0.546</w:t>
            </w:r>
            <w:r w:rsidRPr="00B546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</w:tc>
      </w:tr>
      <w:tr w:rsidR="00372BF8" w:rsidRPr="00B546ED" w:rsidTr="00EA27DA">
        <w:trPr>
          <w:trHeight w:val="148"/>
        </w:trPr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/>
                <w:color w:val="000000" w:themeColor="text1"/>
              </w:rPr>
              <w:t>CES-D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16.39 ± 8.29 (3-47)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17.58 ± 6.27 (7-26)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0.641</w:t>
            </w:r>
            <w:r w:rsidRPr="00B546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</w:tc>
      </w:tr>
      <w:tr w:rsidR="00372BF8" w:rsidRPr="00B546ED" w:rsidTr="00EA27DA">
        <w:trPr>
          <w:trHeight w:val="148"/>
        </w:trPr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B546ED">
              <w:rPr>
                <w:rFonts w:ascii="Times New Roman" w:eastAsia="Calibri" w:hAnsi="Times New Roman" w:cs="Times New Roman"/>
                <w:b/>
                <w:color w:val="000000" w:themeColor="text1"/>
              </w:rPr>
              <w:t>IPSS-10</w:t>
            </w:r>
          </w:p>
        </w:tc>
        <w:tc>
          <w:tcPr>
            <w:tcW w:w="0" w:type="auto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 xml:space="preserve">19.54 ± 3.05 </w:t>
            </w:r>
            <w:r w:rsidRPr="00B546ED">
              <w:rPr>
                <w:rFonts w:ascii="Times New Roman" w:eastAsia="Calibri" w:hAnsi="Times New Roman" w:cs="Times New Roman"/>
                <w:iCs/>
                <w:color w:val="000000" w:themeColor="text1"/>
              </w:rPr>
              <w:t>(14-26)</w:t>
            </w:r>
          </w:p>
        </w:tc>
        <w:tc>
          <w:tcPr>
            <w:tcW w:w="2236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19.50 ± 2.88</w:t>
            </w:r>
            <w:r w:rsidRPr="00B546ED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</w:t>
            </w:r>
            <w:r w:rsidRPr="00B546ED">
              <w:rPr>
                <w:rFonts w:ascii="Times New Roman" w:eastAsia="Calibri" w:hAnsi="Times New Roman" w:cs="Times New Roman"/>
                <w:iCs/>
                <w:color w:val="000000" w:themeColor="text1"/>
              </w:rPr>
              <w:t>(14-25)</w:t>
            </w:r>
          </w:p>
        </w:tc>
        <w:tc>
          <w:tcPr>
            <w:tcW w:w="567" w:type="dxa"/>
          </w:tcPr>
          <w:p w:rsidR="00372BF8" w:rsidRPr="00B546ED" w:rsidRDefault="00372BF8" w:rsidP="00EA27DA">
            <w:pPr>
              <w:spacing w:after="200"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B546ED">
              <w:rPr>
                <w:rFonts w:ascii="Times New Roman" w:hAnsi="Times New Roman" w:cs="Times New Roman"/>
                <w:color w:val="000000" w:themeColor="text1"/>
              </w:rPr>
              <w:t>0.969</w:t>
            </w:r>
            <w:r w:rsidRPr="00B546E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</w:tc>
      </w:tr>
    </w:tbl>
    <w:p w:rsidR="00372BF8" w:rsidRPr="00B546ED" w:rsidRDefault="00372BF8" w:rsidP="00372BF8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B546ED">
        <w:rPr>
          <w:rFonts w:ascii="Times New Roman" w:hAnsi="Times New Roman" w:cs="Times New Roman"/>
          <w:b/>
          <w:bCs/>
          <w:color w:val="000000" w:themeColor="text1"/>
        </w:rPr>
        <w:t>Notes.</w:t>
      </w:r>
      <w:r w:rsidRPr="00B546ED">
        <w:rPr>
          <w:rFonts w:ascii="Times New Roman" w:hAnsi="Times New Roman" w:cs="Times New Roman"/>
          <w:color w:val="000000" w:themeColor="text1"/>
        </w:rPr>
        <w:t xml:space="preserve"> FS=Flourishing Scale; QuAM-2=</w:t>
      </w:r>
      <w:proofErr w:type="spellStart"/>
      <w:r w:rsidRPr="00B546ED">
        <w:rPr>
          <w:rFonts w:ascii="Times New Roman" w:hAnsi="Times New Roman" w:cs="Times New Roman"/>
          <w:i/>
          <w:iCs/>
          <w:color w:val="000000" w:themeColor="text1"/>
        </w:rPr>
        <w:t>Questionario</w:t>
      </w:r>
      <w:proofErr w:type="spellEnd"/>
      <w:r w:rsidRPr="00B546ED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B546ED">
        <w:rPr>
          <w:rFonts w:ascii="Times New Roman" w:hAnsi="Times New Roman" w:cs="Times New Roman"/>
          <w:i/>
          <w:iCs/>
          <w:color w:val="000000" w:themeColor="text1"/>
        </w:rPr>
        <w:t>sulle</w:t>
      </w:r>
      <w:proofErr w:type="spellEnd"/>
      <w:r w:rsidRPr="00B546ED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B546ED">
        <w:rPr>
          <w:rFonts w:ascii="Times New Roman" w:hAnsi="Times New Roman" w:cs="Times New Roman"/>
          <w:i/>
          <w:iCs/>
          <w:color w:val="000000" w:themeColor="text1"/>
        </w:rPr>
        <w:t>Abilità</w:t>
      </w:r>
      <w:proofErr w:type="spellEnd"/>
      <w:r w:rsidRPr="00B546ED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B546ED">
        <w:rPr>
          <w:rFonts w:ascii="Times New Roman" w:hAnsi="Times New Roman" w:cs="Times New Roman"/>
          <w:i/>
          <w:iCs/>
          <w:color w:val="000000" w:themeColor="text1"/>
        </w:rPr>
        <w:t>Mentali</w:t>
      </w:r>
      <w:proofErr w:type="spellEnd"/>
      <w:r w:rsidRPr="00B546ED">
        <w:rPr>
          <w:rFonts w:ascii="Times New Roman" w:hAnsi="Times New Roman" w:cs="Times New Roman"/>
          <w:color w:val="000000" w:themeColor="text1"/>
        </w:rPr>
        <w:t xml:space="preserve"> </w:t>
      </w:r>
      <w:r w:rsidRPr="00B546ED">
        <w:rPr>
          <w:rFonts w:ascii="Times New Roman" w:hAnsi="Times New Roman" w:cs="Times New Roman"/>
          <w:i/>
          <w:iCs/>
          <w:color w:val="000000" w:themeColor="text1"/>
        </w:rPr>
        <w:t>2</w:t>
      </w:r>
      <w:r w:rsidRPr="00B546ED">
        <w:rPr>
          <w:rFonts w:ascii="Times New Roman" w:hAnsi="Times New Roman" w:cs="Times New Roman"/>
          <w:color w:val="000000" w:themeColor="text1"/>
        </w:rPr>
        <w:t>; SE-QuAM-2=Self-esteem subscale of the QuAM-2; M-QuAM-2=Motivation subscale of the QuAM-2; SM-QuAM-2=Stress management subscale of the QuAM-2; A-QuAM-2=Assertiveness subscale of the QuAM-2; MCA-QuAM-2=Management of Competitive Anxiety subscale of the QuAM-2; AC-QuAM-2=Attention and Concentration subscale of the QuAM-2; SG-QuAM-2=Setting Goals subscale of the QuAM-2; IA-QuAM-2=Imaginative Ability subscale of the QuAM-2; TSCI=Trait Sport-Confidence Inventory; CES-D=</w:t>
      </w:r>
      <w:proofErr w:type="spellStart"/>
      <w:r w:rsidRPr="00B546ED">
        <w:rPr>
          <w:rFonts w:ascii="Times New Roman" w:hAnsi="Times New Roman" w:cs="Times New Roman"/>
          <w:color w:val="000000" w:themeColor="text1"/>
        </w:rPr>
        <w:t>Center</w:t>
      </w:r>
      <w:proofErr w:type="spellEnd"/>
      <w:r w:rsidRPr="00B546ED">
        <w:rPr>
          <w:rFonts w:ascii="Times New Roman" w:hAnsi="Times New Roman" w:cs="Times New Roman"/>
          <w:color w:val="000000" w:themeColor="text1"/>
        </w:rPr>
        <w:t xml:space="preserve"> for Epidemiologic Studies Depression Scale; IPSS-10=Italian version of the Perceived Stress Scale; PANAS=Positive and Negative Affect Schedule; PA=Positive Affect and NA=Negative Affect subscales of the PANAS.*Chess was not classified as either open- or closed-skill.</w:t>
      </w:r>
      <w:r w:rsidRPr="00B546ED">
        <w:rPr>
          <w:rFonts w:ascii="Times New Roman" w:hAnsi="Times New Roman" w:cs="Times New Roman"/>
          <w:color w:val="000000" w:themeColor="text1"/>
          <w:vertAlign w:val="superscript"/>
        </w:rPr>
        <w:t xml:space="preserve"> </w:t>
      </w:r>
      <w:proofErr w:type="spellStart"/>
      <w:proofErr w:type="gramStart"/>
      <w:r w:rsidRPr="00B546ED">
        <w:rPr>
          <w:rFonts w:ascii="Times New Roman" w:hAnsi="Times New Roman" w:cs="Times New Roman"/>
          <w:color w:val="000000" w:themeColor="text1"/>
          <w:vertAlign w:val="superscript"/>
        </w:rPr>
        <w:t>a</w:t>
      </w:r>
      <w:r w:rsidRPr="00B546ED">
        <w:rPr>
          <w:rFonts w:ascii="Times New Roman" w:hAnsi="Times New Roman" w:cs="Times New Roman"/>
          <w:i/>
          <w:iCs/>
          <w:color w:val="000000" w:themeColor="text1"/>
        </w:rPr>
        <w:t>p</w:t>
      </w:r>
      <w:proofErr w:type="spellEnd"/>
      <w:r w:rsidRPr="00B546ED">
        <w:rPr>
          <w:rFonts w:ascii="Times New Roman" w:hAnsi="Times New Roman" w:cs="Times New Roman"/>
          <w:color w:val="000000" w:themeColor="text1"/>
        </w:rPr>
        <w:t>-value</w:t>
      </w:r>
      <w:proofErr w:type="gramEnd"/>
      <w:r w:rsidRPr="00B546ED">
        <w:rPr>
          <w:rFonts w:ascii="Times New Roman" w:hAnsi="Times New Roman" w:cs="Times New Roman"/>
          <w:color w:val="000000" w:themeColor="text1"/>
        </w:rPr>
        <w:t xml:space="preserve"> referred to a </w:t>
      </w:r>
      <w:r w:rsidRPr="00B546ED">
        <w:rPr>
          <w:rFonts w:ascii="Times New Roman" w:hAnsi="Times New Roman" w:cs="Times New Roman"/>
          <w:i/>
          <w:iCs/>
          <w:color w:val="000000" w:themeColor="text1"/>
        </w:rPr>
        <w:t>t-</w:t>
      </w:r>
      <w:r w:rsidRPr="00B546ED">
        <w:rPr>
          <w:rFonts w:ascii="Times New Roman" w:hAnsi="Times New Roman" w:cs="Times New Roman"/>
          <w:color w:val="000000" w:themeColor="text1"/>
        </w:rPr>
        <w:t xml:space="preserve">statistic for independent samples; </w:t>
      </w:r>
      <w:proofErr w:type="spellStart"/>
      <w:r w:rsidRPr="00B546ED">
        <w:rPr>
          <w:rFonts w:ascii="Times New Roman" w:hAnsi="Times New Roman" w:cs="Times New Roman"/>
          <w:color w:val="000000" w:themeColor="text1"/>
          <w:vertAlign w:val="superscript"/>
        </w:rPr>
        <w:t>b</w:t>
      </w:r>
      <w:r w:rsidRPr="00B546ED">
        <w:rPr>
          <w:rFonts w:ascii="Times New Roman" w:hAnsi="Times New Roman" w:cs="Times New Roman"/>
          <w:i/>
          <w:iCs/>
          <w:color w:val="000000" w:themeColor="text1"/>
        </w:rPr>
        <w:t>p</w:t>
      </w:r>
      <w:proofErr w:type="spellEnd"/>
      <w:r w:rsidRPr="00B546ED">
        <w:rPr>
          <w:rFonts w:ascii="Times New Roman" w:hAnsi="Times New Roman" w:cs="Times New Roman"/>
          <w:color w:val="000000" w:themeColor="text1"/>
        </w:rPr>
        <w:t>-value referred to a χ</w:t>
      </w:r>
      <w:r w:rsidRPr="00B546ED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B546ED">
        <w:rPr>
          <w:rFonts w:ascii="Times New Roman" w:hAnsi="Times New Roman" w:cs="Times New Roman"/>
          <w:i/>
          <w:iCs/>
          <w:color w:val="000000" w:themeColor="text1"/>
        </w:rPr>
        <w:t>-</w:t>
      </w:r>
      <w:r w:rsidRPr="00B546ED">
        <w:rPr>
          <w:rFonts w:ascii="Times New Roman" w:hAnsi="Times New Roman" w:cs="Times New Roman"/>
          <w:color w:val="000000" w:themeColor="text1"/>
        </w:rPr>
        <w:t xml:space="preserve">statistic for independent samples; </w:t>
      </w:r>
      <w:proofErr w:type="spellStart"/>
      <w:r w:rsidRPr="00B546ED">
        <w:rPr>
          <w:rFonts w:ascii="Times New Roman" w:hAnsi="Times New Roman" w:cs="Times New Roman"/>
          <w:color w:val="000000" w:themeColor="text1"/>
          <w:vertAlign w:val="superscript"/>
        </w:rPr>
        <w:t>c</w:t>
      </w:r>
      <w:r w:rsidRPr="00B546ED">
        <w:rPr>
          <w:rFonts w:ascii="Times New Roman" w:hAnsi="Times New Roman" w:cs="Times New Roman"/>
          <w:i/>
          <w:iCs/>
          <w:color w:val="000000" w:themeColor="text1"/>
        </w:rPr>
        <w:t>p</w:t>
      </w:r>
      <w:proofErr w:type="spellEnd"/>
      <w:r w:rsidRPr="00B546ED">
        <w:rPr>
          <w:rFonts w:ascii="Times New Roman" w:hAnsi="Times New Roman" w:cs="Times New Roman"/>
          <w:color w:val="000000" w:themeColor="text1"/>
        </w:rPr>
        <w:t xml:space="preserve">-value referred to a Mann-Whitney </w:t>
      </w:r>
      <w:r w:rsidRPr="00B546ED">
        <w:rPr>
          <w:rFonts w:ascii="Times New Roman" w:hAnsi="Times New Roman" w:cs="Times New Roman"/>
          <w:i/>
          <w:iCs/>
          <w:color w:val="000000" w:themeColor="text1"/>
        </w:rPr>
        <w:t>U-</w:t>
      </w:r>
      <w:r w:rsidRPr="00B546ED">
        <w:rPr>
          <w:rFonts w:ascii="Times New Roman" w:hAnsi="Times New Roman" w:cs="Times New Roman"/>
          <w:color w:val="000000" w:themeColor="text1"/>
        </w:rPr>
        <w:t>statistic for independent samples.</w:t>
      </w:r>
    </w:p>
    <w:p w:rsidR="00372BF8" w:rsidRPr="00B546ED" w:rsidRDefault="00372BF8" w:rsidP="00372BF8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137412" w:rsidRDefault="00137412">
      <w:bookmarkStart w:id="0" w:name="_GoBack"/>
      <w:bookmarkEnd w:id="0"/>
    </w:p>
    <w:sectPr w:rsidR="001374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BF8"/>
    <w:rsid w:val="000008D6"/>
    <w:rsid w:val="00006427"/>
    <w:rsid w:val="00010ED4"/>
    <w:rsid w:val="000120B0"/>
    <w:rsid w:val="000140FF"/>
    <w:rsid w:val="00022324"/>
    <w:rsid w:val="00022563"/>
    <w:rsid w:val="00032AFA"/>
    <w:rsid w:val="00036951"/>
    <w:rsid w:val="00037DC5"/>
    <w:rsid w:val="00043594"/>
    <w:rsid w:val="00043B8E"/>
    <w:rsid w:val="00051F32"/>
    <w:rsid w:val="00056C60"/>
    <w:rsid w:val="000573C9"/>
    <w:rsid w:val="00057EE9"/>
    <w:rsid w:val="00067FAE"/>
    <w:rsid w:val="00076019"/>
    <w:rsid w:val="000815A5"/>
    <w:rsid w:val="00083974"/>
    <w:rsid w:val="00085776"/>
    <w:rsid w:val="0009054B"/>
    <w:rsid w:val="00090EBD"/>
    <w:rsid w:val="000B69DE"/>
    <w:rsid w:val="000C0BD5"/>
    <w:rsid w:val="000D2280"/>
    <w:rsid w:val="000D2467"/>
    <w:rsid w:val="000D5433"/>
    <w:rsid w:val="000E00D2"/>
    <w:rsid w:val="000E2D27"/>
    <w:rsid w:val="000E40B8"/>
    <w:rsid w:val="000F0312"/>
    <w:rsid w:val="0010263E"/>
    <w:rsid w:val="00105E33"/>
    <w:rsid w:val="00112862"/>
    <w:rsid w:val="00116FF6"/>
    <w:rsid w:val="001238B1"/>
    <w:rsid w:val="0012509A"/>
    <w:rsid w:val="0012629A"/>
    <w:rsid w:val="00126C81"/>
    <w:rsid w:val="001314F5"/>
    <w:rsid w:val="00137412"/>
    <w:rsid w:val="0014193A"/>
    <w:rsid w:val="001457E2"/>
    <w:rsid w:val="001523DC"/>
    <w:rsid w:val="001539FD"/>
    <w:rsid w:val="00164DBF"/>
    <w:rsid w:val="00175AD7"/>
    <w:rsid w:val="00182376"/>
    <w:rsid w:val="00183485"/>
    <w:rsid w:val="001925CF"/>
    <w:rsid w:val="001943E0"/>
    <w:rsid w:val="001A34D8"/>
    <w:rsid w:val="001A374B"/>
    <w:rsid w:val="001A399A"/>
    <w:rsid w:val="001A5858"/>
    <w:rsid w:val="001B4468"/>
    <w:rsid w:val="001B5E9A"/>
    <w:rsid w:val="001C5AA8"/>
    <w:rsid w:val="001D200B"/>
    <w:rsid w:val="001D3DB1"/>
    <w:rsid w:val="001D427F"/>
    <w:rsid w:val="001D43F0"/>
    <w:rsid w:val="001D4B34"/>
    <w:rsid w:val="001D56A2"/>
    <w:rsid w:val="001E7132"/>
    <w:rsid w:val="001F4915"/>
    <w:rsid w:val="00200D5A"/>
    <w:rsid w:val="00200ED9"/>
    <w:rsid w:val="002041E2"/>
    <w:rsid w:val="002101BD"/>
    <w:rsid w:val="002250D7"/>
    <w:rsid w:val="002551FF"/>
    <w:rsid w:val="00256E12"/>
    <w:rsid w:val="00257FCD"/>
    <w:rsid w:val="00263DFD"/>
    <w:rsid w:val="002676C0"/>
    <w:rsid w:val="002814EB"/>
    <w:rsid w:val="00282DEC"/>
    <w:rsid w:val="0028475B"/>
    <w:rsid w:val="00284DCA"/>
    <w:rsid w:val="00287E19"/>
    <w:rsid w:val="00291DB7"/>
    <w:rsid w:val="0029434E"/>
    <w:rsid w:val="002954F6"/>
    <w:rsid w:val="00295E88"/>
    <w:rsid w:val="002961F2"/>
    <w:rsid w:val="002A260D"/>
    <w:rsid w:val="002B1A07"/>
    <w:rsid w:val="002B2CCD"/>
    <w:rsid w:val="002B351B"/>
    <w:rsid w:val="002B75CE"/>
    <w:rsid w:val="002C7F1C"/>
    <w:rsid w:val="002D4B90"/>
    <w:rsid w:val="002D7DEB"/>
    <w:rsid w:val="002E6CA8"/>
    <w:rsid w:val="002F0B75"/>
    <w:rsid w:val="00303BFB"/>
    <w:rsid w:val="0030618D"/>
    <w:rsid w:val="00310B05"/>
    <w:rsid w:val="00313579"/>
    <w:rsid w:val="00314863"/>
    <w:rsid w:val="00316320"/>
    <w:rsid w:val="00323BE0"/>
    <w:rsid w:val="003254E7"/>
    <w:rsid w:val="00340D90"/>
    <w:rsid w:val="00341BE2"/>
    <w:rsid w:val="00342341"/>
    <w:rsid w:val="00351EB9"/>
    <w:rsid w:val="0035449F"/>
    <w:rsid w:val="00355ABD"/>
    <w:rsid w:val="00361AD2"/>
    <w:rsid w:val="0036296C"/>
    <w:rsid w:val="003661FB"/>
    <w:rsid w:val="0036687B"/>
    <w:rsid w:val="00372BF8"/>
    <w:rsid w:val="003732E6"/>
    <w:rsid w:val="00375DC2"/>
    <w:rsid w:val="003775F8"/>
    <w:rsid w:val="00383ABB"/>
    <w:rsid w:val="003952D8"/>
    <w:rsid w:val="003963BA"/>
    <w:rsid w:val="003A1DC8"/>
    <w:rsid w:val="003B5E9F"/>
    <w:rsid w:val="003B64E7"/>
    <w:rsid w:val="003C6E83"/>
    <w:rsid w:val="003C752B"/>
    <w:rsid w:val="003D3B10"/>
    <w:rsid w:val="003D3CE9"/>
    <w:rsid w:val="003D3F37"/>
    <w:rsid w:val="003E02FB"/>
    <w:rsid w:val="003F22A2"/>
    <w:rsid w:val="003F4AF8"/>
    <w:rsid w:val="004077F0"/>
    <w:rsid w:val="00412135"/>
    <w:rsid w:val="00416258"/>
    <w:rsid w:val="0042097C"/>
    <w:rsid w:val="00425124"/>
    <w:rsid w:val="00425811"/>
    <w:rsid w:val="00431CBA"/>
    <w:rsid w:val="00433A9B"/>
    <w:rsid w:val="004420FD"/>
    <w:rsid w:val="0044440E"/>
    <w:rsid w:val="004468B1"/>
    <w:rsid w:val="0045306F"/>
    <w:rsid w:val="00454B56"/>
    <w:rsid w:val="004577A0"/>
    <w:rsid w:val="0046187C"/>
    <w:rsid w:val="004718FD"/>
    <w:rsid w:val="00477BDF"/>
    <w:rsid w:val="0048142A"/>
    <w:rsid w:val="00481E0D"/>
    <w:rsid w:val="00487FB9"/>
    <w:rsid w:val="004A650F"/>
    <w:rsid w:val="004C3670"/>
    <w:rsid w:val="004C6D2B"/>
    <w:rsid w:val="004D2384"/>
    <w:rsid w:val="004D5F6D"/>
    <w:rsid w:val="004E0565"/>
    <w:rsid w:val="004E37A3"/>
    <w:rsid w:val="004E396B"/>
    <w:rsid w:val="004F069B"/>
    <w:rsid w:val="004F61F4"/>
    <w:rsid w:val="00500A96"/>
    <w:rsid w:val="00506FCF"/>
    <w:rsid w:val="00510A4D"/>
    <w:rsid w:val="00516EFC"/>
    <w:rsid w:val="005267B1"/>
    <w:rsid w:val="00530F3D"/>
    <w:rsid w:val="00531DE8"/>
    <w:rsid w:val="00535441"/>
    <w:rsid w:val="00543B59"/>
    <w:rsid w:val="00551E2B"/>
    <w:rsid w:val="00552F04"/>
    <w:rsid w:val="00557DCE"/>
    <w:rsid w:val="005630F7"/>
    <w:rsid w:val="0056402D"/>
    <w:rsid w:val="00570EBE"/>
    <w:rsid w:val="0057420C"/>
    <w:rsid w:val="00577CB4"/>
    <w:rsid w:val="00582418"/>
    <w:rsid w:val="00583F67"/>
    <w:rsid w:val="005851E5"/>
    <w:rsid w:val="00587041"/>
    <w:rsid w:val="005A43F7"/>
    <w:rsid w:val="005A5BFC"/>
    <w:rsid w:val="005B28D3"/>
    <w:rsid w:val="005C0263"/>
    <w:rsid w:val="005D4F85"/>
    <w:rsid w:val="005E4E9A"/>
    <w:rsid w:val="005E69A3"/>
    <w:rsid w:val="005F116D"/>
    <w:rsid w:val="005F6A0A"/>
    <w:rsid w:val="0060088D"/>
    <w:rsid w:val="00601167"/>
    <w:rsid w:val="0060236D"/>
    <w:rsid w:val="0062418F"/>
    <w:rsid w:val="00625B99"/>
    <w:rsid w:val="00627E08"/>
    <w:rsid w:val="006364BC"/>
    <w:rsid w:val="006373F6"/>
    <w:rsid w:val="00646EB9"/>
    <w:rsid w:val="00650314"/>
    <w:rsid w:val="00653DB5"/>
    <w:rsid w:val="00656FDF"/>
    <w:rsid w:val="00682A24"/>
    <w:rsid w:val="00687B23"/>
    <w:rsid w:val="00690BA6"/>
    <w:rsid w:val="006B3129"/>
    <w:rsid w:val="006B6D90"/>
    <w:rsid w:val="006C291E"/>
    <w:rsid w:val="006D0148"/>
    <w:rsid w:val="006D3698"/>
    <w:rsid w:val="006E28A8"/>
    <w:rsid w:val="00703705"/>
    <w:rsid w:val="00707BD3"/>
    <w:rsid w:val="007104EF"/>
    <w:rsid w:val="00713A32"/>
    <w:rsid w:val="00713C6D"/>
    <w:rsid w:val="00714638"/>
    <w:rsid w:val="0073521B"/>
    <w:rsid w:val="0073753C"/>
    <w:rsid w:val="00744B00"/>
    <w:rsid w:val="00744E88"/>
    <w:rsid w:val="007457F4"/>
    <w:rsid w:val="007651C9"/>
    <w:rsid w:val="00766ECD"/>
    <w:rsid w:val="00782434"/>
    <w:rsid w:val="00782868"/>
    <w:rsid w:val="00796F42"/>
    <w:rsid w:val="007A08E0"/>
    <w:rsid w:val="007A7954"/>
    <w:rsid w:val="007B22D1"/>
    <w:rsid w:val="007B5B8B"/>
    <w:rsid w:val="007D59FC"/>
    <w:rsid w:val="007E6EA4"/>
    <w:rsid w:val="007F1CD5"/>
    <w:rsid w:val="00801710"/>
    <w:rsid w:val="0080501D"/>
    <w:rsid w:val="00832711"/>
    <w:rsid w:val="00837907"/>
    <w:rsid w:val="008601D7"/>
    <w:rsid w:val="008717C3"/>
    <w:rsid w:val="00873B32"/>
    <w:rsid w:val="00881744"/>
    <w:rsid w:val="008A360F"/>
    <w:rsid w:val="008A5226"/>
    <w:rsid w:val="008A72E1"/>
    <w:rsid w:val="008A76AC"/>
    <w:rsid w:val="008C4DEE"/>
    <w:rsid w:val="008D4DF9"/>
    <w:rsid w:val="008E0A71"/>
    <w:rsid w:val="008E3E1F"/>
    <w:rsid w:val="008E4A70"/>
    <w:rsid w:val="008E59CC"/>
    <w:rsid w:val="008F308A"/>
    <w:rsid w:val="008F4E21"/>
    <w:rsid w:val="0090097B"/>
    <w:rsid w:val="009073D5"/>
    <w:rsid w:val="00910CE1"/>
    <w:rsid w:val="009164BB"/>
    <w:rsid w:val="00924DBD"/>
    <w:rsid w:val="009262AE"/>
    <w:rsid w:val="00926F63"/>
    <w:rsid w:val="0093257D"/>
    <w:rsid w:val="00932892"/>
    <w:rsid w:val="009408C8"/>
    <w:rsid w:val="00941818"/>
    <w:rsid w:val="00941AB8"/>
    <w:rsid w:val="00956705"/>
    <w:rsid w:val="0096047B"/>
    <w:rsid w:val="00960F74"/>
    <w:rsid w:val="00967DC3"/>
    <w:rsid w:val="009747ED"/>
    <w:rsid w:val="00975B13"/>
    <w:rsid w:val="00980CA9"/>
    <w:rsid w:val="009813A9"/>
    <w:rsid w:val="009963E5"/>
    <w:rsid w:val="009A0D8D"/>
    <w:rsid w:val="009A35E1"/>
    <w:rsid w:val="009A46DB"/>
    <w:rsid w:val="009B0F9C"/>
    <w:rsid w:val="009B402F"/>
    <w:rsid w:val="009B4729"/>
    <w:rsid w:val="009C1D8B"/>
    <w:rsid w:val="009C7FE5"/>
    <w:rsid w:val="009D0B43"/>
    <w:rsid w:val="009F3F69"/>
    <w:rsid w:val="009F634D"/>
    <w:rsid w:val="00A03897"/>
    <w:rsid w:val="00A141FB"/>
    <w:rsid w:val="00A14579"/>
    <w:rsid w:val="00A2006E"/>
    <w:rsid w:val="00A23ACF"/>
    <w:rsid w:val="00A25A5A"/>
    <w:rsid w:val="00A26241"/>
    <w:rsid w:val="00A32193"/>
    <w:rsid w:val="00A33B25"/>
    <w:rsid w:val="00A3668D"/>
    <w:rsid w:val="00A42F8A"/>
    <w:rsid w:val="00A503AA"/>
    <w:rsid w:val="00A53208"/>
    <w:rsid w:val="00A532BD"/>
    <w:rsid w:val="00A563EB"/>
    <w:rsid w:val="00A6527C"/>
    <w:rsid w:val="00A67375"/>
    <w:rsid w:val="00A717D6"/>
    <w:rsid w:val="00A761E2"/>
    <w:rsid w:val="00A87F36"/>
    <w:rsid w:val="00A967D6"/>
    <w:rsid w:val="00A97DC7"/>
    <w:rsid w:val="00AB25E7"/>
    <w:rsid w:val="00AB4A00"/>
    <w:rsid w:val="00AB7CBE"/>
    <w:rsid w:val="00AC47C9"/>
    <w:rsid w:val="00AD44E8"/>
    <w:rsid w:val="00AD58EB"/>
    <w:rsid w:val="00AF5BE3"/>
    <w:rsid w:val="00B02A13"/>
    <w:rsid w:val="00B24E7E"/>
    <w:rsid w:val="00B25E52"/>
    <w:rsid w:val="00B33098"/>
    <w:rsid w:val="00B34F66"/>
    <w:rsid w:val="00B36CCD"/>
    <w:rsid w:val="00B47AB1"/>
    <w:rsid w:val="00B50036"/>
    <w:rsid w:val="00B54609"/>
    <w:rsid w:val="00B575AA"/>
    <w:rsid w:val="00B7171F"/>
    <w:rsid w:val="00B7189B"/>
    <w:rsid w:val="00B75918"/>
    <w:rsid w:val="00B81683"/>
    <w:rsid w:val="00B96511"/>
    <w:rsid w:val="00BA2DD1"/>
    <w:rsid w:val="00BA3737"/>
    <w:rsid w:val="00BA4E11"/>
    <w:rsid w:val="00BB1FCB"/>
    <w:rsid w:val="00BB3617"/>
    <w:rsid w:val="00BB6816"/>
    <w:rsid w:val="00BC73DE"/>
    <w:rsid w:val="00BD3088"/>
    <w:rsid w:val="00BD39AE"/>
    <w:rsid w:val="00BE3B5F"/>
    <w:rsid w:val="00BE590F"/>
    <w:rsid w:val="00BF5B06"/>
    <w:rsid w:val="00C02407"/>
    <w:rsid w:val="00C02CC5"/>
    <w:rsid w:val="00C04F91"/>
    <w:rsid w:val="00C16E5C"/>
    <w:rsid w:val="00C25EC7"/>
    <w:rsid w:val="00C26D99"/>
    <w:rsid w:val="00C27722"/>
    <w:rsid w:val="00C3062A"/>
    <w:rsid w:val="00C30779"/>
    <w:rsid w:val="00C331E4"/>
    <w:rsid w:val="00C4709E"/>
    <w:rsid w:val="00C513D7"/>
    <w:rsid w:val="00C51551"/>
    <w:rsid w:val="00C51862"/>
    <w:rsid w:val="00C52B50"/>
    <w:rsid w:val="00C631C4"/>
    <w:rsid w:val="00C64258"/>
    <w:rsid w:val="00C81A09"/>
    <w:rsid w:val="00C92A15"/>
    <w:rsid w:val="00C96742"/>
    <w:rsid w:val="00CA2BE2"/>
    <w:rsid w:val="00CA2C1F"/>
    <w:rsid w:val="00CA600E"/>
    <w:rsid w:val="00CB2A6F"/>
    <w:rsid w:val="00CB672C"/>
    <w:rsid w:val="00CD1074"/>
    <w:rsid w:val="00CD366B"/>
    <w:rsid w:val="00CD53A1"/>
    <w:rsid w:val="00CD71B0"/>
    <w:rsid w:val="00D0086B"/>
    <w:rsid w:val="00D02666"/>
    <w:rsid w:val="00D036EA"/>
    <w:rsid w:val="00D041A9"/>
    <w:rsid w:val="00D06011"/>
    <w:rsid w:val="00D07E26"/>
    <w:rsid w:val="00D13EE2"/>
    <w:rsid w:val="00D155C7"/>
    <w:rsid w:val="00D24DA9"/>
    <w:rsid w:val="00D272C6"/>
    <w:rsid w:val="00D2762D"/>
    <w:rsid w:val="00D27740"/>
    <w:rsid w:val="00D3025A"/>
    <w:rsid w:val="00D30351"/>
    <w:rsid w:val="00D320BF"/>
    <w:rsid w:val="00D36DD5"/>
    <w:rsid w:val="00D36F7A"/>
    <w:rsid w:val="00D47FA6"/>
    <w:rsid w:val="00D525CF"/>
    <w:rsid w:val="00D57E53"/>
    <w:rsid w:val="00D61187"/>
    <w:rsid w:val="00D70BC0"/>
    <w:rsid w:val="00D71AFE"/>
    <w:rsid w:val="00D77E1D"/>
    <w:rsid w:val="00D869AA"/>
    <w:rsid w:val="00DA4208"/>
    <w:rsid w:val="00DB35CB"/>
    <w:rsid w:val="00DD5041"/>
    <w:rsid w:val="00DD5670"/>
    <w:rsid w:val="00DE231B"/>
    <w:rsid w:val="00DE585B"/>
    <w:rsid w:val="00E02F85"/>
    <w:rsid w:val="00E172C8"/>
    <w:rsid w:val="00E30AEA"/>
    <w:rsid w:val="00E32A6D"/>
    <w:rsid w:val="00E3498A"/>
    <w:rsid w:val="00E4773B"/>
    <w:rsid w:val="00E50726"/>
    <w:rsid w:val="00E55621"/>
    <w:rsid w:val="00E56CB1"/>
    <w:rsid w:val="00E60519"/>
    <w:rsid w:val="00E65A04"/>
    <w:rsid w:val="00E73CD0"/>
    <w:rsid w:val="00E77978"/>
    <w:rsid w:val="00E801E2"/>
    <w:rsid w:val="00E911D2"/>
    <w:rsid w:val="00E91F61"/>
    <w:rsid w:val="00EA160A"/>
    <w:rsid w:val="00EA478E"/>
    <w:rsid w:val="00EA5123"/>
    <w:rsid w:val="00EB190C"/>
    <w:rsid w:val="00EB6890"/>
    <w:rsid w:val="00EC20E6"/>
    <w:rsid w:val="00EC7FBB"/>
    <w:rsid w:val="00ED1D2F"/>
    <w:rsid w:val="00ED4695"/>
    <w:rsid w:val="00ED54F7"/>
    <w:rsid w:val="00EE08CD"/>
    <w:rsid w:val="00EE717F"/>
    <w:rsid w:val="00EF165C"/>
    <w:rsid w:val="00EF63FB"/>
    <w:rsid w:val="00F070D8"/>
    <w:rsid w:val="00F10D1B"/>
    <w:rsid w:val="00F10DC4"/>
    <w:rsid w:val="00F13A44"/>
    <w:rsid w:val="00F163F9"/>
    <w:rsid w:val="00F16B8A"/>
    <w:rsid w:val="00F178D9"/>
    <w:rsid w:val="00F21823"/>
    <w:rsid w:val="00F21ED5"/>
    <w:rsid w:val="00F23A8B"/>
    <w:rsid w:val="00F470D4"/>
    <w:rsid w:val="00F51AAB"/>
    <w:rsid w:val="00F5678F"/>
    <w:rsid w:val="00F600A9"/>
    <w:rsid w:val="00F62231"/>
    <w:rsid w:val="00F66054"/>
    <w:rsid w:val="00F71C4F"/>
    <w:rsid w:val="00F873F2"/>
    <w:rsid w:val="00FA06AC"/>
    <w:rsid w:val="00FA1E09"/>
    <w:rsid w:val="00FA5AF2"/>
    <w:rsid w:val="00FB108B"/>
    <w:rsid w:val="00FB1611"/>
    <w:rsid w:val="00FB5AD9"/>
    <w:rsid w:val="00FB5DF9"/>
    <w:rsid w:val="00FC134E"/>
    <w:rsid w:val="00FD235A"/>
    <w:rsid w:val="00FD336E"/>
    <w:rsid w:val="00FE37AE"/>
    <w:rsid w:val="00FE4667"/>
    <w:rsid w:val="00FE6499"/>
    <w:rsid w:val="00FE7A36"/>
    <w:rsid w:val="00FF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942C49-2CF7-45FE-9DB8-780912172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gliatabella1">
    <w:name w:val="Griglia tabella1"/>
    <w:basedOn w:val="TableNormal"/>
    <w:next w:val="TableGrid"/>
    <w:uiPriority w:val="39"/>
    <w:rsid w:val="00372BF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72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Santhosh Anandhan</dc:creator>
  <cp:keywords/>
  <dc:description/>
  <cp:lastModifiedBy>Santhosh Anandhan</cp:lastModifiedBy>
  <cp:revision>1</cp:revision>
  <dcterms:created xsi:type="dcterms:W3CDTF">2026-06-09T05:43:00Z</dcterms:created>
  <dcterms:modified xsi:type="dcterms:W3CDTF">2026-06-09T05:43:00Z</dcterms:modified>
</cp:coreProperties>
</file>