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39FBD3" w14:textId="7D35D787" w:rsidR="00AD6303" w:rsidRPr="00E806E0" w:rsidRDefault="00AD6303" w:rsidP="00AD6303">
      <w:pPr>
        <w:ind w:firstLine="0"/>
        <w:jc w:val="left"/>
        <w:rPr>
          <w:rFonts w:ascii="Times New Roman" w:hAnsi="Times New Roman" w:cs="Times New Roman"/>
          <w:color w:val="000000" w:themeColor="text1"/>
          <w:szCs w:val="24"/>
          <w:lang w:val="en-US"/>
        </w:rPr>
      </w:pPr>
      <w:r w:rsidRPr="00E806E0">
        <w:rPr>
          <w:rFonts w:ascii="Times New Roman" w:eastAsia="Times New Roman" w:hAnsi="Times New Roman" w:cs="Times New Roman"/>
          <w:b/>
          <w:bCs/>
          <w:color w:val="000000" w:themeColor="text1"/>
          <w:szCs w:val="24"/>
          <w:lang w:val="en-US"/>
        </w:rPr>
        <w:t xml:space="preserve">Table </w:t>
      </w:r>
      <w:r w:rsidR="00922F42" w:rsidRPr="00E806E0">
        <w:rPr>
          <w:rFonts w:ascii="Times New Roman" w:eastAsia="Times New Roman" w:hAnsi="Times New Roman" w:cs="Times New Roman"/>
          <w:b/>
          <w:bCs/>
          <w:color w:val="000000" w:themeColor="text1"/>
          <w:szCs w:val="24"/>
          <w:lang w:val="en-US"/>
        </w:rPr>
        <w:t>S</w:t>
      </w:r>
      <w:r w:rsidRPr="00E806E0">
        <w:rPr>
          <w:rFonts w:ascii="Times New Roman" w:eastAsia="Times New Roman" w:hAnsi="Times New Roman" w:cs="Times New Roman"/>
          <w:b/>
          <w:bCs/>
          <w:color w:val="000000" w:themeColor="text1"/>
          <w:szCs w:val="24"/>
          <w:lang w:val="en-US"/>
        </w:rPr>
        <w:t>1</w:t>
      </w:r>
      <w:r w:rsidRPr="00E806E0">
        <w:rPr>
          <w:rFonts w:ascii="Times New Roman" w:eastAsia="Times New Roman" w:hAnsi="Times New Roman" w:cs="Times New Roman"/>
          <w:color w:val="000000" w:themeColor="text1"/>
          <w:szCs w:val="24"/>
          <w:lang w:val="en-US"/>
        </w:rPr>
        <w:t>. Structuring training sessions throughout the Rehabilitation Program.</w:t>
      </w:r>
    </w:p>
    <w:tbl>
      <w:tblPr>
        <w:tblW w:w="1417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3969"/>
        <w:gridCol w:w="4678"/>
        <w:gridCol w:w="4394"/>
      </w:tblGrid>
      <w:tr w:rsidR="00E806E0" w:rsidRPr="00E806E0" w14:paraId="255D292C" w14:textId="77777777" w:rsidTr="00AE1F93">
        <w:trPr>
          <w:trHeight w:val="298"/>
        </w:trPr>
        <w:tc>
          <w:tcPr>
            <w:tcW w:w="1134" w:type="dxa"/>
            <w:vAlign w:val="center"/>
          </w:tcPr>
          <w:p w14:paraId="2A7ECE28" w14:textId="77777777" w:rsidR="00AD6303" w:rsidRPr="00E806E0" w:rsidRDefault="00AD6303" w:rsidP="00AE1F9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</w:pPr>
            <w:r w:rsidRPr="00E806E0"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  <w:t>Weeks</w:t>
            </w:r>
          </w:p>
        </w:tc>
        <w:tc>
          <w:tcPr>
            <w:tcW w:w="3969" w:type="dxa"/>
            <w:vAlign w:val="center"/>
          </w:tcPr>
          <w:p w14:paraId="5DB79BC9" w14:textId="77777777" w:rsidR="00AD6303" w:rsidRPr="00E806E0" w:rsidRDefault="00AD6303" w:rsidP="00AE1F9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</w:pPr>
            <w:r w:rsidRPr="00E806E0"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  <w:t>Balance Training</w:t>
            </w:r>
          </w:p>
        </w:tc>
        <w:tc>
          <w:tcPr>
            <w:tcW w:w="4678" w:type="dxa"/>
          </w:tcPr>
          <w:p w14:paraId="67E06441" w14:textId="77777777" w:rsidR="00AD6303" w:rsidRPr="00E806E0" w:rsidRDefault="00AD6303" w:rsidP="00AE1F9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</w:pPr>
            <w:r w:rsidRPr="00E806E0"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  <w:t>Aerobic Training</w:t>
            </w:r>
          </w:p>
        </w:tc>
        <w:tc>
          <w:tcPr>
            <w:tcW w:w="4394" w:type="dxa"/>
          </w:tcPr>
          <w:p w14:paraId="26730395" w14:textId="77777777" w:rsidR="00AD6303" w:rsidRPr="00E806E0" w:rsidRDefault="00AD6303" w:rsidP="00AE1F9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</w:pPr>
            <w:r w:rsidRPr="00E806E0"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  <w:t>Resistance Training</w:t>
            </w:r>
          </w:p>
        </w:tc>
      </w:tr>
      <w:tr w:rsidR="00E806E0" w:rsidRPr="00E806E0" w14:paraId="1FB11939" w14:textId="77777777" w:rsidTr="00AE1F93">
        <w:trPr>
          <w:trHeight w:val="460"/>
        </w:trPr>
        <w:tc>
          <w:tcPr>
            <w:tcW w:w="1134" w:type="dxa"/>
            <w:vAlign w:val="center"/>
          </w:tcPr>
          <w:p w14:paraId="02013FC0" w14:textId="77777777" w:rsidR="00AD6303" w:rsidRPr="00E806E0" w:rsidRDefault="00AD6303" w:rsidP="00AE1F9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Cs w:val="24"/>
              </w:rPr>
            </w:pPr>
            <w:r w:rsidRPr="00E806E0">
              <w:rPr>
                <w:rFonts w:ascii="Times New Roman" w:eastAsia="Times New Roman" w:hAnsi="Times New Roman" w:cs="Times New Roman"/>
                <w:bCs/>
                <w:color w:val="000000" w:themeColor="text1"/>
                <w:szCs w:val="24"/>
              </w:rPr>
              <w:t>1</w:t>
            </w:r>
          </w:p>
        </w:tc>
        <w:tc>
          <w:tcPr>
            <w:tcW w:w="13041" w:type="dxa"/>
            <w:gridSpan w:val="3"/>
            <w:vAlign w:val="center"/>
          </w:tcPr>
          <w:p w14:paraId="04F75629" w14:textId="77777777" w:rsidR="00AD6303" w:rsidRPr="00E806E0" w:rsidRDefault="00AD6303" w:rsidP="00AE1F9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Cs w:val="24"/>
                <w:lang w:val="en-US"/>
              </w:rPr>
            </w:pPr>
            <w:r w:rsidRPr="00E806E0">
              <w:rPr>
                <w:rFonts w:ascii="Times New Roman" w:eastAsia="Times New Roman" w:hAnsi="Times New Roman" w:cs="Times New Roman"/>
                <w:bCs/>
                <w:color w:val="000000" w:themeColor="text1"/>
                <w:szCs w:val="24"/>
                <w:lang w:val="en-US"/>
              </w:rPr>
              <w:t>Familiarization with the training model (focus on learning movements and perception of effort)</w:t>
            </w:r>
          </w:p>
        </w:tc>
      </w:tr>
      <w:tr w:rsidR="00E806E0" w:rsidRPr="00E806E0" w14:paraId="65AF3090" w14:textId="77777777" w:rsidTr="00AE1F93">
        <w:trPr>
          <w:trHeight w:val="2295"/>
        </w:trPr>
        <w:tc>
          <w:tcPr>
            <w:tcW w:w="1134" w:type="dxa"/>
            <w:vAlign w:val="center"/>
          </w:tcPr>
          <w:p w14:paraId="68215E43" w14:textId="77777777" w:rsidR="00AD6303" w:rsidRPr="00E806E0" w:rsidRDefault="00AD6303" w:rsidP="00AE1F93">
            <w:pPr>
              <w:pStyle w:val="ListParagraph"/>
              <w:spacing w:line="240" w:lineRule="auto"/>
              <w:ind w:left="170" w:hanging="17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Cs w:val="24"/>
              </w:rPr>
            </w:pPr>
            <w:r w:rsidRPr="00E806E0">
              <w:rPr>
                <w:rFonts w:ascii="Times New Roman" w:eastAsia="Times New Roman" w:hAnsi="Times New Roman" w:cs="Times New Roman"/>
                <w:bCs/>
                <w:color w:val="000000" w:themeColor="text1"/>
                <w:szCs w:val="24"/>
              </w:rPr>
              <w:t>- 6</w:t>
            </w:r>
          </w:p>
        </w:tc>
        <w:tc>
          <w:tcPr>
            <w:tcW w:w="3969" w:type="dxa"/>
            <w:vMerge w:val="restart"/>
            <w:vAlign w:val="center"/>
          </w:tcPr>
          <w:p w14:paraId="632A14A1" w14:textId="77777777" w:rsidR="00AD6303" w:rsidRPr="00E806E0" w:rsidRDefault="00AD6303" w:rsidP="00AE1F93">
            <w:pPr>
              <w:pStyle w:val="ListParagraph"/>
              <w:numPr>
                <w:ilvl w:val="0"/>
                <w:numId w:val="1"/>
              </w:num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3 exercises;</w:t>
            </w:r>
          </w:p>
          <w:p w14:paraId="60665661" w14:textId="77777777" w:rsidR="00AD6303" w:rsidRPr="00E806E0" w:rsidRDefault="00AD6303" w:rsidP="00AE1F93">
            <w:pPr>
              <w:pStyle w:val="ListParagraph"/>
              <w:numPr>
                <w:ilvl w:val="0"/>
                <w:numId w:val="1"/>
              </w:num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  <w:t>2 fixed postures and 1 simple displacement;</w:t>
            </w:r>
          </w:p>
          <w:p w14:paraId="510CA4AC" w14:textId="77777777" w:rsidR="00AD6303" w:rsidRPr="00E806E0" w:rsidRDefault="00AD6303" w:rsidP="00AE1F93">
            <w:pPr>
              <w:pStyle w:val="ListParagraph"/>
              <w:numPr>
                <w:ilvl w:val="0"/>
                <w:numId w:val="1"/>
              </w:num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3 series of 10 to 30 seconds;</w:t>
            </w:r>
          </w:p>
          <w:p w14:paraId="6D1647BA" w14:textId="77777777" w:rsidR="00AD6303" w:rsidRPr="00E806E0" w:rsidRDefault="00AD6303" w:rsidP="00AE1F93">
            <w:pPr>
              <w:pStyle w:val="ListParagraph"/>
              <w:numPr>
                <w:ilvl w:val="0"/>
                <w:numId w:val="1"/>
              </w:num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30 seconds break;</w:t>
            </w:r>
          </w:p>
          <w:p w14:paraId="0ACAA455" w14:textId="77777777" w:rsidR="00AD6303" w:rsidRPr="00E806E0" w:rsidRDefault="00AD6303" w:rsidP="00AE1F93">
            <w:pPr>
              <w:pStyle w:val="ListParagraph"/>
              <w:numPr>
                <w:ilvl w:val="0"/>
                <w:numId w:val="1"/>
              </w:num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  <w:t>degree of complexity progressing in different levels:</w:t>
            </w:r>
          </w:p>
          <w:p w14:paraId="1B0F0ACD" w14:textId="77777777" w:rsidR="00AD6303" w:rsidRPr="00E806E0" w:rsidRDefault="00AD6303" w:rsidP="00AE1F93">
            <w:pPr>
              <w:pStyle w:val="ListParagraph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</w:pPr>
          </w:p>
          <w:p w14:paraId="2B1E1D9C" w14:textId="77777777" w:rsidR="00AD6303" w:rsidRPr="00E806E0" w:rsidRDefault="00AD6303" w:rsidP="00AE1F93">
            <w:pPr>
              <w:spacing w:line="240" w:lineRule="auto"/>
              <w:ind w:left="360"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  <w:t>Fixed postures:</w:t>
            </w:r>
          </w:p>
          <w:p w14:paraId="3D62B9EC" w14:textId="77777777" w:rsidR="00AD6303" w:rsidRPr="00E806E0" w:rsidRDefault="00AD6303" w:rsidP="00AE1F9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  <w:t>Level 1 - support with both hands on the bar;</w:t>
            </w:r>
          </w:p>
          <w:p w14:paraId="0F835AD2" w14:textId="77777777" w:rsidR="00AD6303" w:rsidRPr="00E806E0" w:rsidRDefault="00AD6303" w:rsidP="00AE1F9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  <w:t>Level 2 - support of only one hand;</w:t>
            </w:r>
          </w:p>
          <w:p w14:paraId="3D3FD3BA" w14:textId="77777777" w:rsidR="00AD6303" w:rsidRPr="00E806E0" w:rsidRDefault="00AD6303" w:rsidP="00AE1F9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  <w:t>Level 3 - without hand support;</w:t>
            </w:r>
          </w:p>
          <w:p w14:paraId="54AA4B34" w14:textId="77777777" w:rsidR="00AD6303" w:rsidRPr="00E806E0" w:rsidRDefault="00AD6303" w:rsidP="00AE1F93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  <w:t>Level 4 - without hand support with eyes closed.</w:t>
            </w:r>
          </w:p>
        </w:tc>
        <w:tc>
          <w:tcPr>
            <w:tcW w:w="4678" w:type="dxa"/>
            <w:vAlign w:val="center"/>
          </w:tcPr>
          <w:p w14:paraId="2413F26B" w14:textId="77777777" w:rsidR="00AD6303" w:rsidRPr="00E806E0" w:rsidRDefault="00AD6303" w:rsidP="00AE1F93">
            <w:pPr>
              <w:pStyle w:val="ListParagraph"/>
              <w:numPr>
                <w:ilvl w:val="0"/>
                <w:numId w:val="2"/>
              </w:num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25 minutes of interval training</w:t>
            </w:r>
          </w:p>
          <w:p w14:paraId="2C47B542" w14:textId="77777777" w:rsidR="00AD6303" w:rsidRPr="00E806E0" w:rsidRDefault="00AD6303" w:rsidP="00AE1F93">
            <w:pPr>
              <w:spacing w:line="240" w:lineRule="auto"/>
              <w:ind w:left="360"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  <w:p w14:paraId="56017C44" w14:textId="77777777" w:rsidR="00AD6303" w:rsidRPr="00E806E0" w:rsidRDefault="00AD6303" w:rsidP="00AE1F9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  <w:t>Duration of blocks in two levels:</w:t>
            </w:r>
          </w:p>
          <w:p w14:paraId="12092DFF" w14:textId="77777777" w:rsidR="00AD6303" w:rsidRPr="00E806E0" w:rsidRDefault="00AD6303" w:rsidP="00AE1F9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  <w:t>Level 1 - 5 blocks of 3 minutes of aerobic exercise (RPE: 12/13) with passive intervals of 2 minutes;</w:t>
            </w:r>
          </w:p>
          <w:p w14:paraId="05365BB1" w14:textId="77777777" w:rsidR="00AD6303" w:rsidRPr="00E806E0" w:rsidRDefault="00AD6303" w:rsidP="00AE1F9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  <w:t>Level 2 - 3 blocks of 5 minutes of exercise (RPE: 12/13) with passive intervals of 3 minutes.</w:t>
            </w:r>
          </w:p>
        </w:tc>
        <w:tc>
          <w:tcPr>
            <w:tcW w:w="4394" w:type="dxa"/>
            <w:vAlign w:val="center"/>
          </w:tcPr>
          <w:p w14:paraId="116856CB" w14:textId="77777777" w:rsidR="00AD6303" w:rsidRPr="00E806E0" w:rsidRDefault="00AD6303" w:rsidP="00AE1F93">
            <w:pPr>
              <w:suppressLineNumbers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</w:pPr>
          </w:p>
          <w:p w14:paraId="6AD653C7" w14:textId="77777777" w:rsidR="00AD6303" w:rsidRPr="00E806E0" w:rsidRDefault="00AD6303" w:rsidP="00AE1F93">
            <w:pPr>
              <w:pStyle w:val="ListParagraph"/>
              <w:numPr>
                <w:ilvl w:val="0"/>
                <w:numId w:val="2"/>
              </w:numPr>
              <w:suppressLineNumbers/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  <w:t>5 exercises for large muscle groups: Sit and Stand. Rowing with elastic band. Step up and down. Bench press with elastic band. Plantar flexion)</w:t>
            </w:r>
          </w:p>
          <w:p w14:paraId="3B58F5AD" w14:textId="77777777" w:rsidR="00AD6303" w:rsidRPr="00E806E0" w:rsidRDefault="00AD6303" w:rsidP="00AE1F93">
            <w:pPr>
              <w:pStyle w:val="ListParagraph"/>
              <w:numPr>
                <w:ilvl w:val="0"/>
                <w:numId w:val="2"/>
              </w:numPr>
              <w:suppressLineNumbers/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  <w:t>2 sets of 10 to 15 repetitions at RPE 12/13;</w:t>
            </w:r>
          </w:p>
          <w:p w14:paraId="5ED5B567" w14:textId="77777777" w:rsidR="00AD6303" w:rsidRPr="00E806E0" w:rsidRDefault="00AD6303" w:rsidP="00AE1F93">
            <w:pPr>
              <w:pStyle w:val="ListParagraph"/>
              <w:numPr>
                <w:ilvl w:val="0"/>
                <w:numId w:val="2"/>
              </w:num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  <w:t>1-minute intervals between sets and exercises.</w:t>
            </w:r>
          </w:p>
          <w:p w14:paraId="479D1C2A" w14:textId="77777777" w:rsidR="00AD6303" w:rsidRPr="00E806E0" w:rsidRDefault="00AD6303" w:rsidP="00AE1F9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</w:pPr>
          </w:p>
          <w:p w14:paraId="714E58BD" w14:textId="77777777" w:rsidR="00AD6303" w:rsidRPr="00E806E0" w:rsidRDefault="00AD6303" w:rsidP="00AE1F9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/>
              </w:rPr>
            </w:pPr>
          </w:p>
        </w:tc>
      </w:tr>
      <w:tr w:rsidR="00E806E0" w:rsidRPr="00E806E0" w14:paraId="7136FEE0" w14:textId="77777777" w:rsidTr="00AE1F93">
        <w:trPr>
          <w:trHeight w:val="298"/>
        </w:trPr>
        <w:tc>
          <w:tcPr>
            <w:tcW w:w="1134" w:type="dxa"/>
            <w:vAlign w:val="center"/>
          </w:tcPr>
          <w:p w14:paraId="0CE6DF5B" w14:textId="77777777" w:rsidR="00AD6303" w:rsidRPr="00E806E0" w:rsidRDefault="00AD6303" w:rsidP="00AE1F9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Cs w:val="24"/>
              </w:rPr>
            </w:pPr>
            <w:r w:rsidRPr="00E806E0">
              <w:rPr>
                <w:rFonts w:ascii="Times New Roman" w:eastAsia="Times New Roman" w:hAnsi="Times New Roman" w:cs="Times New Roman"/>
                <w:bCs/>
                <w:color w:val="000000" w:themeColor="text1"/>
                <w:szCs w:val="24"/>
              </w:rPr>
              <w:t>7 - 11</w:t>
            </w:r>
          </w:p>
        </w:tc>
        <w:tc>
          <w:tcPr>
            <w:tcW w:w="3969" w:type="dxa"/>
            <w:vMerge/>
            <w:vAlign w:val="center"/>
          </w:tcPr>
          <w:p w14:paraId="10134DC6" w14:textId="77777777" w:rsidR="00AD6303" w:rsidRPr="00E806E0" w:rsidRDefault="00AD6303" w:rsidP="00AE1F93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4F9B62BF" w14:textId="77777777" w:rsidR="00AD6303" w:rsidRPr="00E806E0" w:rsidRDefault="00AD6303" w:rsidP="00AE1F93">
            <w:pPr>
              <w:pStyle w:val="ListParagraph"/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25 minutes of interval training</w:t>
            </w:r>
          </w:p>
          <w:p w14:paraId="17280D9C" w14:textId="77777777" w:rsidR="00AD6303" w:rsidRPr="00E806E0" w:rsidRDefault="00AD6303" w:rsidP="00AE1F93">
            <w:pPr>
              <w:pStyle w:val="ListParagraph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  <w:p w14:paraId="769ED370" w14:textId="77777777" w:rsidR="00AD6303" w:rsidRPr="00E806E0" w:rsidRDefault="00AD6303" w:rsidP="00AE1F9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  <w:t>Duration of blocks in two levels:</w:t>
            </w:r>
          </w:p>
          <w:p w14:paraId="4622719D" w14:textId="77777777" w:rsidR="00AD6303" w:rsidRPr="00E806E0" w:rsidRDefault="00AD6303" w:rsidP="00AE1F9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  <w:t>Level 1 - 5 blocks of 4 minutes of aerobic exercise (RPE: 12/13) with passive intervals of 2 minutes.</w:t>
            </w:r>
          </w:p>
          <w:p w14:paraId="326D6CAD" w14:textId="77777777" w:rsidR="00AD6303" w:rsidRPr="00E806E0" w:rsidRDefault="00AD6303" w:rsidP="00AE1F9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Cs w:val="24"/>
                <w:lang w:val="en-US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  <w:t>Level 2 - 4 blocks of 5 minutes of exercise (RPE: 12/13) with passive intervals of 2 minutes.</w:t>
            </w:r>
          </w:p>
        </w:tc>
        <w:tc>
          <w:tcPr>
            <w:tcW w:w="4394" w:type="dxa"/>
            <w:vAlign w:val="center"/>
          </w:tcPr>
          <w:p w14:paraId="2AEEFE1E" w14:textId="77777777" w:rsidR="00AD6303" w:rsidRPr="00E806E0" w:rsidRDefault="00AD6303" w:rsidP="00AE1F93">
            <w:pPr>
              <w:pStyle w:val="ListParagraph"/>
              <w:numPr>
                <w:ilvl w:val="0"/>
                <w:numId w:val="3"/>
              </w:numPr>
              <w:suppressLineNumbers/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  <w:t>5 exercises for large muscle groups;</w:t>
            </w:r>
          </w:p>
          <w:p w14:paraId="2D979380" w14:textId="77777777" w:rsidR="00AD6303" w:rsidRPr="00E806E0" w:rsidRDefault="00AD6303" w:rsidP="00AE1F93">
            <w:pPr>
              <w:pStyle w:val="ListParagraph"/>
              <w:numPr>
                <w:ilvl w:val="0"/>
                <w:numId w:val="3"/>
              </w:numPr>
              <w:suppressLineNumbers/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  <w:t>3 sets of 10 to 15 repetitions at RPE 12/13;</w:t>
            </w:r>
          </w:p>
          <w:p w14:paraId="2B025DBC" w14:textId="77777777" w:rsidR="00AD6303" w:rsidRPr="00E806E0" w:rsidRDefault="00AD6303" w:rsidP="00AE1F93">
            <w:pPr>
              <w:pStyle w:val="ListParagraph"/>
              <w:numPr>
                <w:ilvl w:val="0"/>
                <w:numId w:val="3"/>
              </w:num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/>
              </w:rPr>
              <w:t>1-minute intervals between sets and exercises.</w:t>
            </w:r>
          </w:p>
          <w:p w14:paraId="14D2ACAC" w14:textId="77777777" w:rsidR="00AD6303" w:rsidRPr="00E806E0" w:rsidRDefault="00AD6303" w:rsidP="00AE1F93">
            <w:pPr>
              <w:pStyle w:val="ListParagraph"/>
              <w:suppressLineNumbers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  <w:lang w:val="en-US"/>
              </w:rPr>
            </w:pPr>
          </w:p>
        </w:tc>
      </w:tr>
    </w:tbl>
    <w:p w14:paraId="65DCC0A6" w14:textId="77777777" w:rsidR="00AD6303" w:rsidRPr="00E806E0" w:rsidRDefault="00AD6303" w:rsidP="00AD6303">
      <w:pPr>
        <w:widowControl w:val="0"/>
        <w:spacing w:line="240" w:lineRule="auto"/>
        <w:ind w:firstLine="0"/>
        <w:jc w:val="left"/>
        <w:rPr>
          <w:rFonts w:eastAsia="Times New Roman"/>
          <w:bCs/>
          <w:color w:val="000000" w:themeColor="text1"/>
          <w:sz w:val="20"/>
          <w:szCs w:val="20"/>
          <w:lang w:val="en-US"/>
        </w:rPr>
      </w:pPr>
      <w:r w:rsidRPr="00E806E0">
        <w:rPr>
          <w:rFonts w:eastAsia="Times New Roman"/>
          <w:bCs/>
          <w:color w:val="000000" w:themeColor="text1"/>
          <w:sz w:val="20"/>
          <w:szCs w:val="20"/>
          <w:lang w:val="en-US"/>
        </w:rPr>
        <w:t>RPE: Rate of Perceived Exertion</w:t>
      </w:r>
    </w:p>
    <w:p w14:paraId="2A54DA58" w14:textId="77777777" w:rsidR="00B3787E" w:rsidRPr="00E806E0" w:rsidRDefault="00B3787E">
      <w:pPr>
        <w:rPr>
          <w:color w:val="000000" w:themeColor="text1"/>
          <w:lang w:val="en-US"/>
        </w:rPr>
      </w:pPr>
    </w:p>
    <w:p w14:paraId="03221EBC" w14:textId="77777777" w:rsidR="008A4C6E" w:rsidRPr="00E806E0" w:rsidRDefault="008A4C6E">
      <w:pPr>
        <w:rPr>
          <w:color w:val="000000" w:themeColor="text1"/>
          <w:lang w:val="en-US"/>
        </w:rPr>
      </w:pPr>
    </w:p>
    <w:p w14:paraId="204C2D95" w14:textId="77777777" w:rsidR="008A4C6E" w:rsidRPr="00E806E0" w:rsidRDefault="008A4C6E">
      <w:pPr>
        <w:rPr>
          <w:color w:val="000000" w:themeColor="text1"/>
          <w:lang w:val="en-US"/>
        </w:rPr>
      </w:pPr>
    </w:p>
    <w:p w14:paraId="46A534B8" w14:textId="24B333BB" w:rsidR="008A4C6E" w:rsidRPr="00E806E0" w:rsidRDefault="008A4C6E" w:rsidP="008A4C6E">
      <w:pPr>
        <w:spacing w:line="240" w:lineRule="auto"/>
        <w:ind w:firstLine="0"/>
        <w:jc w:val="left"/>
        <w:rPr>
          <w:color w:val="000000" w:themeColor="text1"/>
          <w:lang w:val="en-US"/>
        </w:rPr>
      </w:pPr>
    </w:p>
    <w:p w14:paraId="6644A5E0" w14:textId="77777777" w:rsidR="008A4C6E" w:rsidRPr="00E806E0" w:rsidRDefault="008A4C6E" w:rsidP="008A4C6E">
      <w:pPr>
        <w:rPr>
          <w:color w:val="000000" w:themeColor="text1"/>
          <w:sz w:val="22"/>
          <w:lang w:val="en-US"/>
        </w:rPr>
        <w:sectPr w:rsidR="008A4C6E" w:rsidRPr="00E806E0" w:rsidSect="00E806E0">
          <w:headerReference w:type="even" r:id="rId8"/>
          <w:headerReference w:type="default" r:id="rId9"/>
          <w:pgSz w:w="16838" w:h="11906" w:orient="landscape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1E07D719" w14:textId="0A5177FB" w:rsidR="00F954D8" w:rsidRPr="00E806E0" w:rsidRDefault="00F954D8" w:rsidP="00F954D8">
      <w:pPr>
        <w:suppressAutoHyphens/>
        <w:autoSpaceDN w:val="0"/>
        <w:spacing w:line="240" w:lineRule="auto"/>
        <w:ind w:right="340" w:firstLine="0"/>
        <w:jc w:val="left"/>
        <w:rPr>
          <w:rFonts w:ascii="Times New Roman" w:eastAsia="Times New Roman" w:hAnsi="Times New Roman" w:cs="Times New Roman"/>
          <w:color w:val="000000" w:themeColor="text1"/>
          <w:szCs w:val="24"/>
          <w:lang w:val="en-US" w:eastAsia="it-IT"/>
        </w:rPr>
      </w:pPr>
      <w:r w:rsidRPr="00E806E0">
        <w:rPr>
          <w:rFonts w:ascii="Times New Roman" w:eastAsia="Times New Roman" w:hAnsi="Times New Roman" w:cs="Times New Roman"/>
          <w:b/>
          <w:bCs/>
          <w:color w:val="000000" w:themeColor="text1"/>
          <w:szCs w:val="24"/>
          <w:lang w:val="it-IT" w:eastAsia="it-IT"/>
        </w:rPr>
        <w:lastRenderedPageBreak/>
        <w:t xml:space="preserve">Table </w:t>
      </w:r>
      <w:r w:rsidR="005B1191" w:rsidRPr="00E806E0">
        <w:rPr>
          <w:rFonts w:ascii="Times New Roman" w:eastAsia="Times New Roman" w:hAnsi="Times New Roman" w:cs="Times New Roman"/>
          <w:b/>
          <w:bCs/>
          <w:color w:val="000000" w:themeColor="text1"/>
          <w:szCs w:val="24"/>
          <w:lang w:val="it-IT" w:eastAsia="it-IT"/>
        </w:rPr>
        <w:t>S</w:t>
      </w:r>
      <w:r w:rsidRPr="00E806E0">
        <w:rPr>
          <w:rFonts w:ascii="Times New Roman" w:eastAsia="Times New Roman" w:hAnsi="Times New Roman" w:cs="Times New Roman"/>
          <w:b/>
          <w:bCs/>
          <w:color w:val="000000" w:themeColor="text1"/>
          <w:szCs w:val="24"/>
          <w:lang w:val="it-IT" w:eastAsia="it-IT"/>
        </w:rPr>
        <w:t>2</w:t>
      </w:r>
      <w:r w:rsidRPr="00E806E0">
        <w:rPr>
          <w:rFonts w:ascii="Times New Roman" w:eastAsia="Times New Roman" w:hAnsi="Times New Roman" w:cs="Times New Roman"/>
          <w:color w:val="000000" w:themeColor="text1"/>
          <w:szCs w:val="24"/>
          <w:lang w:val="it-IT" w:eastAsia="it-IT"/>
        </w:rPr>
        <w:t xml:space="preserve">. </w:t>
      </w:r>
      <w:r w:rsidRPr="00E806E0">
        <w:rPr>
          <w:rFonts w:ascii="Times New Roman" w:eastAsia="Times New Roman" w:hAnsi="Times New Roman" w:cs="Times New Roman"/>
          <w:color w:val="000000" w:themeColor="text1"/>
          <w:szCs w:val="24"/>
          <w:lang w:val="en-US" w:eastAsia="it-IT"/>
        </w:rPr>
        <w:t xml:space="preserve">Training loads and security parameters </w:t>
      </w:r>
      <w:r w:rsidRPr="00E806E0">
        <w:rPr>
          <w:rFonts w:ascii="Times New Roman" w:eastAsia="Times New Roman" w:hAnsi="Times New Roman" w:cs="Arial"/>
          <w:color w:val="000000" w:themeColor="text1"/>
          <w:szCs w:val="24"/>
          <w:lang w:val="en-US" w:eastAsia="it-IT"/>
        </w:rPr>
        <w:t xml:space="preserve">throughout the training program </w:t>
      </w:r>
      <w:r w:rsidRPr="00E806E0">
        <w:rPr>
          <w:rFonts w:ascii="Times New Roman" w:eastAsia="Times New Roman" w:hAnsi="Times New Roman" w:cs="Times New Roman"/>
          <w:color w:val="000000" w:themeColor="text1"/>
          <w:szCs w:val="24"/>
          <w:lang w:val="en-US" w:eastAsia="it-IT"/>
        </w:rPr>
        <w:t>(n = 20).</w:t>
      </w:r>
    </w:p>
    <w:tbl>
      <w:tblPr>
        <w:tblStyle w:val="ListaClara-nfase32"/>
        <w:tblW w:w="8366" w:type="dxa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20" w:firstRow="1" w:lastRow="0" w:firstColumn="0" w:lastColumn="0" w:noHBand="1" w:noVBand="1"/>
      </w:tblPr>
      <w:tblGrid>
        <w:gridCol w:w="4615"/>
        <w:gridCol w:w="3751"/>
      </w:tblGrid>
      <w:tr w:rsidR="00E806E0" w:rsidRPr="00E806E0" w14:paraId="5CFE3E20" w14:textId="77777777" w:rsidTr="008047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D39A99" w14:textId="77777777" w:rsidR="00F954D8" w:rsidRPr="00E806E0" w:rsidRDefault="00F954D8" w:rsidP="00F954D8">
            <w:pPr>
              <w:suppressAutoHyphens/>
              <w:autoSpaceDN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 w:val="0"/>
                <w:color w:val="000000" w:themeColor="text1"/>
                <w:lang w:val="it-IT" w:eastAsia="it-IT"/>
              </w:rPr>
            </w:pPr>
            <w:r w:rsidRPr="00E806E0">
              <w:rPr>
                <w:rFonts w:ascii="Times New Roman" w:eastAsia="Times New Roman" w:hAnsi="Times New Roman" w:cs="Times New Roman"/>
                <w:bCs w:val="0"/>
                <w:color w:val="000000" w:themeColor="text1"/>
                <w:lang w:val="it-IT" w:eastAsia="it-IT"/>
              </w:rPr>
              <w:t>P</w:t>
            </w:r>
            <w:r w:rsidRPr="00E806E0">
              <w:rPr>
                <w:rFonts w:ascii="Times New Roman" w:eastAsia="Times New Roman" w:hAnsi="Times New Roman" w:cs="Arial"/>
                <w:color w:val="000000" w:themeColor="text1"/>
                <w:lang w:val="it-IT" w:eastAsia="it-IT"/>
              </w:rPr>
              <w:t>arameters</w:t>
            </w:r>
          </w:p>
        </w:tc>
        <w:tc>
          <w:tcPr>
            <w:tcW w:w="3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DEA21F" w14:textId="77777777" w:rsidR="00F954D8" w:rsidRPr="00E806E0" w:rsidRDefault="00F954D8" w:rsidP="00F954D8">
            <w:pPr>
              <w:suppressAutoHyphens/>
              <w:autoSpaceDN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 w:val="0"/>
                <w:color w:val="000000" w:themeColor="text1"/>
                <w:lang w:val="it-IT" w:eastAsia="it-IT"/>
              </w:rPr>
            </w:pPr>
            <w:r w:rsidRPr="00E806E0">
              <w:rPr>
                <w:rFonts w:ascii="Times New Roman" w:eastAsia="Times New Roman" w:hAnsi="Times New Roman" w:cs="Times New Roman"/>
                <w:iCs/>
                <w:color w:val="000000" w:themeColor="text1"/>
                <w:lang w:val="it-IT" w:eastAsia="it-IT"/>
              </w:rPr>
              <w:t>Mean±SD</w:t>
            </w:r>
          </w:p>
        </w:tc>
      </w:tr>
      <w:tr w:rsidR="00E806E0" w:rsidRPr="00E806E0" w14:paraId="61DE801C" w14:textId="77777777" w:rsidTr="008047CF">
        <w:tc>
          <w:tcPr>
            <w:tcW w:w="4615" w:type="dxa"/>
          </w:tcPr>
          <w:p w14:paraId="20A23AAD" w14:textId="77777777" w:rsidR="00F954D8" w:rsidRPr="00E806E0" w:rsidRDefault="00F954D8" w:rsidP="00F954D8">
            <w:pPr>
              <w:suppressAutoHyphens/>
              <w:autoSpaceDN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lang w:val="it-IT" w:eastAsia="it-IT"/>
              </w:rPr>
            </w:pPr>
            <w:r w:rsidRPr="00E806E0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lang w:val="it-IT" w:eastAsia="it-IT"/>
              </w:rPr>
              <w:t xml:space="preserve">Load </w:t>
            </w:r>
          </w:p>
        </w:tc>
        <w:tc>
          <w:tcPr>
            <w:tcW w:w="3751" w:type="dxa"/>
          </w:tcPr>
          <w:p w14:paraId="0AB1CBA7" w14:textId="77777777" w:rsidR="00F954D8" w:rsidRPr="00E806E0" w:rsidRDefault="00F954D8" w:rsidP="00F954D8">
            <w:pPr>
              <w:suppressAutoHyphens/>
              <w:autoSpaceDN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it-IT" w:eastAsia="it-IT"/>
              </w:rPr>
            </w:pPr>
          </w:p>
        </w:tc>
      </w:tr>
      <w:tr w:rsidR="00E806E0" w:rsidRPr="00E806E0" w14:paraId="5662A42E" w14:textId="77777777" w:rsidTr="008047CF">
        <w:tc>
          <w:tcPr>
            <w:tcW w:w="4615" w:type="dxa"/>
          </w:tcPr>
          <w:p w14:paraId="2FE5A616" w14:textId="77777777" w:rsidR="00F954D8" w:rsidRPr="00E806E0" w:rsidRDefault="00F954D8" w:rsidP="00F954D8">
            <w:pPr>
              <w:suppressAutoHyphens/>
              <w:autoSpaceDN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it-IT" w:eastAsia="it-IT"/>
              </w:rPr>
            </w:pPr>
            <w:r w:rsidRPr="00E806E0">
              <w:rPr>
                <w:rFonts w:ascii="Times New Roman" w:eastAsia="Times New Roman" w:hAnsi="Times New Roman" w:cs="Times New Roman"/>
                <w:bCs/>
                <w:color w:val="000000" w:themeColor="text1"/>
                <w:lang w:val="it-IT" w:eastAsia="it-IT"/>
              </w:rPr>
              <w:t>Velocity (km/h)</w:t>
            </w:r>
          </w:p>
        </w:tc>
        <w:tc>
          <w:tcPr>
            <w:tcW w:w="3751" w:type="dxa"/>
          </w:tcPr>
          <w:p w14:paraId="182173C2" w14:textId="77777777" w:rsidR="00F954D8" w:rsidRPr="00E806E0" w:rsidRDefault="00F954D8" w:rsidP="00F954D8">
            <w:pPr>
              <w:suppressAutoHyphens/>
              <w:autoSpaceDN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it-IT" w:eastAsia="it-IT"/>
              </w:rPr>
            </w:pPr>
            <w:r w:rsidRPr="00E806E0">
              <w:rPr>
                <w:rFonts w:ascii="Times New Roman" w:eastAsia="Times New Roman" w:hAnsi="Times New Roman" w:cs="Times New Roman"/>
                <w:bCs/>
                <w:color w:val="000000" w:themeColor="text1"/>
                <w:lang w:val="it-IT" w:eastAsia="it-IT"/>
              </w:rPr>
              <w:t>4.5 ± 1.2</w:t>
            </w:r>
          </w:p>
        </w:tc>
      </w:tr>
      <w:tr w:rsidR="00E806E0" w:rsidRPr="00E806E0" w14:paraId="1FBDBB3A" w14:textId="77777777" w:rsidTr="008047CF">
        <w:tc>
          <w:tcPr>
            <w:tcW w:w="4615" w:type="dxa"/>
          </w:tcPr>
          <w:p w14:paraId="21415639" w14:textId="77777777" w:rsidR="00F954D8" w:rsidRPr="00E806E0" w:rsidRDefault="00F954D8" w:rsidP="00F954D8">
            <w:pPr>
              <w:suppressAutoHyphens/>
              <w:autoSpaceDN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it-IT" w:eastAsia="it-IT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lang w:val="it-IT" w:eastAsia="it-IT"/>
              </w:rPr>
              <w:t>Distance (km)</w:t>
            </w:r>
          </w:p>
        </w:tc>
        <w:tc>
          <w:tcPr>
            <w:tcW w:w="3751" w:type="dxa"/>
          </w:tcPr>
          <w:p w14:paraId="6295968E" w14:textId="77777777" w:rsidR="00F954D8" w:rsidRPr="00E806E0" w:rsidRDefault="00F954D8" w:rsidP="00F954D8">
            <w:pPr>
              <w:suppressAutoHyphens/>
              <w:autoSpaceDN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it-IT" w:eastAsia="it-IT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lang w:val="it-IT" w:eastAsia="it-IT"/>
              </w:rPr>
              <w:t xml:space="preserve">1.2 </w:t>
            </w:r>
            <w:r w:rsidRPr="00E806E0">
              <w:rPr>
                <w:rFonts w:ascii="Times New Roman" w:eastAsia="Times New Roman" w:hAnsi="Times New Roman" w:cs="Times New Roman"/>
                <w:bCs/>
                <w:color w:val="000000" w:themeColor="text1"/>
                <w:lang w:val="it-IT" w:eastAsia="it-IT"/>
              </w:rPr>
              <w:t>± 0.3</w:t>
            </w:r>
          </w:p>
        </w:tc>
      </w:tr>
      <w:tr w:rsidR="00E806E0" w:rsidRPr="00E806E0" w14:paraId="63DDBBF4" w14:textId="77777777" w:rsidTr="008047CF">
        <w:tc>
          <w:tcPr>
            <w:tcW w:w="4615" w:type="dxa"/>
          </w:tcPr>
          <w:p w14:paraId="4CC45A4A" w14:textId="77777777" w:rsidR="00F954D8" w:rsidRPr="00E806E0" w:rsidRDefault="00F954D8" w:rsidP="00F954D8">
            <w:pPr>
              <w:suppressAutoHyphens/>
              <w:autoSpaceDN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it-IT" w:eastAsia="it-IT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lang w:val="it-IT" w:eastAsia="it-IT"/>
              </w:rPr>
              <w:t>Repetitions – Sit and Stand</w:t>
            </w:r>
          </w:p>
        </w:tc>
        <w:tc>
          <w:tcPr>
            <w:tcW w:w="3751" w:type="dxa"/>
          </w:tcPr>
          <w:p w14:paraId="23C8A7E5" w14:textId="77777777" w:rsidR="00F954D8" w:rsidRPr="00E806E0" w:rsidRDefault="00F954D8" w:rsidP="00F954D8">
            <w:pPr>
              <w:suppressAutoHyphens/>
              <w:autoSpaceDN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it-IT" w:eastAsia="it-IT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lang w:val="it-IT" w:eastAsia="it-IT"/>
              </w:rPr>
              <w:t xml:space="preserve">14 </w:t>
            </w:r>
            <w:r w:rsidRPr="00E806E0">
              <w:rPr>
                <w:rFonts w:ascii="Times New Roman" w:eastAsia="Times New Roman" w:hAnsi="Times New Roman" w:cs="Times New Roman"/>
                <w:bCs/>
                <w:color w:val="000000" w:themeColor="text1"/>
                <w:lang w:val="it-IT" w:eastAsia="it-IT"/>
              </w:rPr>
              <w:t>± 1</w:t>
            </w:r>
          </w:p>
        </w:tc>
      </w:tr>
      <w:tr w:rsidR="00E806E0" w:rsidRPr="00E806E0" w14:paraId="6593A331" w14:textId="77777777" w:rsidTr="008047CF">
        <w:tc>
          <w:tcPr>
            <w:tcW w:w="4615" w:type="dxa"/>
          </w:tcPr>
          <w:p w14:paraId="4C806F95" w14:textId="77777777" w:rsidR="00F954D8" w:rsidRPr="00E806E0" w:rsidRDefault="00F954D8" w:rsidP="00F954D8">
            <w:pPr>
              <w:suppressAutoHyphens/>
              <w:autoSpaceDN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it-IT" w:eastAsia="it-IT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lang w:val="it-IT" w:eastAsia="it-IT"/>
              </w:rPr>
              <w:t>RPE – session (a.u)</w:t>
            </w:r>
          </w:p>
        </w:tc>
        <w:tc>
          <w:tcPr>
            <w:tcW w:w="3751" w:type="dxa"/>
          </w:tcPr>
          <w:p w14:paraId="76458F34" w14:textId="77777777" w:rsidR="00F954D8" w:rsidRPr="00E806E0" w:rsidRDefault="00F954D8" w:rsidP="00F954D8">
            <w:pPr>
              <w:suppressAutoHyphens/>
              <w:autoSpaceDN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it-IT" w:eastAsia="it-IT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lang w:val="it-IT" w:eastAsia="it-IT"/>
              </w:rPr>
              <w:t xml:space="preserve">3.2 </w:t>
            </w:r>
            <w:r w:rsidRPr="00E806E0">
              <w:rPr>
                <w:rFonts w:ascii="Times New Roman" w:eastAsia="Times New Roman" w:hAnsi="Times New Roman" w:cs="Times New Roman"/>
                <w:bCs/>
                <w:color w:val="000000" w:themeColor="text1"/>
                <w:lang w:val="it-IT" w:eastAsia="it-IT"/>
              </w:rPr>
              <w:t>± 0.9</w:t>
            </w:r>
          </w:p>
        </w:tc>
      </w:tr>
      <w:tr w:rsidR="00E806E0" w:rsidRPr="00E806E0" w14:paraId="42E5E290" w14:textId="77777777" w:rsidTr="008047CF">
        <w:tc>
          <w:tcPr>
            <w:tcW w:w="4615" w:type="dxa"/>
          </w:tcPr>
          <w:p w14:paraId="6BE87ED1" w14:textId="77777777" w:rsidR="00F954D8" w:rsidRPr="00E806E0" w:rsidRDefault="00F954D8" w:rsidP="00F954D8">
            <w:pPr>
              <w:suppressAutoHyphens/>
              <w:autoSpaceDN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it-IT" w:eastAsia="it-IT"/>
              </w:rPr>
            </w:pPr>
          </w:p>
          <w:p w14:paraId="515606F8" w14:textId="77777777" w:rsidR="00F954D8" w:rsidRPr="00E806E0" w:rsidRDefault="00F954D8" w:rsidP="00F954D8">
            <w:pPr>
              <w:suppressAutoHyphens/>
              <w:autoSpaceDN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it-IT" w:eastAsia="it-IT"/>
              </w:rPr>
            </w:pPr>
            <w:r w:rsidRPr="00E806E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it-IT" w:eastAsia="it-IT"/>
              </w:rPr>
              <w:t>Safety – Pre-session</w:t>
            </w:r>
          </w:p>
        </w:tc>
        <w:tc>
          <w:tcPr>
            <w:tcW w:w="3751" w:type="dxa"/>
          </w:tcPr>
          <w:p w14:paraId="6C56396C" w14:textId="77777777" w:rsidR="00F954D8" w:rsidRPr="00E806E0" w:rsidRDefault="00F954D8" w:rsidP="00F954D8">
            <w:pPr>
              <w:suppressAutoHyphens/>
              <w:autoSpaceDN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it-IT" w:eastAsia="it-IT"/>
              </w:rPr>
            </w:pPr>
          </w:p>
        </w:tc>
      </w:tr>
      <w:tr w:rsidR="00E806E0" w:rsidRPr="00E806E0" w14:paraId="518B3080" w14:textId="77777777" w:rsidTr="008047CF">
        <w:tc>
          <w:tcPr>
            <w:tcW w:w="4615" w:type="dxa"/>
          </w:tcPr>
          <w:p w14:paraId="083191BF" w14:textId="77777777" w:rsidR="00F954D8" w:rsidRPr="00E806E0" w:rsidRDefault="00F954D8" w:rsidP="00F954D8">
            <w:pPr>
              <w:suppressAutoHyphens/>
              <w:autoSpaceDN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it-IT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lang w:val="en-US" w:eastAsia="it-IT"/>
              </w:rPr>
              <w:t>Systolic blood pressure (mm Hg)</w:t>
            </w:r>
          </w:p>
        </w:tc>
        <w:tc>
          <w:tcPr>
            <w:tcW w:w="3751" w:type="dxa"/>
          </w:tcPr>
          <w:p w14:paraId="70B10149" w14:textId="77777777" w:rsidR="00F954D8" w:rsidRPr="00E806E0" w:rsidRDefault="00F954D8" w:rsidP="00F954D8">
            <w:pPr>
              <w:suppressAutoHyphens/>
              <w:autoSpaceDN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it-IT" w:eastAsia="it-IT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lang w:val="it-IT" w:eastAsia="it-IT"/>
              </w:rPr>
              <w:t xml:space="preserve">124.0 </w:t>
            </w:r>
            <w:r w:rsidRPr="00E806E0">
              <w:rPr>
                <w:rFonts w:ascii="Times New Roman" w:eastAsia="Times New Roman" w:hAnsi="Times New Roman" w:cs="Times New Roman"/>
                <w:bCs/>
                <w:color w:val="000000" w:themeColor="text1"/>
                <w:lang w:val="it-IT" w:eastAsia="it-IT"/>
              </w:rPr>
              <w:t>± 12.4</w:t>
            </w:r>
          </w:p>
        </w:tc>
      </w:tr>
      <w:tr w:rsidR="00E806E0" w:rsidRPr="00E806E0" w14:paraId="661D8306" w14:textId="77777777" w:rsidTr="008047CF">
        <w:tc>
          <w:tcPr>
            <w:tcW w:w="4615" w:type="dxa"/>
            <w:tcBorders>
              <w:bottom w:val="nil"/>
            </w:tcBorders>
          </w:tcPr>
          <w:p w14:paraId="63D07664" w14:textId="77777777" w:rsidR="00F954D8" w:rsidRPr="00E806E0" w:rsidRDefault="00F954D8" w:rsidP="00F954D8">
            <w:pPr>
              <w:suppressAutoHyphens/>
              <w:autoSpaceDN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it-IT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lang w:val="en-US" w:eastAsia="it-IT"/>
              </w:rPr>
              <w:t>Diastolic blood pressure (mm Hg)</w:t>
            </w:r>
          </w:p>
        </w:tc>
        <w:tc>
          <w:tcPr>
            <w:tcW w:w="3751" w:type="dxa"/>
            <w:tcBorders>
              <w:bottom w:val="nil"/>
            </w:tcBorders>
          </w:tcPr>
          <w:p w14:paraId="4F5AB6A4" w14:textId="77777777" w:rsidR="00F954D8" w:rsidRPr="00E806E0" w:rsidRDefault="00F954D8" w:rsidP="00F954D8">
            <w:pPr>
              <w:suppressAutoHyphens/>
              <w:autoSpaceDN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it-IT" w:eastAsia="it-IT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lang w:val="it-IT" w:eastAsia="it-IT"/>
              </w:rPr>
              <w:t xml:space="preserve">78.3 </w:t>
            </w:r>
            <w:r w:rsidRPr="00E806E0">
              <w:rPr>
                <w:rFonts w:ascii="Times New Roman" w:eastAsia="Times New Roman" w:hAnsi="Times New Roman" w:cs="Times New Roman"/>
                <w:bCs/>
                <w:color w:val="000000" w:themeColor="text1"/>
                <w:lang w:val="it-IT" w:eastAsia="it-IT"/>
              </w:rPr>
              <w:t>± 9.3</w:t>
            </w:r>
          </w:p>
        </w:tc>
      </w:tr>
      <w:tr w:rsidR="00E806E0" w:rsidRPr="00E806E0" w14:paraId="657A75FA" w14:textId="77777777" w:rsidTr="008047CF">
        <w:tc>
          <w:tcPr>
            <w:tcW w:w="4615" w:type="dxa"/>
            <w:tcBorders>
              <w:top w:val="nil"/>
              <w:bottom w:val="nil"/>
            </w:tcBorders>
          </w:tcPr>
          <w:p w14:paraId="15386808" w14:textId="77777777" w:rsidR="00F954D8" w:rsidRPr="00E806E0" w:rsidRDefault="00F954D8" w:rsidP="00F954D8">
            <w:pPr>
              <w:suppressAutoHyphens/>
              <w:autoSpaceDN w:val="0"/>
              <w:spacing w:after="24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it-IT" w:eastAsia="it-IT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lang w:val="it-IT" w:eastAsia="it-IT"/>
              </w:rPr>
              <w:t>SpO2 (%)</w:t>
            </w:r>
          </w:p>
        </w:tc>
        <w:tc>
          <w:tcPr>
            <w:tcW w:w="3751" w:type="dxa"/>
            <w:tcBorders>
              <w:top w:val="nil"/>
              <w:bottom w:val="nil"/>
            </w:tcBorders>
          </w:tcPr>
          <w:p w14:paraId="2FFBAF22" w14:textId="77777777" w:rsidR="00F954D8" w:rsidRPr="00E806E0" w:rsidRDefault="00F954D8" w:rsidP="00F954D8">
            <w:pPr>
              <w:suppressAutoHyphens/>
              <w:autoSpaceDN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it-IT" w:eastAsia="it-IT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lang w:val="it-IT" w:eastAsia="it-IT"/>
              </w:rPr>
              <w:t xml:space="preserve">96.6 </w:t>
            </w:r>
            <w:r w:rsidRPr="00E806E0">
              <w:rPr>
                <w:rFonts w:ascii="Times New Roman" w:eastAsia="Times New Roman" w:hAnsi="Times New Roman" w:cs="Times New Roman"/>
                <w:bCs/>
                <w:color w:val="000000" w:themeColor="text1"/>
                <w:lang w:val="it-IT" w:eastAsia="it-IT"/>
              </w:rPr>
              <w:t>± 1.2</w:t>
            </w:r>
          </w:p>
        </w:tc>
      </w:tr>
      <w:tr w:rsidR="00E806E0" w:rsidRPr="00E806E0" w14:paraId="7F7F8464" w14:textId="77777777" w:rsidTr="008047CF">
        <w:tc>
          <w:tcPr>
            <w:tcW w:w="4615" w:type="dxa"/>
            <w:tcBorders>
              <w:top w:val="nil"/>
              <w:bottom w:val="nil"/>
            </w:tcBorders>
          </w:tcPr>
          <w:p w14:paraId="260CF4BA" w14:textId="77777777" w:rsidR="00F954D8" w:rsidRPr="00E806E0" w:rsidRDefault="00F954D8" w:rsidP="00F954D8">
            <w:pPr>
              <w:suppressAutoHyphens/>
              <w:autoSpaceDN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it-IT" w:eastAsia="it-IT"/>
              </w:rPr>
            </w:pPr>
            <w:r w:rsidRPr="00E806E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it-IT" w:eastAsia="it-IT"/>
              </w:rPr>
              <w:t>Adherence</w:t>
            </w:r>
          </w:p>
        </w:tc>
        <w:tc>
          <w:tcPr>
            <w:tcW w:w="3751" w:type="dxa"/>
            <w:tcBorders>
              <w:top w:val="nil"/>
              <w:bottom w:val="nil"/>
            </w:tcBorders>
          </w:tcPr>
          <w:p w14:paraId="5A15558A" w14:textId="77777777" w:rsidR="00F954D8" w:rsidRPr="00E806E0" w:rsidRDefault="00F954D8" w:rsidP="00F954D8">
            <w:pPr>
              <w:suppressAutoHyphens/>
              <w:autoSpaceDN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it-IT" w:eastAsia="it-IT"/>
              </w:rPr>
            </w:pPr>
          </w:p>
        </w:tc>
      </w:tr>
      <w:tr w:rsidR="00E806E0" w:rsidRPr="00E806E0" w14:paraId="46027AAD" w14:textId="77777777" w:rsidTr="008047CF">
        <w:tc>
          <w:tcPr>
            <w:tcW w:w="4615" w:type="dxa"/>
            <w:tcBorders>
              <w:top w:val="nil"/>
              <w:bottom w:val="single" w:sz="4" w:space="0" w:color="auto"/>
            </w:tcBorders>
          </w:tcPr>
          <w:p w14:paraId="5A06FACB" w14:textId="77777777" w:rsidR="00F954D8" w:rsidRPr="00E806E0" w:rsidRDefault="00F954D8" w:rsidP="00F954D8">
            <w:pPr>
              <w:suppressAutoHyphens/>
              <w:autoSpaceDN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it-IT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lang w:val="en-US" w:eastAsia="it-IT"/>
              </w:rPr>
              <w:t>Affective response (pleasure/displeasure)</w:t>
            </w:r>
          </w:p>
        </w:tc>
        <w:tc>
          <w:tcPr>
            <w:tcW w:w="3751" w:type="dxa"/>
            <w:tcBorders>
              <w:top w:val="nil"/>
              <w:bottom w:val="single" w:sz="4" w:space="0" w:color="auto"/>
            </w:tcBorders>
          </w:tcPr>
          <w:p w14:paraId="58D0315C" w14:textId="77777777" w:rsidR="00F954D8" w:rsidRPr="00E806E0" w:rsidRDefault="00F954D8" w:rsidP="00F954D8">
            <w:pPr>
              <w:suppressAutoHyphens/>
              <w:autoSpaceDN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it-IT"/>
              </w:rPr>
            </w:pPr>
            <w:r w:rsidRPr="00E806E0">
              <w:rPr>
                <w:rFonts w:ascii="Times New Roman" w:eastAsia="Times New Roman" w:hAnsi="Times New Roman" w:cs="Times New Roman"/>
                <w:color w:val="000000" w:themeColor="text1"/>
                <w:lang w:val="en-US" w:eastAsia="it-IT"/>
              </w:rPr>
              <w:t xml:space="preserve">4.00 </w:t>
            </w:r>
            <w:r w:rsidRPr="00E806E0">
              <w:rPr>
                <w:rFonts w:ascii="Times New Roman" w:eastAsia="Times New Roman" w:hAnsi="Times New Roman" w:cs="Times New Roman"/>
                <w:bCs/>
                <w:color w:val="000000" w:themeColor="text1"/>
                <w:lang w:val="it-IT" w:eastAsia="it-IT"/>
              </w:rPr>
              <w:t>± 1.5</w:t>
            </w:r>
          </w:p>
        </w:tc>
      </w:tr>
    </w:tbl>
    <w:p w14:paraId="181F6B08" w14:textId="77777777" w:rsidR="00F954D8" w:rsidRPr="00E806E0" w:rsidRDefault="00F954D8" w:rsidP="00F954D8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color w:val="000000" w:themeColor="text1"/>
          <w:sz w:val="22"/>
          <w:szCs w:val="24"/>
          <w:lang w:val="en-US" w:eastAsia="it-IT"/>
        </w:rPr>
        <w:sectPr w:rsidR="00F954D8" w:rsidRPr="00E806E0" w:rsidSect="00E806E0">
          <w:headerReference w:type="even" r:id="rId10"/>
          <w:headerReference w:type="default" r:id="rId11"/>
          <w:pgSz w:w="11906" w:h="16838"/>
          <w:pgMar w:top="1418" w:right="1418" w:bottom="1418" w:left="1418" w:header="709" w:footer="709" w:gutter="0"/>
          <w:pgNumType w:start="1"/>
          <w:cols w:space="708"/>
          <w:docGrid w:linePitch="360"/>
        </w:sectPr>
      </w:pPr>
      <w:r w:rsidRPr="00E806E0">
        <w:rPr>
          <w:rFonts w:ascii="Times New Roman" w:eastAsia="Times New Roman" w:hAnsi="Times New Roman" w:cs="Times New Roman"/>
          <w:iCs/>
          <w:color w:val="000000" w:themeColor="text1"/>
          <w:sz w:val="22"/>
          <w:szCs w:val="24"/>
          <w:lang w:val="en-US" w:eastAsia="it-IT"/>
        </w:rPr>
        <w:t xml:space="preserve">Data are presented as </w:t>
      </w:r>
      <w:r w:rsidRPr="00E806E0">
        <w:rPr>
          <w:rFonts w:ascii="Times New Roman" w:eastAsia="Times New Roman" w:hAnsi="Times New Roman" w:cs="Times New Roman"/>
          <w:iCs/>
          <w:color w:val="000000" w:themeColor="text1"/>
          <w:sz w:val="22"/>
          <w:szCs w:val="24"/>
          <w:lang w:val="it-IT" w:eastAsia="it-IT"/>
        </w:rPr>
        <w:t>mean and standard deviation</w:t>
      </w:r>
      <w:r w:rsidRPr="00E806E0">
        <w:rPr>
          <w:rFonts w:ascii="Times New Roman" w:eastAsia="Times New Roman" w:hAnsi="Times New Roman" w:cs="Times New Roman"/>
          <w:iCs/>
          <w:color w:val="000000" w:themeColor="text1"/>
          <w:sz w:val="22"/>
          <w:szCs w:val="24"/>
          <w:lang w:val="en-US" w:eastAsia="it-IT"/>
        </w:rPr>
        <w:t xml:space="preserve">; </w:t>
      </w:r>
      <w:proofErr w:type="spellStart"/>
      <w:r w:rsidRPr="00E806E0">
        <w:rPr>
          <w:rFonts w:ascii="Times New Roman" w:eastAsia="Times New Roman" w:hAnsi="Times New Roman" w:cs="Times New Roman"/>
          <w:iCs/>
          <w:color w:val="000000" w:themeColor="text1"/>
          <w:sz w:val="22"/>
          <w:szCs w:val="24"/>
          <w:lang w:val="en-US" w:eastAsia="it-IT"/>
        </w:rPr>
        <w:t>a.u</w:t>
      </w:r>
      <w:proofErr w:type="spellEnd"/>
      <w:r w:rsidRPr="00E806E0">
        <w:rPr>
          <w:rFonts w:ascii="Times New Roman" w:eastAsia="Times New Roman" w:hAnsi="Times New Roman" w:cs="Times New Roman"/>
          <w:iCs/>
          <w:color w:val="000000" w:themeColor="text1"/>
          <w:sz w:val="22"/>
          <w:szCs w:val="24"/>
          <w:lang w:val="en-US" w:eastAsia="it-IT"/>
        </w:rPr>
        <w:t>.: arbitrary units</w:t>
      </w:r>
      <w:proofErr w:type="gramStart"/>
      <w:r w:rsidRPr="00E806E0">
        <w:rPr>
          <w:rFonts w:ascii="Times New Roman" w:eastAsia="Times New Roman" w:hAnsi="Times New Roman" w:cs="Times New Roman"/>
          <w:iCs/>
          <w:color w:val="000000" w:themeColor="text1"/>
          <w:sz w:val="22"/>
          <w:szCs w:val="24"/>
          <w:lang w:val="en-US" w:eastAsia="it-IT"/>
        </w:rPr>
        <w:t>;  RPE</w:t>
      </w:r>
      <w:proofErr w:type="gramEnd"/>
      <w:r w:rsidRPr="00E806E0">
        <w:rPr>
          <w:rFonts w:ascii="Times New Roman" w:eastAsia="Times New Roman" w:hAnsi="Times New Roman" w:cs="Times New Roman"/>
          <w:iCs/>
          <w:color w:val="000000" w:themeColor="text1"/>
          <w:sz w:val="22"/>
          <w:szCs w:val="24"/>
          <w:lang w:val="en-US" w:eastAsia="it-IT"/>
        </w:rPr>
        <w:t xml:space="preserve">: Rate of Perceived Exertion; </w:t>
      </w:r>
      <w:r w:rsidRPr="00E806E0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  <w:lang w:val="en-US" w:eastAsia="it-IT"/>
        </w:rPr>
        <w:t>SpO2= peripheral oxygen saturation.</w:t>
      </w:r>
    </w:p>
    <w:p w14:paraId="3304DAB5" w14:textId="18DE0E19" w:rsidR="008A4C6E" w:rsidRPr="00E806E0" w:rsidRDefault="008A4C6E" w:rsidP="008A4C6E">
      <w:pPr>
        <w:rPr>
          <w:color w:val="000000" w:themeColor="text1"/>
          <w:sz w:val="22"/>
          <w:lang w:val="en-US"/>
        </w:rPr>
        <w:sectPr w:rsidR="008A4C6E" w:rsidRPr="00E806E0" w:rsidSect="00E806E0">
          <w:headerReference w:type="even" r:id="rId12"/>
          <w:headerReference w:type="default" r:id="rId13"/>
          <w:type w:val="continuous"/>
          <w:pgSz w:w="11906" w:h="16838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0AB26BBF" w14:textId="77777777" w:rsidR="00FE0C3F" w:rsidRPr="00E806E0" w:rsidRDefault="00FE0C3F">
      <w:pPr>
        <w:rPr>
          <w:color w:val="000000" w:themeColor="text1"/>
          <w:lang w:val="en-US"/>
        </w:rPr>
      </w:pPr>
    </w:p>
    <w:p w14:paraId="10381409" w14:textId="77777777" w:rsidR="00FE0C3F" w:rsidRPr="00E806E0" w:rsidRDefault="00FE0C3F">
      <w:pPr>
        <w:rPr>
          <w:color w:val="000000" w:themeColor="text1"/>
          <w:lang w:val="en-US"/>
        </w:rPr>
      </w:pPr>
    </w:p>
    <w:tbl>
      <w:tblPr>
        <w:tblStyle w:val="Style2"/>
        <w:tblW w:w="16869" w:type="dxa"/>
        <w:tblInd w:w="-1418" w:type="dxa"/>
        <w:tblLayout w:type="fixed"/>
        <w:tblLook w:val="0400" w:firstRow="0" w:lastRow="0" w:firstColumn="0" w:lastColumn="0" w:noHBand="0" w:noVBand="1"/>
      </w:tblPr>
      <w:tblGrid>
        <w:gridCol w:w="1560"/>
        <w:gridCol w:w="2694"/>
        <w:gridCol w:w="850"/>
        <w:gridCol w:w="10348"/>
        <w:gridCol w:w="1417"/>
      </w:tblGrid>
      <w:tr w:rsidR="00E806E0" w:rsidRPr="00E806E0" w14:paraId="04F3199F" w14:textId="77777777" w:rsidTr="008047CF">
        <w:trPr>
          <w:trHeight w:val="276"/>
        </w:trPr>
        <w:tc>
          <w:tcPr>
            <w:tcW w:w="1560" w:type="dxa"/>
          </w:tcPr>
          <w:p w14:paraId="7511B871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b/>
                <w:color w:val="000000" w:themeColor="text1"/>
                <w:szCs w:val="24"/>
                <w:lang w:val="en-GB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43DDBD97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b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b/>
                <w:color w:val="000000" w:themeColor="text1"/>
                <w:szCs w:val="24"/>
                <w:lang w:val="en-GB"/>
              </w:rPr>
              <w:t>Section/topic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CBF220C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b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b/>
                <w:color w:val="000000" w:themeColor="text1"/>
                <w:szCs w:val="24"/>
                <w:lang w:val="en-GB"/>
              </w:rPr>
              <w:t>No</w:t>
            </w:r>
            <w:bookmarkStart w:id="0" w:name="_GoBack"/>
            <w:bookmarkEnd w:id="0"/>
          </w:p>
        </w:tc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</w:tcPr>
          <w:p w14:paraId="3B89F82F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b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b/>
                <w:color w:val="000000" w:themeColor="text1"/>
                <w:szCs w:val="24"/>
                <w:lang w:val="en-GB"/>
              </w:rPr>
              <w:t>CONSORT 2025 checklist item description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702E40A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Calibri" w:hAnsi="Times New Roman"/>
                <w:b/>
                <w:color w:val="000000" w:themeColor="text1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b/>
                <w:color w:val="000000" w:themeColor="text1"/>
                <w:szCs w:val="24"/>
                <w:lang w:val="en-GB"/>
              </w:rPr>
              <w:t>Reported on page no.</w:t>
            </w:r>
          </w:p>
        </w:tc>
      </w:tr>
      <w:tr w:rsidR="00E806E0" w:rsidRPr="00E806E0" w14:paraId="69492CB2" w14:textId="77777777" w:rsidTr="008047CF">
        <w:trPr>
          <w:trHeight w:val="268"/>
        </w:trPr>
        <w:tc>
          <w:tcPr>
            <w:tcW w:w="1560" w:type="dxa"/>
          </w:tcPr>
          <w:p w14:paraId="7D2A8EE6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b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auto"/>
            </w:tcBorders>
          </w:tcPr>
          <w:p w14:paraId="64B8F8DA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b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b/>
                <w:color w:val="000000" w:themeColor="text1"/>
                <w:sz w:val="20"/>
                <w:szCs w:val="24"/>
                <w:lang w:val="en-GB"/>
              </w:rPr>
              <w:t>Title and abstract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72FA13B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b/>
                <w:color w:val="000000" w:themeColor="text1"/>
                <w:sz w:val="20"/>
                <w:szCs w:val="24"/>
                <w:lang w:val="en-GB"/>
              </w:rPr>
            </w:pPr>
          </w:p>
        </w:tc>
      </w:tr>
      <w:tr w:rsidR="00E806E0" w:rsidRPr="00E806E0" w14:paraId="233BA9EA" w14:textId="77777777" w:rsidTr="008047CF">
        <w:trPr>
          <w:trHeight w:val="276"/>
        </w:trPr>
        <w:tc>
          <w:tcPr>
            <w:tcW w:w="1560" w:type="dxa"/>
          </w:tcPr>
          <w:p w14:paraId="3744A7D1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  <w:vMerge w:val="restart"/>
          </w:tcPr>
          <w:p w14:paraId="5FE6E021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Title and structured abstract</w:t>
            </w:r>
          </w:p>
        </w:tc>
        <w:tc>
          <w:tcPr>
            <w:tcW w:w="850" w:type="dxa"/>
          </w:tcPr>
          <w:p w14:paraId="37313EB6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1a</w:t>
            </w:r>
          </w:p>
        </w:tc>
        <w:tc>
          <w:tcPr>
            <w:tcW w:w="10348" w:type="dxa"/>
          </w:tcPr>
          <w:p w14:paraId="773F9518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Identification as a randomised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D47B6C6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</w:t>
            </w:r>
          </w:p>
        </w:tc>
      </w:tr>
      <w:tr w:rsidR="00E806E0" w:rsidRPr="00E806E0" w14:paraId="0FB4A327" w14:textId="77777777" w:rsidTr="008047CF">
        <w:trPr>
          <w:trHeight w:val="47"/>
        </w:trPr>
        <w:tc>
          <w:tcPr>
            <w:tcW w:w="1560" w:type="dxa"/>
          </w:tcPr>
          <w:p w14:paraId="42F243A2" w14:textId="77777777" w:rsidR="008A2ABD" w:rsidRPr="00E806E0" w:rsidRDefault="008A2ABD" w:rsidP="008A2ABD">
            <w:pPr>
              <w:widowControl w:val="0"/>
              <w:spacing w:after="160" w:line="276" w:lineRule="auto"/>
              <w:ind w:firstLine="0"/>
              <w:jc w:val="center"/>
              <w:rPr>
                <w:rFonts w:ascii="Calibri" w:eastAsia="Aptos" w:hAnsi="Calibri" w:cs="Calibri"/>
                <w:color w:val="000000" w:themeColor="text1"/>
                <w:kern w:val="2"/>
                <w:sz w:val="22"/>
                <w:lang w:val="en-GB"/>
                <w14:ligatures w14:val="standardContextual"/>
              </w:rPr>
            </w:pPr>
          </w:p>
        </w:tc>
        <w:tc>
          <w:tcPr>
            <w:tcW w:w="2694" w:type="dxa"/>
            <w:vMerge/>
          </w:tcPr>
          <w:p w14:paraId="63197E95" w14:textId="77777777" w:rsidR="008A2ABD" w:rsidRPr="00E806E0" w:rsidRDefault="008A2ABD" w:rsidP="008A2ABD">
            <w:pPr>
              <w:widowControl w:val="0"/>
              <w:spacing w:after="160" w:line="276" w:lineRule="auto"/>
              <w:ind w:firstLine="0"/>
              <w:jc w:val="center"/>
              <w:rPr>
                <w:rFonts w:ascii="Calibri" w:eastAsia="Aptos" w:hAnsi="Calibri" w:cs="Calibri"/>
                <w:color w:val="000000" w:themeColor="text1"/>
                <w:kern w:val="2"/>
                <w:sz w:val="22"/>
                <w:lang w:val="en-GB"/>
                <w14:ligatures w14:val="standardContextual"/>
              </w:rPr>
            </w:pPr>
          </w:p>
        </w:tc>
        <w:tc>
          <w:tcPr>
            <w:tcW w:w="850" w:type="dxa"/>
          </w:tcPr>
          <w:p w14:paraId="641A0713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1b</w:t>
            </w:r>
          </w:p>
        </w:tc>
        <w:tc>
          <w:tcPr>
            <w:tcW w:w="10348" w:type="dxa"/>
          </w:tcPr>
          <w:p w14:paraId="558E41C9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Structured summary of the trial design, methods, results, and conclusions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D7EACB6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</w:t>
            </w:r>
          </w:p>
        </w:tc>
      </w:tr>
      <w:tr w:rsidR="00E806E0" w:rsidRPr="00E806E0" w14:paraId="0AF7F825" w14:textId="77777777" w:rsidTr="008047CF">
        <w:trPr>
          <w:trHeight w:val="276"/>
        </w:trPr>
        <w:tc>
          <w:tcPr>
            <w:tcW w:w="1560" w:type="dxa"/>
          </w:tcPr>
          <w:p w14:paraId="1FE3CB43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b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13892" w:type="dxa"/>
            <w:gridSpan w:val="3"/>
          </w:tcPr>
          <w:p w14:paraId="00F996BF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b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b/>
                <w:color w:val="000000" w:themeColor="text1"/>
                <w:sz w:val="20"/>
                <w:szCs w:val="24"/>
                <w:lang w:val="en-GB"/>
              </w:rPr>
              <w:t>Open science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218C2DB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b/>
                <w:color w:val="000000" w:themeColor="text1"/>
                <w:sz w:val="20"/>
                <w:szCs w:val="24"/>
                <w:lang w:val="en-GB"/>
              </w:rPr>
            </w:pPr>
          </w:p>
        </w:tc>
      </w:tr>
      <w:tr w:rsidR="00E806E0" w:rsidRPr="00E806E0" w14:paraId="34539AAB" w14:textId="77777777" w:rsidTr="008047CF">
        <w:trPr>
          <w:trHeight w:val="272"/>
        </w:trPr>
        <w:tc>
          <w:tcPr>
            <w:tcW w:w="1560" w:type="dxa"/>
          </w:tcPr>
          <w:p w14:paraId="65F76556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</w:tcPr>
          <w:p w14:paraId="5EF78727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Trial registration</w:t>
            </w:r>
          </w:p>
        </w:tc>
        <w:tc>
          <w:tcPr>
            <w:tcW w:w="850" w:type="dxa"/>
          </w:tcPr>
          <w:p w14:paraId="5908CE04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2</w:t>
            </w:r>
          </w:p>
        </w:tc>
        <w:tc>
          <w:tcPr>
            <w:tcW w:w="10348" w:type="dxa"/>
          </w:tcPr>
          <w:p w14:paraId="41D44A0B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Name of trial registry, identifying number (with URL) and date of registration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82952A1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4</w:t>
            </w:r>
          </w:p>
        </w:tc>
      </w:tr>
      <w:tr w:rsidR="00E806E0" w:rsidRPr="00E806E0" w14:paraId="76181E91" w14:textId="77777777" w:rsidTr="008047CF">
        <w:trPr>
          <w:trHeight w:val="272"/>
        </w:trPr>
        <w:tc>
          <w:tcPr>
            <w:tcW w:w="1560" w:type="dxa"/>
          </w:tcPr>
          <w:p w14:paraId="06616419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</w:tcPr>
          <w:p w14:paraId="6149BB9E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Protocol and statistical analysis plan</w:t>
            </w:r>
          </w:p>
        </w:tc>
        <w:tc>
          <w:tcPr>
            <w:tcW w:w="850" w:type="dxa"/>
          </w:tcPr>
          <w:p w14:paraId="64AF8080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3</w:t>
            </w:r>
          </w:p>
        </w:tc>
        <w:tc>
          <w:tcPr>
            <w:tcW w:w="10348" w:type="dxa"/>
          </w:tcPr>
          <w:p w14:paraId="3BE1A21D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Where the trial protocol and statistical analysis plan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A1516CA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4</w:t>
            </w:r>
          </w:p>
        </w:tc>
      </w:tr>
      <w:tr w:rsidR="00E806E0" w:rsidRPr="00E806E0" w14:paraId="0E019577" w14:textId="77777777" w:rsidTr="008047CF">
        <w:trPr>
          <w:trHeight w:val="272"/>
        </w:trPr>
        <w:tc>
          <w:tcPr>
            <w:tcW w:w="1560" w:type="dxa"/>
          </w:tcPr>
          <w:p w14:paraId="1659A30E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</w:tcPr>
          <w:p w14:paraId="07D105AA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Data sharing</w:t>
            </w:r>
          </w:p>
        </w:tc>
        <w:tc>
          <w:tcPr>
            <w:tcW w:w="850" w:type="dxa"/>
          </w:tcPr>
          <w:p w14:paraId="78D2F95C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4</w:t>
            </w:r>
          </w:p>
        </w:tc>
        <w:tc>
          <w:tcPr>
            <w:tcW w:w="10348" w:type="dxa"/>
          </w:tcPr>
          <w:p w14:paraId="50B53DE0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Where and how the individual de-identified participant data (including data dictionary), statistical code and any other materials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413932A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19</w:t>
            </w:r>
          </w:p>
        </w:tc>
      </w:tr>
      <w:tr w:rsidR="00E806E0" w:rsidRPr="00E806E0" w14:paraId="20857A67" w14:textId="77777777" w:rsidTr="008047CF">
        <w:trPr>
          <w:trHeight w:val="272"/>
        </w:trPr>
        <w:tc>
          <w:tcPr>
            <w:tcW w:w="1560" w:type="dxa"/>
          </w:tcPr>
          <w:p w14:paraId="6DCFBC96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  <w:vMerge w:val="restart"/>
          </w:tcPr>
          <w:p w14:paraId="5582B5D6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Funding and conflicts of interest</w:t>
            </w:r>
          </w:p>
        </w:tc>
        <w:tc>
          <w:tcPr>
            <w:tcW w:w="850" w:type="dxa"/>
          </w:tcPr>
          <w:p w14:paraId="1286A996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5a</w:t>
            </w:r>
          </w:p>
        </w:tc>
        <w:tc>
          <w:tcPr>
            <w:tcW w:w="10348" w:type="dxa"/>
          </w:tcPr>
          <w:p w14:paraId="5324A6F9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Sources of funding and other support (</w:t>
            </w:r>
            <w:proofErr w:type="spellStart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eg</w:t>
            </w:r>
            <w:proofErr w:type="spellEnd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, supply of drugs), and role of funders in the design, conduct, analysis and reporting of the trial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026833C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18</w:t>
            </w:r>
          </w:p>
        </w:tc>
      </w:tr>
      <w:tr w:rsidR="00E806E0" w:rsidRPr="00E806E0" w14:paraId="1D281E6A" w14:textId="77777777" w:rsidTr="008047CF">
        <w:trPr>
          <w:trHeight w:val="272"/>
        </w:trPr>
        <w:tc>
          <w:tcPr>
            <w:tcW w:w="1560" w:type="dxa"/>
          </w:tcPr>
          <w:p w14:paraId="3BB58095" w14:textId="77777777" w:rsidR="008A2ABD" w:rsidRPr="00E806E0" w:rsidRDefault="008A2ABD" w:rsidP="008A2ABD">
            <w:pPr>
              <w:widowControl w:val="0"/>
              <w:spacing w:after="160" w:line="276" w:lineRule="auto"/>
              <w:ind w:firstLine="0"/>
              <w:jc w:val="center"/>
              <w:rPr>
                <w:rFonts w:ascii="Calibri" w:eastAsia="Aptos" w:hAnsi="Calibri" w:cs="Calibri"/>
                <w:color w:val="000000" w:themeColor="text1"/>
                <w:kern w:val="2"/>
                <w:sz w:val="22"/>
                <w:lang w:val="en-GB"/>
                <w14:ligatures w14:val="standardContextual"/>
              </w:rPr>
            </w:pPr>
          </w:p>
        </w:tc>
        <w:tc>
          <w:tcPr>
            <w:tcW w:w="2694" w:type="dxa"/>
            <w:vMerge/>
          </w:tcPr>
          <w:p w14:paraId="3D12B2B0" w14:textId="77777777" w:rsidR="008A2ABD" w:rsidRPr="00E806E0" w:rsidRDefault="008A2ABD" w:rsidP="008A2ABD">
            <w:pPr>
              <w:widowControl w:val="0"/>
              <w:spacing w:after="160" w:line="276" w:lineRule="auto"/>
              <w:ind w:firstLine="0"/>
              <w:jc w:val="center"/>
              <w:rPr>
                <w:rFonts w:ascii="Calibri" w:eastAsia="Aptos" w:hAnsi="Calibri" w:cs="Calibri"/>
                <w:color w:val="000000" w:themeColor="text1"/>
                <w:kern w:val="2"/>
                <w:sz w:val="22"/>
                <w:lang w:val="en-GB"/>
                <w14:ligatures w14:val="standardContextual"/>
              </w:rPr>
            </w:pPr>
          </w:p>
        </w:tc>
        <w:tc>
          <w:tcPr>
            <w:tcW w:w="850" w:type="dxa"/>
          </w:tcPr>
          <w:p w14:paraId="115DEC9F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5b</w:t>
            </w:r>
          </w:p>
        </w:tc>
        <w:tc>
          <w:tcPr>
            <w:tcW w:w="10348" w:type="dxa"/>
          </w:tcPr>
          <w:p w14:paraId="5B4B4BB4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Financial and other conflicts of interest of the manuscript authors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2A41E37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18</w:t>
            </w:r>
          </w:p>
        </w:tc>
      </w:tr>
      <w:tr w:rsidR="00E806E0" w:rsidRPr="00E806E0" w14:paraId="22409B10" w14:textId="77777777" w:rsidTr="008047CF">
        <w:trPr>
          <w:trHeight w:val="276"/>
        </w:trPr>
        <w:tc>
          <w:tcPr>
            <w:tcW w:w="1560" w:type="dxa"/>
          </w:tcPr>
          <w:p w14:paraId="27239ADB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b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13892" w:type="dxa"/>
            <w:gridSpan w:val="3"/>
          </w:tcPr>
          <w:p w14:paraId="1BF88EF0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b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b/>
                <w:color w:val="000000" w:themeColor="text1"/>
                <w:sz w:val="20"/>
                <w:szCs w:val="24"/>
                <w:lang w:val="en-GB"/>
              </w:rPr>
              <w:t>Introduction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9905CB0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b/>
                <w:color w:val="000000" w:themeColor="text1"/>
                <w:sz w:val="20"/>
                <w:szCs w:val="24"/>
                <w:lang w:val="en-GB"/>
              </w:rPr>
            </w:pPr>
          </w:p>
        </w:tc>
      </w:tr>
      <w:tr w:rsidR="00E806E0" w:rsidRPr="00E806E0" w14:paraId="6CE6FC7B" w14:textId="77777777" w:rsidTr="008047CF">
        <w:trPr>
          <w:trHeight w:val="271"/>
        </w:trPr>
        <w:tc>
          <w:tcPr>
            <w:tcW w:w="1560" w:type="dxa"/>
          </w:tcPr>
          <w:p w14:paraId="23898776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</w:tcPr>
          <w:p w14:paraId="6E1E7AC1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Background and rationale</w:t>
            </w:r>
          </w:p>
        </w:tc>
        <w:tc>
          <w:tcPr>
            <w:tcW w:w="850" w:type="dxa"/>
          </w:tcPr>
          <w:p w14:paraId="2258237E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6</w:t>
            </w:r>
          </w:p>
        </w:tc>
        <w:tc>
          <w:tcPr>
            <w:tcW w:w="10348" w:type="dxa"/>
          </w:tcPr>
          <w:p w14:paraId="2A566979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Scientific background and rationale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019127C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2, 3</w:t>
            </w:r>
          </w:p>
        </w:tc>
      </w:tr>
      <w:tr w:rsidR="00E806E0" w:rsidRPr="00E806E0" w14:paraId="4EFACCC5" w14:textId="77777777" w:rsidTr="008047CF">
        <w:trPr>
          <w:trHeight w:val="276"/>
        </w:trPr>
        <w:tc>
          <w:tcPr>
            <w:tcW w:w="1560" w:type="dxa"/>
          </w:tcPr>
          <w:p w14:paraId="7470E7ED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  <w:vAlign w:val="center"/>
          </w:tcPr>
          <w:p w14:paraId="2A7E6902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Objectives</w:t>
            </w:r>
          </w:p>
        </w:tc>
        <w:tc>
          <w:tcPr>
            <w:tcW w:w="850" w:type="dxa"/>
          </w:tcPr>
          <w:p w14:paraId="4E8F3995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7</w:t>
            </w:r>
          </w:p>
        </w:tc>
        <w:tc>
          <w:tcPr>
            <w:tcW w:w="10348" w:type="dxa"/>
          </w:tcPr>
          <w:p w14:paraId="67A0EA62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Specific objectives related to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34CA8F7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3,4</w:t>
            </w:r>
          </w:p>
        </w:tc>
      </w:tr>
      <w:tr w:rsidR="00E806E0" w:rsidRPr="00E806E0" w14:paraId="26D101C2" w14:textId="77777777" w:rsidTr="008047CF">
        <w:trPr>
          <w:trHeight w:val="276"/>
        </w:trPr>
        <w:tc>
          <w:tcPr>
            <w:tcW w:w="1560" w:type="dxa"/>
          </w:tcPr>
          <w:p w14:paraId="068E6E86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b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13892" w:type="dxa"/>
            <w:gridSpan w:val="3"/>
          </w:tcPr>
          <w:p w14:paraId="2132ACB3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b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b/>
                <w:color w:val="000000" w:themeColor="text1"/>
                <w:sz w:val="20"/>
                <w:szCs w:val="24"/>
                <w:lang w:val="en-GB"/>
              </w:rPr>
              <w:t>Methods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0181456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b/>
                <w:color w:val="000000" w:themeColor="text1"/>
                <w:sz w:val="20"/>
                <w:szCs w:val="24"/>
                <w:lang w:val="en-GB"/>
              </w:rPr>
            </w:pPr>
          </w:p>
        </w:tc>
      </w:tr>
      <w:tr w:rsidR="00E806E0" w:rsidRPr="00E806E0" w14:paraId="66C0F4AF" w14:textId="77777777" w:rsidTr="008047CF">
        <w:trPr>
          <w:trHeight w:val="268"/>
        </w:trPr>
        <w:tc>
          <w:tcPr>
            <w:tcW w:w="1560" w:type="dxa"/>
          </w:tcPr>
          <w:p w14:paraId="3B3D3323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</w:tcPr>
          <w:p w14:paraId="35DFA061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Patient and public involvement</w:t>
            </w:r>
          </w:p>
        </w:tc>
        <w:tc>
          <w:tcPr>
            <w:tcW w:w="850" w:type="dxa"/>
          </w:tcPr>
          <w:p w14:paraId="5F187AD5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8</w:t>
            </w:r>
          </w:p>
        </w:tc>
        <w:tc>
          <w:tcPr>
            <w:tcW w:w="10348" w:type="dxa"/>
          </w:tcPr>
          <w:p w14:paraId="492D362A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Details of patient or public involvement in the design, conduct and reporting of the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683BB9A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NA</w:t>
            </w:r>
          </w:p>
        </w:tc>
      </w:tr>
      <w:tr w:rsidR="00E806E0" w:rsidRPr="00E806E0" w14:paraId="159AC30A" w14:textId="77777777" w:rsidTr="008047CF">
        <w:trPr>
          <w:trHeight w:val="268"/>
        </w:trPr>
        <w:tc>
          <w:tcPr>
            <w:tcW w:w="1560" w:type="dxa"/>
          </w:tcPr>
          <w:p w14:paraId="1377D371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</w:tcPr>
          <w:p w14:paraId="76F73ECF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Trial design</w:t>
            </w:r>
          </w:p>
        </w:tc>
        <w:tc>
          <w:tcPr>
            <w:tcW w:w="850" w:type="dxa"/>
          </w:tcPr>
          <w:p w14:paraId="06318436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9</w:t>
            </w:r>
          </w:p>
        </w:tc>
        <w:tc>
          <w:tcPr>
            <w:tcW w:w="10348" w:type="dxa"/>
          </w:tcPr>
          <w:p w14:paraId="34A9CC95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Description of trial design including type of trial (</w:t>
            </w:r>
            <w:proofErr w:type="spellStart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eg</w:t>
            </w:r>
            <w:proofErr w:type="spellEnd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, parallel group, crossover), allocation ratio, and framework (</w:t>
            </w:r>
            <w:proofErr w:type="spellStart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eg</w:t>
            </w:r>
            <w:proofErr w:type="spellEnd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, superiority, equivalence, non-inferiority, exploratory)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11A361C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4</w:t>
            </w:r>
          </w:p>
        </w:tc>
      </w:tr>
      <w:tr w:rsidR="00E806E0" w:rsidRPr="00E806E0" w14:paraId="0718090A" w14:textId="77777777" w:rsidTr="008047CF">
        <w:trPr>
          <w:trHeight w:val="214"/>
        </w:trPr>
        <w:tc>
          <w:tcPr>
            <w:tcW w:w="1560" w:type="dxa"/>
          </w:tcPr>
          <w:p w14:paraId="6D391BA4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</w:tcPr>
          <w:p w14:paraId="42E64795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Changes to trial protocol</w:t>
            </w:r>
          </w:p>
        </w:tc>
        <w:tc>
          <w:tcPr>
            <w:tcW w:w="850" w:type="dxa"/>
          </w:tcPr>
          <w:p w14:paraId="1754F347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10</w:t>
            </w:r>
          </w:p>
        </w:tc>
        <w:tc>
          <w:tcPr>
            <w:tcW w:w="10348" w:type="dxa"/>
          </w:tcPr>
          <w:p w14:paraId="31059D98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Important changes to the trial after it commenced including any outcomes or analyses that were not prespecified, with reason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F7BAFE7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11</w:t>
            </w:r>
          </w:p>
        </w:tc>
      </w:tr>
      <w:tr w:rsidR="00E806E0" w:rsidRPr="00E806E0" w14:paraId="05D671A4" w14:textId="77777777" w:rsidTr="008047CF">
        <w:trPr>
          <w:trHeight w:val="96"/>
        </w:trPr>
        <w:tc>
          <w:tcPr>
            <w:tcW w:w="1560" w:type="dxa"/>
          </w:tcPr>
          <w:p w14:paraId="401F6920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</w:tcPr>
          <w:p w14:paraId="1010B5B6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Trial setting</w:t>
            </w:r>
          </w:p>
        </w:tc>
        <w:tc>
          <w:tcPr>
            <w:tcW w:w="850" w:type="dxa"/>
          </w:tcPr>
          <w:p w14:paraId="6C17CCB9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11</w:t>
            </w:r>
          </w:p>
        </w:tc>
        <w:tc>
          <w:tcPr>
            <w:tcW w:w="10348" w:type="dxa"/>
          </w:tcPr>
          <w:p w14:paraId="6815CB97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Settings (</w:t>
            </w:r>
            <w:proofErr w:type="spellStart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eg</w:t>
            </w:r>
            <w:proofErr w:type="spellEnd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, community, hospital) and locations (</w:t>
            </w:r>
            <w:proofErr w:type="spellStart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eg</w:t>
            </w:r>
            <w:proofErr w:type="spellEnd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, countries, sites) where the trial was conducted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7305FC3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5</w:t>
            </w:r>
          </w:p>
        </w:tc>
      </w:tr>
      <w:tr w:rsidR="00E806E0" w:rsidRPr="00E806E0" w14:paraId="40D3BBAF" w14:textId="77777777" w:rsidTr="008047CF">
        <w:trPr>
          <w:trHeight w:val="276"/>
        </w:trPr>
        <w:tc>
          <w:tcPr>
            <w:tcW w:w="1560" w:type="dxa"/>
          </w:tcPr>
          <w:p w14:paraId="0ED26418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  <w:vMerge w:val="restart"/>
          </w:tcPr>
          <w:p w14:paraId="38569315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Eligibility criteria</w:t>
            </w:r>
          </w:p>
        </w:tc>
        <w:tc>
          <w:tcPr>
            <w:tcW w:w="850" w:type="dxa"/>
          </w:tcPr>
          <w:p w14:paraId="6C556677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12a</w:t>
            </w:r>
          </w:p>
        </w:tc>
        <w:tc>
          <w:tcPr>
            <w:tcW w:w="10348" w:type="dxa"/>
          </w:tcPr>
          <w:p w14:paraId="2348DB45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Eligibility criteria for participants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D10993E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5</w:t>
            </w:r>
          </w:p>
        </w:tc>
      </w:tr>
      <w:tr w:rsidR="00E806E0" w:rsidRPr="00E806E0" w14:paraId="57EFF71D" w14:textId="77777777" w:rsidTr="008047CF">
        <w:trPr>
          <w:trHeight w:val="276"/>
        </w:trPr>
        <w:tc>
          <w:tcPr>
            <w:tcW w:w="1560" w:type="dxa"/>
          </w:tcPr>
          <w:p w14:paraId="15D41273" w14:textId="77777777" w:rsidR="008A2ABD" w:rsidRPr="00E806E0" w:rsidRDefault="008A2ABD" w:rsidP="008A2ABD">
            <w:pPr>
              <w:widowControl w:val="0"/>
              <w:spacing w:after="160" w:line="276" w:lineRule="auto"/>
              <w:ind w:firstLine="0"/>
              <w:jc w:val="center"/>
              <w:rPr>
                <w:rFonts w:ascii="Calibri" w:eastAsia="Aptos" w:hAnsi="Calibri" w:cs="Calibri"/>
                <w:color w:val="000000" w:themeColor="text1"/>
                <w:kern w:val="2"/>
                <w:sz w:val="22"/>
                <w:lang w:val="en-GB"/>
                <w14:ligatures w14:val="standardContextual"/>
              </w:rPr>
            </w:pPr>
          </w:p>
        </w:tc>
        <w:tc>
          <w:tcPr>
            <w:tcW w:w="2694" w:type="dxa"/>
            <w:vMerge/>
            <w:vAlign w:val="center"/>
          </w:tcPr>
          <w:p w14:paraId="03D49282" w14:textId="77777777" w:rsidR="008A2ABD" w:rsidRPr="00E806E0" w:rsidRDefault="008A2ABD" w:rsidP="008A2ABD">
            <w:pPr>
              <w:widowControl w:val="0"/>
              <w:spacing w:after="160" w:line="276" w:lineRule="auto"/>
              <w:ind w:firstLine="0"/>
              <w:jc w:val="center"/>
              <w:rPr>
                <w:rFonts w:ascii="Calibri" w:eastAsia="Aptos" w:hAnsi="Calibri" w:cs="Calibri"/>
                <w:color w:val="000000" w:themeColor="text1"/>
                <w:kern w:val="2"/>
                <w:sz w:val="22"/>
                <w:lang w:val="en-GB"/>
                <w14:ligatures w14:val="standardContextual"/>
              </w:rPr>
            </w:pPr>
          </w:p>
        </w:tc>
        <w:tc>
          <w:tcPr>
            <w:tcW w:w="850" w:type="dxa"/>
          </w:tcPr>
          <w:p w14:paraId="0D0538B5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12b</w:t>
            </w:r>
          </w:p>
        </w:tc>
        <w:tc>
          <w:tcPr>
            <w:tcW w:w="10348" w:type="dxa"/>
          </w:tcPr>
          <w:p w14:paraId="1C5D2311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If applicable, eligibility criteria for sites and for individuals delivering the interventions (</w:t>
            </w:r>
            <w:proofErr w:type="spellStart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eg</w:t>
            </w:r>
            <w:proofErr w:type="spellEnd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, surgeons, physiotherapists)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C16F634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NA</w:t>
            </w:r>
          </w:p>
        </w:tc>
      </w:tr>
      <w:tr w:rsidR="00E806E0" w:rsidRPr="00E806E0" w14:paraId="1C584E76" w14:textId="77777777" w:rsidTr="008047CF">
        <w:trPr>
          <w:trHeight w:val="463"/>
        </w:trPr>
        <w:tc>
          <w:tcPr>
            <w:tcW w:w="1560" w:type="dxa"/>
          </w:tcPr>
          <w:p w14:paraId="2BE805A7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</w:tcPr>
          <w:p w14:paraId="7F2DA3A4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Intervention and comparator</w:t>
            </w:r>
          </w:p>
        </w:tc>
        <w:tc>
          <w:tcPr>
            <w:tcW w:w="850" w:type="dxa"/>
          </w:tcPr>
          <w:p w14:paraId="14EBD1D4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13</w:t>
            </w:r>
          </w:p>
        </w:tc>
        <w:tc>
          <w:tcPr>
            <w:tcW w:w="10348" w:type="dxa"/>
          </w:tcPr>
          <w:p w14:paraId="35DD603F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Intervention and comparator with sufficient details to allow replication. If relevant, where additional materials describing the intervention and comparator (</w:t>
            </w:r>
            <w:proofErr w:type="spellStart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eg</w:t>
            </w:r>
            <w:proofErr w:type="spellEnd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, intervention manual)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8C22D80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8,9</w:t>
            </w:r>
          </w:p>
        </w:tc>
      </w:tr>
      <w:tr w:rsidR="00E806E0" w:rsidRPr="00E806E0" w14:paraId="7B5CCBF3" w14:textId="77777777" w:rsidTr="008047CF">
        <w:trPr>
          <w:trHeight w:val="614"/>
        </w:trPr>
        <w:tc>
          <w:tcPr>
            <w:tcW w:w="1560" w:type="dxa"/>
          </w:tcPr>
          <w:p w14:paraId="02C6B8DF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</w:tcPr>
          <w:p w14:paraId="1CAEF8BD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Outcomes</w:t>
            </w:r>
          </w:p>
        </w:tc>
        <w:tc>
          <w:tcPr>
            <w:tcW w:w="850" w:type="dxa"/>
          </w:tcPr>
          <w:p w14:paraId="7F892733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14</w:t>
            </w:r>
          </w:p>
          <w:p w14:paraId="4BB1DDBE" w14:textId="77777777" w:rsidR="008A2ABD" w:rsidRPr="00E806E0" w:rsidRDefault="008A2ABD" w:rsidP="008A2ABD">
            <w:pPr>
              <w:spacing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348" w:type="dxa"/>
          </w:tcPr>
          <w:p w14:paraId="01949293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Prespecified primary and secondary outcomes, including the specific measurement variable (</w:t>
            </w:r>
            <w:proofErr w:type="spellStart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eg</w:t>
            </w:r>
            <w:proofErr w:type="spellEnd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, systolic blood pressure), analysis metric (</w:t>
            </w:r>
            <w:proofErr w:type="spellStart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eg</w:t>
            </w:r>
            <w:proofErr w:type="spellEnd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, change from baseline, final value, time to event), method of aggregation (</w:t>
            </w:r>
            <w:proofErr w:type="spellStart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eg</w:t>
            </w:r>
            <w:proofErr w:type="spellEnd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, median, proportion), and time point for each outcome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BC7CEFE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6,7,8</w:t>
            </w:r>
          </w:p>
        </w:tc>
      </w:tr>
      <w:tr w:rsidR="00E806E0" w:rsidRPr="00E806E0" w14:paraId="4197C7B0" w14:textId="77777777" w:rsidTr="008047CF">
        <w:trPr>
          <w:trHeight w:val="47"/>
        </w:trPr>
        <w:tc>
          <w:tcPr>
            <w:tcW w:w="1560" w:type="dxa"/>
          </w:tcPr>
          <w:p w14:paraId="3209213D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</w:tcPr>
          <w:p w14:paraId="234CF3A9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Harms</w:t>
            </w:r>
          </w:p>
        </w:tc>
        <w:tc>
          <w:tcPr>
            <w:tcW w:w="850" w:type="dxa"/>
          </w:tcPr>
          <w:p w14:paraId="5A2C4D58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15</w:t>
            </w:r>
          </w:p>
        </w:tc>
        <w:tc>
          <w:tcPr>
            <w:tcW w:w="10348" w:type="dxa"/>
          </w:tcPr>
          <w:p w14:paraId="70A01696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How harms were defined and assessed (</w:t>
            </w:r>
            <w:proofErr w:type="spellStart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eg</w:t>
            </w:r>
            <w:proofErr w:type="spellEnd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, systematically, non-systematically)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8F6EBB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4, 6</w:t>
            </w:r>
          </w:p>
        </w:tc>
      </w:tr>
      <w:tr w:rsidR="00E806E0" w:rsidRPr="00E806E0" w14:paraId="6944FBBF" w14:textId="77777777" w:rsidTr="008047CF">
        <w:trPr>
          <w:trHeight w:val="47"/>
        </w:trPr>
        <w:tc>
          <w:tcPr>
            <w:tcW w:w="1560" w:type="dxa"/>
          </w:tcPr>
          <w:p w14:paraId="76D476E9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  <w:vMerge w:val="restart"/>
          </w:tcPr>
          <w:p w14:paraId="4FE2CFE4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Sample size</w:t>
            </w:r>
          </w:p>
        </w:tc>
        <w:tc>
          <w:tcPr>
            <w:tcW w:w="850" w:type="dxa"/>
          </w:tcPr>
          <w:p w14:paraId="4B4E326C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16a</w:t>
            </w:r>
          </w:p>
        </w:tc>
        <w:tc>
          <w:tcPr>
            <w:tcW w:w="10348" w:type="dxa"/>
          </w:tcPr>
          <w:p w14:paraId="11F135D9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How sample size was determined, including all assumptions supporting the sample size calculation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DAB8CC9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10</w:t>
            </w:r>
          </w:p>
        </w:tc>
      </w:tr>
      <w:tr w:rsidR="00E806E0" w:rsidRPr="00E806E0" w14:paraId="4CF1F178" w14:textId="77777777" w:rsidTr="008047CF">
        <w:trPr>
          <w:trHeight w:val="62"/>
        </w:trPr>
        <w:tc>
          <w:tcPr>
            <w:tcW w:w="1560" w:type="dxa"/>
          </w:tcPr>
          <w:p w14:paraId="167AAAA0" w14:textId="77777777" w:rsidR="008A2ABD" w:rsidRPr="00E806E0" w:rsidRDefault="008A2ABD" w:rsidP="008A2ABD">
            <w:pPr>
              <w:widowControl w:val="0"/>
              <w:spacing w:after="160" w:line="276" w:lineRule="auto"/>
              <w:ind w:firstLine="0"/>
              <w:jc w:val="center"/>
              <w:rPr>
                <w:rFonts w:ascii="Calibri" w:eastAsia="Aptos" w:hAnsi="Calibri" w:cs="Calibri"/>
                <w:color w:val="000000" w:themeColor="text1"/>
                <w:kern w:val="2"/>
                <w:sz w:val="22"/>
                <w:lang w:val="en-GB"/>
                <w14:ligatures w14:val="standardContextual"/>
              </w:rPr>
            </w:pPr>
          </w:p>
        </w:tc>
        <w:tc>
          <w:tcPr>
            <w:tcW w:w="2694" w:type="dxa"/>
            <w:vMerge/>
          </w:tcPr>
          <w:p w14:paraId="7AF0869A" w14:textId="77777777" w:rsidR="008A2ABD" w:rsidRPr="00E806E0" w:rsidRDefault="008A2ABD" w:rsidP="008A2ABD">
            <w:pPr>
              <w:widowControl w:val="0"/>
              <w:spacing w:after="160" w:line="276" w:lineRule="auto"/>
              <w:ind w:firstLine="0"/>
              <w:jc w:val="center"/>
              <w:rPr>
                <w:rFonts w:ascii="Calibri" w:eastAsia="Aptos" w:hAnsi="Calibri" w:cs="Calibri"/>
                <w:color w:val="000000" w:themeColor="text1"/>
                <w:kern w:val="2"/>
                <w:sz w:val="22"/>
                <w:lang w:val="en-GB"/>
                <w14:ligatures w14:val="standardContextual"/>
              </w:rPr>
            </w:pPr>
          </w:p>
        </w:tc>
        <w:tc>
          <w:tcPr>
            <w:tcW w:w="850" w:type="dxa"/>
          </w:tcPr>
          <w:p w14:paraId="7868B0E9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16b</w:t>
            </w:r>
          </w:p>
        </w:tc>
        <w:tc>
          <w:tcPr>
            <w:tcW w:w="10348" w:type="dxa"/>
          </w:tcPr>
          <w:p w14:paraId="6357DB4B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Explanation of any interim analyses and stopping guidelines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C84C7CE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NA</w:t>
            </w:r>
          </w:p>
        </w:tc>
      </w:tr>
      <w:tr w:rsidR="00E806E0" w:rsidRPr="00E806E0" w14:paraId="493EEEC1" w14:textId="77777777" w:rsidTr="008047CF">
        <w:trPr>
          <w:trHeight w:val="122"/>
        </w:trPr>
        <w:tc>
          <w:tcPr>
            <w:tcW w:w="1560" w:type="dxa"/>
          </w:tcPr>
          <w:p w14:paraId="78C954F1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</w:tcPr>
          <w:p w14:paraId="5ECCA546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Randomisation:</w:t>
            </w:r>
          </w:p>
        </w:tc>
        <w:tc>
          <w:tcPr>
            <w:tcW w:w="850" w:type="dxa"/>
          </w:tcPr>
          <w:p w14:paraId="6BED54DB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 xml:space="preserve"> </w:t>
            </w:r>
          </w:p>
        </w:tc>
        <w:tc>
          <w:tcPr>
            <w:tcW w:w="10348" w:type="dxa"/>
          </w:tcPr>
          <w:p w14:paraId="0ADD3B04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42DB9D4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</w:tr>
      <w:tr w:rsidR="00E806E0" w:rsidRPr="00E806E0" w14:paraId="0DF82029" w14:textId="77777777" w:rsidTr="008047CF">
        <w:trPr>
          <w:trHeight w:val="47"/>
        </w:trPr>
        <w:tc>
          <w:tcPr>
            <w:tcW w:w="1560" w:type="dxa"/>
          </w:tcPr>
          <w:p w14:paraId="0E5A3BCE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  <w:vMerge w:val="restart"/>
          </w:tcPr>
          <w:p w14:paraId="36B51192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 </w:t>
            </w: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Sequence generation</w:t>
            </w:r>
          </w:p>
        </w:tc>
        <w:tc>
          <w:tcPr>
            <w:tcW w:w="850" w:type="dxa"/>
          </w:tcPr>
          <w:p w14:paraId="5B6FEFAB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17a</w:t>
            </w:r>
          </w:p>
        </w:tc>
        <w:tc>
          <w:tcPr>
            <w:tcW w:w="10348" w:type="dxa"/>
          </w:tcPr>
          <w:p w14:paraId="704A66F5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Who generated the random allocation sequence and the method used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15CBE29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4</w:t>
            </w:r>
          </w:p>
        </w:tc>
      </w:tr>
      <w:tr w:rsidR="00E806E0" w:rsidRPr="00E806E0" w14:paraId="5112367A" w14:textId="77777777" w:rsidTr="008047CF">
        <w:trPr>
          <w:trHeight w:val="86"/>
        </w:trPr>
        <w:tc>
          <w:tcPr>
            <w:tcW w:w="1560" w:type="dxa"/>
          </w:tcPr>
          <w:p w14:paraId="02F682B7" w14:textId="77777777" w:rsidR="008A2ABD" w:rsidRPr="00E806E0" w:rsidRDefault="008A2ABD" w:rsidP="008A2ABD">
            <w:pPr>
              <w:widowControl w:val="0"/>
              <w:spacing w:after="160" w:line="276" w:lineRule="auto"/>
              <w:ind w:firstLine="0"/>
              <w:jc w:val="center"/>
              <w:rPr>
                <w:rFonts w:ascii="Calibri" w:eastAsia="Aptos" w:hAnsi="Calibri" w:cs="Calibri"/>
                <w:color w:val="000000" w:themeColor="text1"/>
                <w:kern w:val="2"/>
                <w:sz w:val="22"/>
                <w:lang w:val="en-GB"/>
                <w14:ligatures w14:val="standardContextual"/>
              </w:rPr>
            </w:pPr>
          </w:p>
        </w:tc>
        <w:tc>
          <w:tcPr>
            <w:tcW w:w="2694" w:type="dxa"/>
            <w:vMerge/>
          </w:tcPr>
          <w:p w14:paraId="46015456" w14:textId="77777777" w:rsidR="008A2ABD" w:rsidRPr="00E806E0" w:rsidRDefault="008A2ABD" w:rsidP="008A2ABD">
            <w:pPr>
              <w:widowControl w:val="0"/>
              <w:spacing w:after="160" w:line="276" w:lineRule="auto"/>
              <w:ind w:firstLine="0"/>
              <w:jc w:val="center"/>
              <w:rPr>
                <w:rFonts w:ascii="Calibri" w:eastAsia="Aptos" w:hAnsi="Calibri" w:cs="Calibri"/>
                <w:color w:val="000000" w:themeColor="text1"/>
                <w:kern w:val="2"/>
                <w:sz w:val="22"/>
                <w:lang w:val="en-GB"/>
                <w14:ligatures w14:val="standardContextual"/>
              </w:rPr>
            </w:pPr>
          </w:p>
        </w:tc>
        <w:tc>
          <w:tcPr>
            <w:tcW w:w="850" w:type="dxa"/>
          </w:tcPr>
          <w:p w14:paraId="3C0D4761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17b</w:t>
            </w:r>
          </w:p>
        </w:tc>
        <w:tc>
          <w:tcPr>
            <w:tcW w:w="10348" w:type="dxa"/>
          </w:tcPr>
          <w:p w14:paraId="64782070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Type of randomisation and details of any restriction (</w:t>
            </w:r>
            <w:proofErr w:type="spellStart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eg</w:t>
            </w:r>
            <w:proofErr w:type="spellEnd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, stratification, blocking and block size)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F815E79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4</w:t>
            </w:r>
          </w:p>
        </w:tc>
      </w:tr>
      <w:tr w:rsidR="00E806E0" w:rsidRPr="00E806E0" w14:paraId="5A18CC77" w14:textId="77777777" w:rsidTr="008047CF">
        <w:trPr>
          <w:trHeight w:val="86"/>
        </w:trPr>
        <w:tc>
          <w:tcPr>
            <w:tcW w:w="1560" w:type="dxa"/>
          </w:tcPr>
          <w:p w14:paraId="42C0BD2A" w14:textId="77777777" w:rsidR="008A2ABD" w:rsidRPr="00E806E0" w:rsidRDefault="008A2ABD" w:rsidP="008A2ABD">
            <w:pPr>
              <w:widowControl w:val="0"/>
              <w:spacing w:after="160" w:line="276" w:lineRule="auto"/>
              <w:ind w:firstLine="0"/>
              <w:jc w:val="center"/>
              <w:rPr>
                <w:rFonts w:ascii="Calibri" w:eastAsia="Aptos" w:hAnsi="Calibri" w:cs="Calibri"/>
                <w:color w:val="000000" w:themeColor="text1"/>
                <w:kern w:val="2"/>
                <w:sz w:val="22"/>
                <w:lang w:val="en-GB"/>
                <w14:ligatures w14:val="standardContextual"/>
              </w:rPr>
            </w:pPr>
          </w:p>
        </w:tc>
        <w:tc>
          <w:tcPr>
            <w:tcW w:w="2694" w:type="dxa"/>
          </w:tcPr>
          <w:p w14:paraId="7725BBBD" w14:textId="77777777" w:rsidR="008A2ABD" w:rsidRPr="00E806E0" w:rsidRDefault="008A2ABD" w:rsidP="008A2ABD">
            <w:pPr>
              <w:widowControl w:val="0"/>
              <w:spacing w:after="160" w:line="276" w:lineRule="auto"/>
              <w:ind w:firstLine="0"/>
              <w:jc w:val="center"/>
              <w:rPr>
                <w:rFonts w:ascii="Calibri" w:eastAsia="Aptos" w:hAnsi="Calibri" w:cs="Calibri"/>
                <w:color w:val="000000" w:themeColor="text1"/>
                <w:kern w:val="2"/>
                <w:sz w:val="22"/>
                <w:lang w:val="en-GB"/>
                <w14:ligatures w14:val="standardContextual"/>
              </w:rPr>
            </w:pPr>
          </w:p>
        </w:tc>
        <w:tc>
          <w:tcPr>
            <w:tcW w:w="850" w:type="dxa"/>
          </w:tcPr>
          <w:p w14:paraId="7DA0266F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10348" w:type="dxa"/>
          </w:tcPr>
          <w:p w14:paraId="03EF7C5F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582E85C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b/>
                <w:bCs/>
                <w:color w:val="000000" w:themeColor="text1"/>
                <w:sz w:val="20"/>
                <w:szCs w:val="24"/>
                <w:lang w:val="en-GB"/>
              </w:rPr>
              <w:t>Reported on page no.</w:t>
            </w:r>
          </w:p>
        </w:tc>
      </w:tr>
      <w:tr w:rsidR="00E806E0" w:rsidRPr="00E806E0" w14:paraId="3AE6F24F" w14:textId="77777777" w:rsidTr="008047CF">
        <w:trPr>
          <w:trHeight w:val="544"/>
        </w:trPr>
        <w:tc>
          <w:tcPr>
            <w:tcW w:w="1560" w:type="dxa"/>
          </w:tcPr>
          <w:p w14:paraId="0468D02B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</w:tcPr>
          <w:p w14:paraId="4406BA6B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 </w:t>
            </w: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Allocation concealment mechanism</w:t>
            </w:r>
          </w:p>
        </w:tc>
        <w:tc>
          <w:tcPr>
            <w:tcW w:w="850" w:type="dxa"/>
          </w:tcPr>
          <w:p w14:paraId="512A6892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18</w:t>
            </w:r>
          </w:p>
        </w:tc>
        <w:tc>
          <w:tcPr>
            <w:tcW w:w="10348" w:type="dxa"/>
          </w:tcPr>
          <w:p w14:paraId="62FA90BD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Mechanism used to implement the random allocation sequence (</w:t>
            </w:r>
            <w:proofErr w:type="spellStart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eg</w:t>
            </w:r>
            <w:proofErr w:type="spellEnd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, central computer/telephone; sequentially numbered, opaque, sealed containers), describing any steps to conceal the sequence until interventions were assigned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18F8B7C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4</w:t>
            </w:r>
          </w:p>
        </w:tc>
      </w:tr>
      <w:tr w:rsidR="00E806E0" w:rsidRPr="00E806E0" w14:paraId="665FFC86" w14:textId="77777777" w:rsidTr="008047CF">
        <w:trPr>
          <w:trHeight w:val="214"/>
        </w:trPr>
        <w:tc>
          <w:tcPr>
            <w:tcW w:w="1560" w:type="dxa"/>
          </w:tcPr>
          <w:p w14:paraId="48EA8782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</w:tcPr>
          <w:p w14:paraId="685D52A7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 </w:t>
            </w: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Implementation</w:t>
            </w:r>
          </w:p>
        </w:tc>
        <w:tc>
          <w:tcPr>
            <w:tcW w:w="850" w:type="dxa"/>
          </w:tcPr>
          <w:p w14:paraId="5F38B4FF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19</w:t>
            </w:r>
          </w:p>
        </w:tc>
        <w:tc>
          <w:tcPr>
            <w:tcW w:w="10348" w:type="dxa"/>
          </w:tcPr>
          <w:p w14:paraId="1D847CCC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Whether the personnel who enrolled and those who assigned participants to the interventions had access to the random allocation sequence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EB44FA2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4,5</w:t>
            </w:r>
          </w:p>
        </w:tc>
      </w:tr>
      <w:tr w:rsidR="00E806E0" w:rsidRPr="00E806E0" w14:paraId="155098B6" w14:textId="77777777" w:rsidTr="008047CF">
        <w:trPr>
          <w:trHeight w:val="251"/>
        </w:trPr>
        <w:tc>
          <w:tcPr>
            <w:tcW w:w="1560" w:type="dxa"/>
          </w:tcPr>
          <w:p w14:paraId="0B67987E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  <w:vMerge w:val="restart"/>
          </w:tcPr>
          <w:p w14:paraId="2051DE43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Blinding</w:t>
            </w:r>
          </w:p>
        </w:tc>
        <w:tc>
          <w:tcPr>
            <w:tcW w:w="850" w:type="dxa"/>
          </w:tcPr>
          <w:p w14:paraId="7FC86490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20a</w:t>
            </w:r>
          </w:p>
        </w:tc>
        <w:tc>
          <w:tcPr>
            <w:tcW w:w="10348" w:type="dxa"/>
          </w:tcPr>
          <w:p w14:paraId="45C6D94E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Who was blinded after assignment to interventions (</w:t>
            </w:r>
            <w:proofErr w:type="spellStart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eg</w:t>
            </w:r>
            <w:proofErr w:type="spellEnd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, participants, care providers, outcome assessors, data analysts)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88B5BE0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4,5</w:t>
            </w:r>
          </w:p>
        </w:tc>
      </w:tr>
      <w:tr w:rsidR="00E806E0" w:rsidRPr="00E806E0" w14:paraId="3558AC4C" w14:textId="77777777" w:rsidTr="008047CF">
        <w:trPr>
          <w:trHeight w:val="98"/>
        </w:trPr>
        <w:tc>
          <w:tcPr>
            <w:tcW w:w="1560" w:type="dxa"/>
          </w:tcPr>
          <w:p w14:paraId="4FFF4D2A" w14:textId="77777777" w:rsidR="008A2ABD" w:rsidRPr="00E806E0" w:rsidRDefault="008A2ABD" w:rsidP="008A2ABD">
            <w:pPr>
              <w:widowControl w:val="0"/>
              <w:spacing w:after="160" w:line="276" w:lineRule="auto"/>
              <w:ind w:firstLine="0"/>
              <w:jc w:val="center"/>
              <w:rPr>
                <w:rFonts w:ascii="Calibri" w:eastAsia="Aptos" w:hAnsi="Calibri" w:cs="Calibri"/>
                <w:color w:val="000000" w:themeColor="text1"/>
                <w:kern w:val="2"/>
                <w:sz w:val="22"/>
                <w:lang w:val="en-GB"/>
                <w14:ligatures w14:val="standardContextual"/>
              </w:rPr>
            </w:pPr>
          </w:p>
        </w:tc>
        <w:tc>
          <w:tcPr>
            <w:tcW w:w="2694" w:type="dxa"/>
            <w:vMerge/>
          </w:tcPr>
          <w:p w14:paraId="1040364D" w14:textId="77777777" w:rsidR="008A2ABD" w:rsidRPr="00E806E0" w:rsidRDefault="008A2ABD" w:rsidP="008A2ABD">
            <w:pPr>
              <w:widowControl w:val="0"/>
              <w:spacing w:after="160" w:line="276" w:lineRule="auto"/>
              <w:ind w:firstLine="0"/>
              <w:jc w:val="center"/>
              <w:rPr>
                <w:rFonts w:ascii="Calibri" w:eastAsia="Aptos" w:hAnsi="Calibri" w:cs="Calibri"/>
                <w:color w:val="000000" w:themeColor="text1"/>
                <w:kern w:val="2"/>
                <w:sz w:val="22"/>
                <w:lang w:val="en-GB"/>
                <w14:ligatures w14:val="standardContextual"/>
              </w:rPr>
            </w:pPr>
          </w:p>
        </w:tc>
        <w:tc>
          <w:tcPr>
            <w:tcW w:w="850" w:type="dxa"/>
          </w:tcPr>
          <w:p w14:paraId="0A6FECFC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20b</w:t>
            </w:r>
          </w:p>
        </w:tc>
        <w:tc>
          <w:tcPr>
            <w:tcW w:w="10348" w:type="dxa"/>
          </w:tcPr>
          <w:p w14:paraId="02E33E31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If blinded, how blinding was achieved and description of the similarity of interventions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2D58B95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4,5</w:t>
            </w:r>
          </w:p>
        </w:tc>
      </w:tr>
      <w:tr w:rsidR="00E806E0" w:rsidRPr="00E806E0" w14:paraId="69C7C74B" w14:textId="77777777" w:rsidTr="008047CF">
        <w:trPr>
          <w:trHeight w:val="225"/>
        </w:trPr>
        <w:tc>
          <w:tcPr>
            <w:tcW w:w="1560" w:type="dxa"/>
          </w:tcPr>
          <w:p w14:paraId="25D6AFEF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  <w:vMerge w:val="restart"/>
          </w:tcPr>
          <w:p w14:paraId="382832E0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Statistical methods</w:t>
            </w:r>
          </w:p>
        </w:tc>
        <w:tc>
          <w:tcPr>
            <w:tcW w:w="850" w:type="dxa"/>
          </w:tcPr>
          <w:p w14:paraId="7934870D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21a</w:t>
            </w:r>
          </w:p>
        </w:tc>
        <w:tc>
          <w:tcPr>
            <w:tcW w:w="10348" w:type="dxa"/>
          </w:tcPr>
          <w:p w14:paraId="6F2DE918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Statistical methods used to compare groups for primary and secondary outcomes, including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F5422CC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11</w:t>
            </w:r>
          </w:p>
        </w:tc>
      </w:tr>
      <w:tr w:rsidR="00E806E0" w:rsidRPr="00E806E0" w14:paraId="73DF4FC1" w14:textId="77777777" w:rsidTr="008047CF">
        <w:trPr>
          <w:trHeight w:val="225"/>
        </w:trPr>
        <w:tc>
          <w:tcPr>
            <w:tcW w:w="1560" w:type="dxa"/>
          </w:tcPr>
          <w:p w14:paraId="30358A9F" w14:textId="77777777" w:rsidR="008A2ABD" w:rsidRPr="00E806E0" w:rsidRDefault="008A2ABD" w:rsidP="008A2ABD">
            <w:pPr>
              <w:widowControl w:val="0"/>
              <w:spacing w:after="160" w:line="276" w:lineRule="auto"/>
              <w:ind w:firstLine="0"/>
              <w:jc w:val="center"/>
              <w:rPr>
                <w:rFonts w:ascii="Calibri" w:eastAsia="Aptos" w:hAnsi="Calibri" w:cs="Calibri"/>
                <w:color w:val="000000" w:themeColor="text1"/>
                <w:kern w:val="2"/>
                <w:sz w:val="22"/>
                <w:lang w:val="en-GB"/>
                <w14:ligatures w14:val="standardContextual"/>
              </w:rPr>
            </w:pPr>
          </w:p>
        </w:tc>
        <w:tc>
          <w:tcPr>
            <w:tcW w:w="2694" w:type="dxa"/>
            <w:vMerge/>
          </w:tcPr>
          <w:p w14:paraId="1113D1B4" w14:textId="77777777" w:rsidR="008A2ABD" w:rsidRPr="00E806E0" w:rsidRDefault="008A2ABD" w:rsidP="008A2ABD">
            <w:pPr>
              <w:widowControl w:val="0"/>
              <w:spacing w:after="160" w:line="276" w:lineRule="auto"/>
              <w:ind w:firstLine="0"/>
              <w:jc w:val="center"/>
              <w:rPr>
                <w:rFonts w:ascii="Calibri" w:eastAsia="Aptos" w:hAnsi="Calibri" w:cs="Calibri"/>
                <w:color w:val="000000" w:themeColor="text1"/>
                <w:kern w:val="2"/>
                <w:sz w:val="22"/>
                <w:lang w:val="en-GB"/>
                <w14:ligatures w14:val="standardContextual"/>
              </w:rPr>
            </w:pPr>
          </w:p>
        </w:tc>
        <w:tc>
          <w:tcPr>
            <w:tcW w:w="850" w:type="dxa"/>
          </w:tcPr>
          <w:p w14:paraId="406094FF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21b</w:t>
            </w:r>
          </w:p>
        </w:tc>
        <w:tc>
          <w:tcPr>
            <w:tcW w:w="10348" w:type="dxa"/>
          </w:tcPr>
          <w:p w14:paraId="5440D3BA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Definition of who is included in each analysis (</w:t>
            </w:r>
            <w:proofErr w:type="spellStart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eg</w:t>
            </w:r>
            <w:proofErr w:type="spellEnd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, all randomised participants), and in which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6075F49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11</w:t>
            </w:r>
          </w:p>
        </w:tc>
      </w:tr>
      <w:tr w:rsidR="00E806E0" w:rsidRPr="00E806E0" w14:paraId="38AEDDB1" w14:textId="77777777" w:rsidTr="008047CF">
        <w:trPr>
          <w:trHeight w:val="225"/>
        </w:trPr>
        <w:tc>
          <w:tcPr>
            <w:tcW w:w="1560" w:type="dxa"/>
          </w:tcPr>
          <w:p w14:paraId="59038FF4" w14:textId="77777777" w:rsidR="008A2ABD" w:rsidRPr="00E806E0" w:rsidRDefault="008A2ABD" w:rsidP="008A2ABD">
            <w:pPr>
              <w:widowControl w:val="0"/>
              <w:spacing w:after="160" w:line="276" w:lineRule="auto"/>
              <w:ind w:firstLine="0"/>
              <w:jc w:val="center"/>
              <w:rPr>
                <w:rFonts w:ascii="Calibri" w:eastAsia="Aptos" w:hAnsi="Calibri" w:cs="Calibri"/>
                <w:color w:val="000000" w:themeColor="text1"/>
                <w:kern w:val="2"/>
                <w:sz w:val="22"/>
                <w:lang w:val="en-GB"/>
                <w14:ligatures w14:val="standardContextual"/>
              </w:rPr>
            </w:pPr>
          </w:p>
        </w:tc>
        <w:tc>
          <w:tcPr>
            <w:tcW w:w="2694" w:type="dxa"/>
            <w:vMerge/>
          </w:tcPr>
          <w:p w14:paraId="78B672C2" w14:textId="77777777" w:rsidR="008A2ABD" w:rsidRPr="00E806E0" w:rsidRDefault="008A2ABD" w:rsidP="008A2ABD">
            <w:pPr>
              <w:widowControl w:val="0"/>
              <w:spacing w:after="160" w:line="276" w:lineRule="auto"/>
              <w:ind w:firstLine="0"/>
              <w:jc w:val="center"/>
              <w:rPr>
                <w:rFonts w:ascii="Calibri" w:eastAsia="Aptos" w:hAnsi="Calibri" w:cs="Calibri"/>
                <w:color w:val="000000" w:themeColor="text1"/>
                <w:kern w:val="2"/>
                <w:sz w:val="22"/>
                <w:lang w:val="en-GB"/>
                <w14:ligatures w14:val="standardContextual"/>
              </w:rPr>
            </w:pPr>
          </w:p>
        </w:tc>
        <w:tc>
          <w:tcPr>
            <w:tcW w:w="850" w:type="dxa"/>
          </w:tcPr>
          <w:p w14:paraId="0A5D64A1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21c</w:t>
            </w:r>
          </w:p>
        </w:tc>
        <w:tc>
          <w:tcPr>
            <w:tcW w:w="10348" w:type="dxa"/>
          </w:tcPr>
          <w:p w14:paraId="3BEA3A8C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How missing data were handled in the analysis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3D4E055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11</w:t>
            </w:r>
          </w:p>
        </w:tc>
      </w:tr>
      <w:tr w:rsidR="00E806E0" w:rsidRPr="00E806E0" w14:paraId="15E3ECA1" w14:textId="77777777" w:rsidTr="008047CF">
        <w:trPr>
          <w:trHeight w:val="257"/>
        </w:trPr>
        <w:tc>
          <w:tcPr>
            <w:tcW w:w="1560" w:type="dxa"/>
          </w:tcPr>
          <w:p w14:paraId="277BADB6" w14:textId="77777777" w:rsidR="008A2ABD" w:rsidRPr="00E806E0" w:rsidRDefault="008A2ABD" w:rsidP="008A2ABD">
            <w:pPr>
              <w:widowControl w:val="0"/>
              <w:spacing w:after="160" w:line="276" w:lineRule="auto"/>
              <w:ind w:firstLine="0"/>
              <w:jc w:val="center"/>
              <w:rPr>
                <w:rFonts w:ascii="Calibri" w:eastAsia="Aptos" w:hAnsi="Calibri" w:cs="Calibri"/>
                <w:color w:val="000000" w:themeColor="text1"/>
                <w:kern w:val="2"/>
                <w:sz w:val="22"/>
                <w:lang w:val="en-GB"/>
                <w14:ligatures w14:val="standardContextual"/>
              </w:rPr>
            </w:pPr>
          </w:p>
        </w:tc>
        <w:tc>
          <w:tcPr>
            <w:tcW w:w="2694" w:type="dxa"/>
            <w:vMerge/>
          </w:tcPr>
          <w:p w14:paraId="4EC3F3DC" w14:textId="77777777" w:rsidR="008A2ABD" w:rsidRPr="00E806E0" w:rsidRDefault="008A2ABD" w:rsidP="008A2ABD">
            <w:pPr>
              <w:widowControl w:val="0"/>
              <w:spacing w:after="160" w:line="276" w:lineRule="auto"/>
              <w:ind w:firstLine="0"/>
              <w:jc w:val="center"/>
              <w:rPr>
                <w:rFonts w:ascii="Calibri" w:eastAsia="Aptos" w:hAnsi="Calibri" w:cs="Calibri"/>
                <w:color w:val="000000" w:themeColor="text1"/>
                <w:kern w:val="2"/>
                <w:sz w:val="22"/>
                <w:lang w:val="en-GB"/>
                <w14:ligatures w14:val="standardContextual"/>
              </w:rPr>
            </w:pPr>
          </w:p>
        </w:tc>
        <w:tc>
          <w:tcPr>
            <w:tcW w:w="850" w:type="dxa"/>
          </w:tcPr>
          <w:p w14:paraId="4E6F2978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21d</w:t>
            </w:r>
          </w:p>
        </w:tc>
        <w:tc>
          <w:tcPr>
            <w:tcW w:w="10348" w:type="dxa"/>
          </w:tcPr>
          <w:p w14:paraId="1996C5AD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Methods for any additional analyses (</w:t>
            </w:r>
            <w:proofErr w:type="spellStart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eg</w:t>
            </w:r>
            <w:proofErr w:type="spellEnd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, subgroup and sensitivity analyses), distinguishing prespecified from post 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2A3299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11</w:t>
            </w:r>
          </w:p>
        </w:tc>
      </w:tr>
      <w:tr w:rsidR="00E806E0" w:rsidRPr="00E806E0" w14:paraId="10D90442" w14:textId="77777777" w:rsidTr="008047CF">
        <w:trPr>
          <w:trHeight w:val="276"/>
        </w:trPr>
        <w:tc>
          <w:tcPr>
            <w:tcW w:w="1560" w:type="dxa"/>
          </w:tcPr>
          <w:p w14:paraId="63F9962E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b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13892" w:type="dxa"/>
            <w:gridSpan w:val="3"/>
            <w:vAlign w:val="bottom"/>
          </w:tcPr>
          <w:p w14:paraId="79035DAA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b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b/>
                <w:color w:val="000000" w:themeColor="text1"/>
                <w:sz w:val="20"/>
                <w:szCs w:val="24"/>
                <w:lang w:val="en-GB"/>
              </w:rPr>
              <w:t>Results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12D45BC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b/>
                <w:color w:val="000000" w:themeColor="text1"/>
                <w:sz w:val="20"/>
                <w:szCs w:val="24"/>
                <w:lang w:val="en-GB"/>
              </w:rPr>
            </w:pPr>
          </w:p>
        </w:tc>
      </w:tr>
      <w:tr w:rsidR="00E806E0" w:rsidRPr="00E806E0" w14:paraId="77E0E404" w14:textId="77777777" w:rsidTr="008047CF">
        <w:trPr>
          <w:trHeight w:val="409"/>
        </w:trPr>
        <w:tc>
          <w:tcPr>
            <w:tcW w:w="1560" w:type="dxa"/>
          </w:tcPr>
          <w:p w14:paraId="70850BF9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  <w:vMerge w:val="restart"/>
          </w:tcPr>
          <w:p w14:paraId="3B2951E8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Participant flow, including flow diagram</w:t>
            </w:r>
          </w:p>
        </w:tc>
        <w:tc>
          <w:tcPr>
            <w:tcW w:w="850" w:type="dxa"/>
          </w:tcPr>
          <w:p w14:paraId="3B381443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22a</w:t>
            </w:r>
          </w:p>
        </w:tc>
        <w:tc>
          <w:tcPr>
            <w:tcW w:w="10348" w:type="dxa"/>
          </w:tcPr>
          <w:p w14:paraId="716E2627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For each group, the numbers of participants who were randomly assigned, received intended intervention, and were analysed for the primary outcome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9BAA1E0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11,28</w:t>
            </w:r>
          </w:p>
        </w:tc>
      </w:tr>
      <w:tr w:rsidR="00E806E0" w:rsidRPr="00E806E0" w14:paraId="36C10BB5" w14:textId="77777777" w:rsidTr="008047CF">
        <w:trPr>
          <w:trHeight w:val="189"/>
        </w:trPr>
        <w:tc>
          <w:tcPr>
            <w:tcW w:w="1560" w:type="dxa"/>
          </w:tcPr>
          <w:p w14:paraId="09985EE6" w14:textId="77777777" w:rsidR="008A2ABD" w:rsidRPr="00E806E0" w:rsidRDefault="008A2ABD" w:rsidP="008A2ABD">
            <w:pPr>
              <w:widowControl w:val="0"/>
              <w:spacing w:after="160" w:line="276" w:lineRule="auto"/>
              <w:ind w:firstLine="0"/>
              <w:jc w:val="center"/>
              <w:rPr>
                <w:rFonts w:ascii="Calibri" w:eastAsia="Aptos" w:hAnsi="Calibri" w:cs="Calibri"/>
                <w:color w:val="000000" w:themeColor="text1"/>
                <w:kern w:val="2"/>
                <w:sz w:val="22"/>
                <w:lang w:val="en-GB"/>
                <w14:ligatures w14:val="standardContextual"/>
              </w:rPr>
            </w:pPr>
          </w:p>
        </w:tc>
        <w:tc>
          <w:tcPr>
            <w:tcW w:w="2694" w:type="dxa"/>
            <w:vMerge/>
          </w:tcPr>
          <w:p w14:paraId="357D5155" w14:textId="77777777" w:rsidR="008A2ABD" w:rsidRPr="00E806E0" w:rsidRDefault="008A2ABD" w:rsidP="008A2ABD">
            <w:pPr>
              <w:widowControl w:val="0"/>
              <w:spacing w:after="160" w:line="276" w:lineRule="auto"/>
              <w:ind w:firstLine="0"/>
              <w:jc w:val="center"/>
              <w:rPr>
                <w:rFonts w:ascii="Calibri" w:eastAsia="Aptos" w:hAnsi="Calibri" w:cs="Calibri"/>
                <w:color w:val="000000" w:themeColor="text1"/>
                <w:kern w:val="2"/>
                <w:sz w:val="22"/>
                <w:lang w:val="en-GB"/>
                <w14:ligatures w14:val="standardContextual"/>
              </w:rPr>
            </w:pPr>
          </w:p>
        </w:tc>
        <w:tc>
          <w:tcPr>
            <w:tcW w:w="850" w:type="dxa"/>
          </w:tcPr>
          <w:p w14:paraId="23A5F110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22b</w:t>
            </w:r>
          </w:p>
        </w:tc>
        <w:tc>
          <w:tcPr>
            <w:tcW w:w="10348" w:type="dxa"/>
          </w:tcPr>
          <w:p w14:paraId="301DBBB8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For each group, losses and exclusions after randomisation, together with reasons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FB75190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11,28</w:t>
            </w:r>
          </w:p>
        </w:tc>
      </w:tr>
      <w:tr w:rsidR="00E806E0" w:rsidRPr="00E806E0" w14:paraId="7AE7C60C" w14:textId="77777777" w:rsidTr="008047CF">
        <w:trPr>
          <w:trHeight w:val="221"/>
        </w:trPr>
        <w:tc>
          <w:tcPr>
            <w:tcW w:w="1560" w:type="dxa"/>
          </w:tcPr>
          <w:p w14:paraId="26EAE51D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  <w:vMerge w:val="restart"/>
          </w:tcPr>
          <w:p w14:paraId="1C645285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Recruitment</w:t>
            </w:r>
          </w:p>
        </w:tc>
        <w:tc>
          <w:tcPr>
            <w:tcW w:w="850" w:type="dxa"/>
          </w:tcPr>
          <w:p w14:paraId="4FBE68A5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23a</w:t>
            </w:r>
          </w:p>
        </w:tc>
        <w:tc>
          <w:tcPr>
            <w:tcW w:w="10348" w:type="dxa"/>
          </w:tcPr>
          <w:p w14:paraId="56C161D9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Dates defining the periods of recruitment and follow-up for outcomes of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3D3AEDA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11</w:t>
            </w:r>
          </w:p>
        </w:tc>
      </w:tr>
      <w:tr w:rsidR="00E806E0" w:rsidRPr="00E806E0" w14:paraId="7FA3CA32" w14:textId="77777777" w:rsidTr="008047CF">
        <w:trPr>
          <w:trHeight w:val="276"/>
        </w:trPr>
        <w:tc>
          <w:tcPr>
            <w:tcW w:w="1560" w:type="dxa"/>
          </w:tcPr>
          <w:p w14:paraId="28A5A6EF" w14:textId="77777777" w:rsidR="008A2ABD" w:rsidRPr="00E806E0" w:rsidRDefault="008A2ABD" w:rsidP="008A2ABD">
            <w:pPr>
              <w:widowControl w:val="0"/>
              <w:spacing w:after="160" w:line="276" w:lineRule="auto"/>
              <w:ind w:firstLine="0"/>
              <w:jc w:val="center"/>
              <w:rPr>
                <w:rFonts w:ascii="Calibri" w:eastAsia="Aptos" w:hAnsi="Calibri" w:cs="Calibri"/>
                <w:color w:val="000000" w:themeColor="text1"/>
                <w:kern w:val="2"/>
                <w:sz w:val="22"/>
                <w:lang w:val="en-GB"/>
                <w14:ligatures w14:val="standardContextual"/>
              </w:rPr>
            </w:pPr>
          </w:p>
        </w:tc>
        <w:tc>
          <w:tcPr>
            <w:tcW w:w="2694" w:type="dxa"/>
            <w:vMerge/>
          </w:tcPr>
          <w:p w14:paraId="7601D9F1" w14:textId="77777777" w:rsidR="008A2ABD" w:rsidRPr="00E806E0" w:rsidRDefault="008A2ABD" w:rsidP="008A2ABD">
            <w:pPr>
              <w:widowControl w:val="0"/>
              <w:spacing w:after="160" w:line="276" w:lineRule="auto"/>
              <w:ind w:firstLine="0"/>
              <w:jc w:val="center"/>
              <w:rPr>
                <w:rFonts w:ascii="Calibri" w:eastAsia="Aptos" w:hAnsi="Calibri" w:cs="Calibri"/>
                <w:color w:val="000000" w:themeColor="text1"/>
                <w:kern w:val="2"/>
                <w:sz w:val="22"/>
                <w:lang w:val="en-GB"/>
                <w14:ligatures w14:val="standardContextual"/>
              </w:rPr>
            </w:pPr>
          </w:p>
        </w:tc>
        <w:tc>
          <w:tcPr>
            <w:tcW w:w="850" w:type="dxa"/>
          </w:tcPr>
          <w:p w14:paraId="4012D874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23b</w:t>
            </w:r>
          </w:p>
        </w:tc>
        <w:tc>
          <w:tcPr>
            <w:tcW w:w="10348" w:type="dxa"/>
          </w:tcPr>
          <w:p w14:paraId="2E06B52E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If relevant, why the trial ended or was stopped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26173C9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11</w:t>
            </w:r>
          </w:p>
        </w:tc>
      </w:tr>
      <w:tr w:rsidR="00E806E0" w:rsidRPr="00E806E0" w14:paraId="0531F9EB" w14:textId="77777777" w:rsidTr="008047CF">
        <w:trPr>
          <w:trHeight w:val="441"/>
        </w:trPr>
        <w:tc>
          <w:tcPr>
            <w:tcW w:w="1560" w:type="dxa"/>
          </w:tcPr>
          <w:p w14:paraId="4990DABF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  <w:vMerge w:val="restart"/>
          </w:tcPr>
          <w:p w14:paraId="5524B185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Intervention and comparator delivery</w:t>
            </w:r>
          </w:p>
        </w:tc>
        <w:tc>
          <w:tcPr>
            <w:tcW w:w="850" w:type="dxa"/>
          </w:tcPr>
          <w:p w14:paraId="7BBB16E0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24a</w:t>
            </w:r>
          </w:p>
        </w:tc>
        <w:tc>
          <w:tcPr>
            <w:tcW w:w="10348" w:type="dxa"/>
          </w:tcPr>
          <w:p w14:paraId="53698E3A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Intervention and comparator as they were actually administered (</w:t>
            </w:r>
            <w:proofErr w:type="spellStart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eg</w:t>
            </w:r>
            <w:proofErr w:type="spellEnd"/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, where appropriate, who delivered the intervention/comparator, how participants adhered, whether they were delivered as intended (fidelity))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8234D8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12</w:t>
            </w:r>
          </w:p>
        </w:tc>
      </w:tr>
      <w:tr w:rsidR="00E806E0" w:rsidRPr="00E806E0" w14:paraId="5F8E7510" w14:textId="77777777" w:rsidTr="008047CF">
        <w:trPr>
          <w:trHeight w:val="243"/>
        </w:trPr>
        <w:tc>
          <w:tcPr>
            <w:tcW w:w="1560" w:type="dxa"/>
          </w:tcPr>
          <w:p w14:paraId="694D6FBB" w14:textId="77777777" w:rsidR="008A2ABD" w:rsidRPr="00E806E0" w:rsidRDefault="008A2ABD" w:rsidP="008A2ABD">
            <w:pPr>
              <w:widowControl w:val="0"/>
              <w:spacing w:after="160" w:line="276" w:lineRule="auto"/>
              <w:ind w:firstLine="0"/>
              <w:jc w:val="center"/>
              <w:rPr>
                <w:rFonts w:ascii="Calibri" w:eastAsia="Aptos" w:hAnsi="Calibri" w:cs="Calibri"/>
                <w:color w:val="000000" w:themeColor="text1"/>
                <w:kern w:val="2"/>
                <w:sz w:val="22"/>
                <w:lang w:val="en-GB"/>
                <w14:ligatures w14:val="standardContextual"/>
              </w:rPr>
            </w:pPr>
          </w:p>
        </w:tc>
        <w:tc>
          <w:tcPr>
            <w:tcW w:w="2694" w:type="dxa"/>
            <w:vMerge/>
          </w:tcPr>
          <w:p w14:paraId="5AC43E16" w14:textId="77777777" w:rsidR="008A2ABD" w:rsidRPr="00E806E0" w:rsidRDefault="008A2ABD" w:rsidP="008A2ABD">
            <w:pPr>
              <w:widowControl w:val="0"/>
              <w:spacing w:after="160" w:line="276" w:lineRule="auto"/>
              <w:ind w:firstLine="0"/>
              <w:jc w:val="center"/>
              <w:rPr>
                <w:rFonts w:ascii="Calibri" w:eastAsia="Aptos" w:hAnsi="Calibri" w:cs="Calibri"/>
                <w:color w:val="000000" w:themeColor="text1"/>
                <w:kern w:val="2"/>
                <w:sz w:val="22"/>
                <w:lang w:val="en-GB"/>
                <w14:ligatures w14:val="standardContextual"/>
              </w:rPr>
            </w:pPr>
          </w:p>
        </w:tc>
        <w:tc>
          <w:tcPr>
            <w:tcW w:w="850" w:type="dxa"/>
          </w:tcPr>
          <w:p w14:paraId="358EB413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24b</w:t>
            </w:r>
          </w:p>
        </w:tc>
        <w:tc>
          <w:tcPr>
            <w:tcW w:w="10348" w:type="dxa"/>
          </w:tcPr>
          <w:p w14:paraId="3E9F0DD3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Concomitant care received during the trial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6E23815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NA</w:t>
            </w:r>
          </w:p>
        </w:tc>
      </w:tr>
      <w:tr w:rsidR="00E806E0" w:rsidRPr="00E806E0" w14:paraId="398CB632" w14:textId="77777777" w:rsidTr="008047CF">
        <w:trPr>
          <w:trHeight w:val="243"/>
        </w:trPr>
        <w:tc>
          <w:tcPr>
            <w:tcW w:w="1560" w:type="dxa"/>
          </w:tcPr>
          <w:p w14:paraId="772DD554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</w:tcPr>
          <w:p w14:paraId="345DF4A6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Baseline data</w:t>
            </w:r>
          </w:p>
        </w:tc>
        <w:tc>
          <w:tcPr>
            <w:tcW w:w="850" w:type="dxa"/>
          </w:tcPr>
          <w:p w14:paraId="137F44F9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25</w:t>
            </w:r>
          </w:p>
        </w:tc>
        <w:tc>
          <w:tcPr>
            <w:tcW w:w="10348" w:type="dxa"/>
          </w:tcPr>
          <w:p w14:paraId="1485AE92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A table showing baseline demographic and clinical characteristics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786CDA9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29</w:t>
            </w:r>
          </w:p>
        </w:tc>
      </w:tr>
      <w:tr w:rsidR="00E806E0" w:rsidRPr="00E806E0" w14:paraId="38D3769A" w14:textId="77777777" w:rsidTr="008047CF">
        <w:trPr>
          <w:trHeight w:val="416"/>
        </w:trPr>
        <w:tc>
          <w:tcPr>
            <w:tcW w:w="1560" w:type="dxa"/>
          </w:tcPr>
          <w:p w14:paraId="663661EC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</w:tcPr>
          <w:p w14:paraId="4F5778B2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Numbers analysed,</w:t>
            </w:r>
          </w:p>
          <w:p w14:paraId="69BE15F6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outcomes and estimation</w:t>
            </w:r>
          </w:p>
        </w:tc>
        <w:tc>
          <w:tcPr>
            <w:tcW w:w="850" w:type="dxa"/>
          </w:tcPr>
          <w:p w14:paraId="3C5D5B47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26</w:t>
            </w:r>
          </w:p>
        </w:tc>
        <w:tc>
          <w:tcPr>
            <w:tcW w:w="10348" w:type="dxa"/>
          </w:tcPr>
          <w:p w14:paraId="6483959F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For each primary and secondary outcome, by group:</w:t>
            </w:r>
          </w:p>
          <w:p w14:paraId="270FE502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● the number of participants included in the analysis</w:t>
            </w:r>
          </w:p>
          <w:p w14:paraId="27D134F3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● the number of participants with available data at the outcome time point</w:t>
            </w:r>
          </w:p>
          <w:p w14:paraId="1FE92319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● result for each group, and the estimated effect size and its precision (such as 95% confidence interval)</w:t>
            </w:r>
          </w:p>
          <w:p w14:paraId="4DF4413C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● for binary outcomes, presentation of both absolute and relative effect size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E777BC1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30-34</w:t>
            </w:r>
          </w:p>
        </w:tc>
      </w:tr>
      <w:tr w:rsidR="00E806E0" w:rsidRPr="00E806E0" w14:paraId="4E0C3779" w14:textId="77777777" w:rsidTr="008047CF">
        <w:trPr>
          <w:trHeight w:val="204"/>
        </w:trPr>
        <w:tc>
          <w:tcPr>
            <w:tcW w:w="1560" w:type="dxa"/>
          </w:tcPr>
          <w:p w14:paraId="2379C378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</w:tcPr>
          <w:p w14:paraId="114C9E0D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Harms</w:t>
            </w:r>
          </w:p>
        </w:tc>
        <w:tc>
          <w:tcPr>
            <w:tcW w:w="850" w:type="dxa"/>
          </w:tcPr>
          <w:p w14:paraId="435808D4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27</w:t>
            </w:r>
          </w:p>
        </w:tc>
        <w:tc>
          <w:tcPr>
            <w:tcW w:w="10348" w:type="dxa"/>
          </w:tcPr>
          <w:p w14:paraId="23577805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All harms or unintended events in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DA42AD6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12</w:t>
            </w:r>
          </w:p>
        </w:tc>
      </w:tr>
      <w:tr w:rsidR="00E806E0" w:rsidRPr="00E806E0" w14:paraId="598EE317" w14:textId="77777777" w:rsidTr="008047CF">
        <w:trPr>
          <w:trHeight w:val="416"/>
        </w:trPr>
        <w:tc>
          <w:tcPr>
            <w:tcW w:w="1560" w:type="dxa"/>
          </w:tcPr>
          <w:p w14:paraId="45B8EDCE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</w:tcPr>
          <w:p w14:paraId="6287D14C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Ancillary analyses</w:t>
            </w:r>
          </w:p>
        </w:tc>
        <w:tc>
          <w:tcPr>
            <w:tcW w:w="850" w:type="dxa"/>
          </w:tcPr>
          <w:p w14:paraId="0F754C2B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28</w:t>
            </w:r>
          </w:p>
        </w:tc>
        <w:tc>
          <w:tcPr>
            <w:tcW w:w="10348" w:type="dxa"/>
          </w:tcPr>
          <w:p w14:paraId="21F7D541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Any other analyses performed, including subgroup and sensitivity analyses, distinguishing pre-specified from post 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BBCEAF7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NA</w:t>
            </w:r>
          </w:p>
        </w:tc>
      </w:tr>
      <w:tr w:rsidR="00E806E0" w:rsidRPr="00E806E0" w14:paraId="5CB41D3C" w14:textId="77777777" w:rsidTr="008047CF">
        <w:trPr>
          <w:trHeight w:val="56"/>
        </w:trPr>
        <w:tc>
          <w:tcPr>
            <w:tcW w:w="1560" w:type="dxa"/>
          </w:tcPr>
          <w:p w14:paraId="59AACFA2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b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13892" w:type="dxa"/>
            <w:gridSpan w:val="3"/>
          </w:tcPr>
          <w:p w14:paraId="08EC515F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b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b/>
                <w:color w:val="000000" w:themeColor="text1"/>
                <w:sz w:val="20"/>
                <w:szCs w:val="24"/>
                <w:lang w:val="en-GB"/>
              </w:rPr>
              <w:t>Discussion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CFA62FB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b/>
                <w:color w:val="000000" w:themeColor="text1"/>
                <w:sz w:val="20"/>
                <w:szCs w:val="24"/>
                <w:lang w:val="en-GB"/>
              </w:rPr>
            </w:pPr>
          </w:p>
        </w:tc>
      </w:tr>
      <w:tr w:rsidR="00E806E0" w:rsidRPr="00E806E0" w14:paraId="165E70D3" w14:textId="77777777" w:rsidTr="008047CF">
        <w:trPr>
          <w:trHeight w:val="281"/>
        </w:trPr>
        <w:tc>
          <w:tcPr>
            <w:tcW w:w="1560" w:type="dxa"/>
          </w:tcPr>
          <w:p w14:paraId="04D26FED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</w:tcPr>
          <w:p w14:paraId="181C8482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Interpretation</w:t>
            </w:r>
          </w:p>
        </w:tc>
        <w:tc>
          <w:tcPr>
            <w:tcW w:w="850" w:type="dxa"/>
          </w:tcPr>
          <w:p w14:paraId="1914258D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29</w:t>
            </w:r>
          </w:p>
        </w:tc>
        <w:tc>
          <w:tcPr>
            <w:tcW w:w="10348" w:type="dxa"/>
          </w:tcPr>
          <w:p w14:paraId="34F16026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Interpretation consistent with results, balancing benefits and harms, and considering other relevant evidence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B02680C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13-16</w:t>
            </w:r>
          </w:p>
        </w:tc>
      </w:tr>
      <w:tr w:rsidR="00E806E0" w:rsidRPr="00E806E0" w14:paraId="4CEA80B5" w14:textId="77777777" w:rsidTr="008047CF">
        <w:trPr>
          <w:trHeight w:val="281"/>
        </w:trPr>
        <w:tc>
          <w:tcPr>
            <w:tcW w:w="1560" w:type="dxa"/>
          </w:tcPr>
          <w:p w14:paraId="401B07AC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68023416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Limitations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79531B2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30</w:t>
            </w:r>
          </w:p>
        </w:tc>
        <w:tc>
          <w:tcPr>
            <w:tcW w:w="10348" w:type="dxa"/>
            <w:tcBorders>
              <w:bottom w:val="single" w:sz="4" w:space="0" w:color="auto"/>
            </w:tcBorders>
          </w:tcPr>
          <w:p w14:paraId="71A03D3F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 w:themeColor="text1"/>
                <w:sz w:val="22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Trial limitations, addressing sources of potential bias, imprecision, generalisability, and, if relevant, multiplicity of analyses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B5A93F2" w14:textId="77777777" w:rsidR="008A2ABD" w:rsidRPr="00E806E0" w:rsidRDefault="008A2ABD" w:rsidP="008A2AB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</w:pPr>
            <w:r w:rsidRPr="00E806E0">
              <w:rPr>
                <w:rFonts w:ascii="Times New Roman" w:eastAsia="Calibri" w:hAnsi="Times New Roman"/>
                <w:color w:val="000000" w:themeColor="text1"/>
                <w:sz w:val="20"/>
                <w:szCs w:val="24"/>
                <w:lang w:val="en-GB"/>
              </w:rPr>
              <w:t>17</w:t>
            </w:r>
          </w:p>
        </w:tc>
      </w:tr>
    </w:tbl>
    <w:p w14:paraId="75863574" w14:textId="77777777" w:rsidR="00FE0C3F" w:rsidRPr="00E806E0" w:rsidRDefault="00FE0C3F" w:rsidP="00FE0C3F">
      <w:pPr>
        <w:rPr>
          <w:color w:val="000000" w:themeColor="text1"/>
          <w:lang w:val="en-US"/>
        </w:rPr>
      </w:pPr>
    </w:p>
    <w:p w14:paraId="0F111935" w14:textId="77777777" w:rsidR="00FE0C3F" w:rsidRPr="00E806E0" w:rsidRDefault="00FE0C3F">
      <w:pPr>
        <w:rPr>
          <w:color w:val="000000" w:themeColor="text1"/>
          <w:lang w:val="en-GB"/>
        </w:rPr>
      </w:pPr>
    </w:p>
    <w:sectPr w:rsidR="00FE0C3F" w:rsidRPr="00E806E0" w:rsidSect="00E806E0">
      <w:footerReference w:type="even" r:id="rId14"/>
      <w:type w:val="continuous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965B94" w14:textId="77777777" w:rsidR="00FC7316" w:rsidRDefault="00FC7316">
      <w:pPr>
        <w:spacing w:line="240" w:lineRule="auto"/>
      </w:pPr>
      <w:r>
        <w:separator/>
      </w:r>
    </w:p>
  </w:endnote>
  <w:endnote w:type="continuationSeparator" w:id="0">
    <w:p w14:paraId="453138D7" w14:textId="77777777" w:rsidR="00FC7316" w:rsidRDefault="00FC73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D6977C" w14:textId="77777777" w:rsidR="00404190" w:rsidRDefault="00404190">
    <w:pPr>
      <w:pStyle w:val="Foot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end"/>
    </w:r>
  </w:p>
  <w:p w14:paraId="647E362E" w14:textId="77777777" w:rsidR="00404190" w:rsidRDefault="004041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766C7D" w14:textId="77777777" w:rsidR="00FC7316" w:rsidRDefault="00FC7316">
      <w:pPr>
        <w:spacing w:line="240" w:lineRule="auto"/>
      </w:pPr>
      <w:r>
        <w:separator/>
      </w:r>
    </w:p>
  </w:footnote>
  <w:footnote w:type="continuationSeparator" w:id="0">
    <w:p w14:paraId="1AEE4FB7" w14:textId="77777777" w:rsidR="00FC7316" w:rsidRDefault="00FC731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527BC" w14:textId="77777777" w:rsidR="008A4C6E" w:rsidRDefault="008A4C6E" w:rsidP="00801984">
    <w:pPr>
      <w:pStyle w:val="Header"/>
      <w:framePr w:wrap="none" w:vAnchor="text" w:hAnchor="margin" w:xAlign="right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 PAGE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17</w:t>
    </w:r>
    <w:r>
      <w:rPr>
        <w:rStyle w:val="PageNumber"/>
        <w:rFonts w:eastAsiaTheme="majorEastAsia"/>
      </w:rPr>
      <w:fldChar w:fldCharType="end"/>
    </w:r>
  </w:p>
  <w:p w14:paraId="79124237" w14:textId="77777777" w:rsidR="008A4C6E" w:rsidRDefault="008A4C6E" w:rsidP="00AB4884">
    <w:pPr>
      <w:pStyle w:val="Header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849300174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623A275F" w14:textId="77777777" w:rsidR="008A4C6E" w:rsidRDefault="008A4C6E" w:rsidP="00DB1A77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E806E0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C054146" w14:textId="77777777" w:rsidR="008A4C6E" w:rsidRDefault="008A4C6E" w:rsidP="00801984">
    <w:pPr>
      <w:pStyle w:val="Header"/>
      <w:framePr w:w="9206" w:h="402" w:hRule="exact" w:wrap="none" w:vAnchor="text" w:hAnchor="page" w:x="1259" w:y="3"/>
      <w:ind w:right="360"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07AC75" w14:textId="77777777" w:rsidR="00F954D8" w:rsidRDefault="00F954D8" w:rsidP="00801984">
    <w:pPr>
      <w:pStyle w:val="Header"/>
      <w:framePr w:wrap="none" w:vAnchor="text" w:hAnchor="margin" w:xAlign="right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 PAGE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17</w:t>
    </w:r>
    <w:r>
      <w:rPr>
        <w:rStyle w:val="PageNumber"/>
        <w:rFonts w:eastAsiaTheme="majorEastAsia"/>
      </w:rPr>
      <w:fldChar w:fldCharType="end"/>
    </w:r>
  </w:p>
  <w:p w14:paraId="386FF3A0" w14:textId="77777777" w:rsidR="00F954D8" w:rsidRDefault="00F954D8" w:rsidP="00AB4884">
    <w:pPr>
      <w:pStyle w:val="Header"/>
      <w:ind w:right="360"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280227220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2E9690EB" w14:textId="77777777" w:rsidR="00F954D8" w:rsidRDefault="00F954D8" w:rsidP="00DB1A77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E806E0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1424CE7" w14:textId="77777777" w:rsidR="00F954D8" w:rsidRDefault="00F954D8" w:rsidP="00801984">
    <w:pPr>
      <w:pStyle w:val="Header"/>
      <w:framePr w:w="9206" w:h="402" w:hRule="exact" w:wrap="none" w:vAnchor="text" w:hAnchor="page" w:x="1259" w:y="3"/>
      <w:ind w:right="360" w:firstLine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0A7C77" w14:textId="77777777" w:rsidR="008A4C6E" w:rsidRDefault="008A4C6E" w:rsidP="00801984">
    <w:pPr>
      <w:pStyle w:val="Header"/>
      <w:framePr w:wrap="none" w:vAnchor="text" w:hAnchor="margin" w:xAlign="right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 PAGE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17</w:t>
    </w:r>
    <w:r>
      <w:rPr>
        <w:rStyle w:val="PageNumber"/>
        <w:rFonts w:eastAsiaTheme="majorEastAsia"/>
      </w:rPr>
      <w:fldChar w:fldCharType="end"/>
    </w:r>
  </w:p>
  <w:p w14:paraId="7955A87C" w14:textId="77777777" w:rsidR="008A4C6E" w:rsidRDefault="008A4C6E" w:rsidP="00AB4884">
    <w:pPr>
      <w:pStyle w:val="Header"/>
      <w:ind w:right="360" w:firstLine="36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669591373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D782345" w14:textId="77777777" w:rsidR="008A4C6E" w:rsidRDefault="008A4C6E" w:rsidP="00DB1A77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E806E0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04EE0069" w14:textId="77777777" w:rsidR="008A4C6E" w:rsidRDefault="008A4C6E" w:rsidP="00801984">
    <w:pPr>
      <w:pStyle w:val="Header"/>
      <w:framePr w:w="9206" w:h="402" w:hRule="exact" w:wrap="none" w:vAnchor="text" w:hAnchor="page" w:x="1259" w:y="3"/>
      <w:ind w:right="360"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85BA1"/>
    <w:multiLevelType w:val="hybridMultilevel"/>
    <w:tmpl w:val="D870BAB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277254"/>
    <w:multiLevelType w:val="hybridMultilevel"/>
    <w:tmpl w:val="AB241A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DB0B45"/>
    <w:multiLevelType w:val="hybridMultilevel"/>
    <w:tmpl w:val="00BEDD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94695B"/>
    <w:multiLevelType w:val="hybridMultilevel"/>
    <w:tmpl w:val="4D3425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303"/>
    <w:rsid w:val="000220A6"/>
    <w:rsid w:val="00404190"/>
    <w:rsid w:val="005873CE"/>
    <w:rsid w:val="005B1191"/>
    <w:rsid w:val="00614F28"/>
    <w:rsid w:val="006718BB"/>
    <w:rsid w:val="008A2ABD"/>
    <w:rsid w:val="008A4C6E"/>
    <w:rsid w:val="008F120C"/>
    <w:rsid w:val="00922F42"/>
    <w:rsid w:val="00AD6303"/>
    <w:rsid w:val="00B3787E"/>
    <w:rsid w:val="00B41DAC"/>
    <w:rsid w:val="00B85BEE"/>
    <w:rsid w:val="00C132F8"/>
    <w:rsid w:val="00D7414F"/>
    <w:rsid w:val="00E26001"/>
    <w:rsid w:val="00E806E0"/>
    <w:rsid w:val="00F82BBA"/>
    <w:rsid w:val="00F954D8"/>
    <w:rsid w:val="00FC7316"/>
    <w:rsid w:val="00FE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A3BE9"/>
  <w15:chartTrackingRefBased/>
  <w15:docId w15:val="{DEAA31DB-9DEA-EE40-8F2C-C466C8F4A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"/>
    <w:qFormat/>
    <w:rsid w:val="00AD6303"/>
    <w:pPr>
      <w:spacing w:line="360" w:lineRule="auto"/>
      <w:ind w:firstLine="851"/>
      <w:jc w:val="both"/>
    </w:pPr>
    <w:rPr>
      <w:rFonts w:ascii="Arial" w:hAnsi="Arial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63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63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63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63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63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63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63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63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63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63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63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63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63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63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63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63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63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63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63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63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6303"/>
    <w:pPr>
      <w:numPr>
        <w:ilvl w:val="1"/>
      </w:numPr>
      <w:spacing w:after="160"/>
      <w:ind w:firstLine="851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63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63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6303"/>
    <w:rPr>
      <w:i/>
      <w:iCs/>
      <w:color w:val="404040" w:themeColor="text1" w:themeTint="BF"/>
    </w:rPr>
  </w:style>
  <w:style w:type="paragraph" w:styleId="ListParagraph">
    <w:name w:val="List Paragraph"/>
    <w:aliases w:val="Título das ilustrações"/>
    <w:basedOn w:val="Normal"/>
    <w:uiPriority w:val="34"/>
    <w:qFormat/>
    <w:rsid w:val="00AD63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63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3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3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6303"/>
    <w:rPr>
      <w:b/>
      <w:bCs/>
      <w:smallCaps/>
      <w:color w:val="0F4761" w:themeColor="accent1" w:themeShade="BF"/>
      <w:spacing w:val="5"/>
    </w:rPr>
  </w:style>
  <w:style w:type="character" w:styleId="PageNumber">
    <w:name w:val="page number"/>
    <w:basedOn w:val="DefaultParagraphFont"/>
    <w:uiPriority w:val="99"/>
    <w:rsid w:val="008A4C6E"/>
  </w:style>
  <w:style w:type="paragraph" w:styleId="Header">
    <w:name w:val="header"/>
    <w:basedOn w:val="Normal"/>
    <w:link w:val="HeaderChar"/>
    <w:uiPriority w:val="99"/>
    <w:rsid w:val="008A4C6E"/>
    <w:pPr>
      <w:tabs>
        <w:tab w:val="center" w:pos="4819"/>
        <w:tab w:val="right" w:pos="9638"/>
      </w:tabs>
      <w:spacing w:line="240" w:lineRule="auto"/>
      <w:ind w:firstLine="0"/>
      <w:jc w:val="left"/>
    </w:pPr>
    <w:rPr>
      <w:rFonts w:ascii="Times New Roman" w:eastAsia="Times New Roman" w:hAnsi="Times New Roman" w:cs="Times New Roman"/>
      <w:szCs w:val="24"/>
      <w:lang w:val="it-IT" w:eastAsia="it-IT"/>
    </w:rPr>
  </w:style>
  <w:style w:type="character" w:customStyle="1" w:styleId="HeaderChar">
    <w:name w:val="Header Char"/>
    <w:basedOn w:val="DefaultParagraphFont"/>
    <w:link w:val="Header"/>
    <w:uiPriority w:val="99"/>
    <w:rsid w:val="008A4C6E"/>
    <w:rPr>
      <w:rFonts w:ascii="Times New Roman" w:eastAsia="Times New Roman" w:hAnsi="Times New Roman" w:cs="Times New Roman"/>
      <w:lang w:val="it-IT" w:eastAsia="it-IT"/>
    </w:rPr>
  </w:style>
  <w:style w:type="table" w:customStyle="1" w:styleId="ListaClara-nfase32">
    <w:name w:val="Lista Clara - Ênfase 32"/>
    <w:basedOn w:val="TableNormal"/>
    <w:next w:val="LightList-Accent3"/>
    <w:uiPriority w:val="61"/>
    <w:semiHidden/>
    <w:unhideWhenUsed/>
    <w:rsid w:val="008A4C6E"/>
    <w:rPr>
      <w:sz w:val="22"/>
      <w:szCs w:val="22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8A4C6E"/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8A4C6E"/>
  </w:style>
  <w:style w:type="paragraph" w:styleId="Footer">
    <w:name w:val="footer"/>
    <w:basedOn w:val="Normal"/>
    <w:link w:val="FooterChar"/>
    <w:uiPriority w:val="99"/>
    <w:semiHidden/>
    <w:unhideWhenUsed/>
    <w:rsid w:val="00404190"/>
    <w:pPr>
      <w:tabs>
        <w:tab w:val="center" w:pos="4252"/>
        <w:tab w:val="right" w:pos="8504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04190"/>
    <w:rPr>
      <w:rFonts w:ascii="Arial" w:hAnsi="Arial"/>
      <w:szCs w:val="22"/>
    </w:rPr>
  </w:style>
  <w:style w:type="table" w:styleId="TableGridLight">
    <w:name w:val="Grid Table Light"/>
    <w:basedOn w:val="TableNormal"/>
    <w:uiPriority w:val="40"/>
    <w:rsid w:val="0040419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40419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Style2">
    <w:name w:val="Style2"/>
    <w:basedOn w:val="TableNormal"/>
    <w:rsid w:val="00FE0C3F"/>
    <w:pPr>
      <w:spacing w:line="480" w:lineRule="auto"/>
    </w:pPr>
    <w:rPr>
      <w:rFonts w:ascii="Times New Roman" w:eastAsia="Times New Roman" w:hAnsi="Times New Roman" w:cs="Times New Roman"/>
      <w:color w:val="333333"/>
      <w:lang w:val="en-US" w:eastAsia="en-GB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Body">
    <w:name w:val="TableBody"/>
    <w:basedOn w:val="Normal"/>
    <w:link w:val="TableBodyChar"/>
    <w:rsid w:val="00FE0C3F"/>
    <w:pPr>
      <w:spacing w:line="240" w:lineRule="auto"/>
      <w:ind w:firstLine="0"/>
      <w:jc w:val="left"/>
    </w:pPr>
    <w:rPr>
      <w:rFonts w:ascii="Times New Roman" w:eastAsia="Calibri" w:hAnsi="Times New Roman" w:cs="Times New Roman"/>
      <w:sz w:val="20"/>
      <w:szCs w:val="20"/>
      <w:lang w:val="en-GB"/>
    </w:rPr>
  </w:style>
  <w:style w:type="paragraph" w:customStyle="1" w:styleId="TableHeader">
    <w:name w:val="TableHeader"/>
    <w:basedOn w:val="Normal"/>
    <w:next w:val="Normal"/>
    <w:rsid w:val="00FE0C3F"/>
    <w:pPr>
      <w:spacing w:line="240" w:lineRule="auto"/>
      <w:ind w:firstLine="0"/>
      <w:jc w:val="left"/>
    </w:pPr>
    <w:rPr>
      <w:rFonts w:ascii="Times New Roman" w:eastAsia="Calibri" w:hAnsi="Times New Roman" w:cs="Times New Roman"/>
      <w:b/>
      <w:szCs w:val="20"/>
      <w:lang w:val="en-GB"/>
    </w:rPr>
  </w:style>
  <w:style w:type="character" w:customStyle="1" w:styleId="TableBodyChar">
    <w:name w:val="TableBody Char"/>
    <w:basedOn w:val="DefaultParagraphFont"/>
    <w:link w:val="TableBody"/>
    <w:rsid w:val="00FE0C3F"/>
    <w:rPr>
      <w:rFonts w:ascii="Times New Roman" w:eastAsia="Calibri" w:hAnsi="Times New Roman" w:cs="Times New Roman"/>
      <w:sz w:val="20"/>
      <w:szCs w:val="20"/>
      <w:lang w:val="en-GB"/>
    </w:rPr>
  </w:style>
  <w:style w:type="paragraph" w:customStyle="1" w:styleId="TableNote">
    <w:name w:val="TableNote"/>
    <w:basedOn w:val="Normal"/>
    <w:rsid w:val="00FE0C3F"/>
    <w:pPr>
      <w:spacing w:line="300" w:lineRule="exact"/>
      <w:ind w:firstLine="0"/>
      <w:jc w:val="left"/>
    </w:pPr>
    <w:rPr>
      <w:rFonts w:ascii="Times New Roman" w:eastAsia="Times New Roman" w:hAnsi="Times New Roman" w:cs="Times New Roman"/>
      <w:szCs w:val="20"/>
      <w:lang w:val="en-GB"/>
    </w:rPr>
  </w:style>
  <w:style w:type="character" w:styleId="Hyperlink">
    <w:name w:val="Hyperlink"/>
    <w:rsid w:val="00FE0C3F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A2A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7452D-3C4F-47F0-8ED2-E1DC313F4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1190</Words>
  <Characters>6784</Characters>
  <Application>Microsoft Office Word</Application>
  <DocSecurity>0</DocSecurity>
  <Lines>56</Lines>
  <Paragraphs>15</Paragraphs>
  <ScaleCrop>false</ScaleCrop>
  <Company/>
  <LinksUpToDate>false</LinksUpToDate>
  <CharactersWithSpaces>7959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Mabel Diesel</dc:creator>
  <cp:keywords/>
  <dc:description/>
  <cp:lastModifiedBy>Chelladurai Sudalaimani</cp:lastModifiedBy>
  <cp:revision>10</cp:revision>
  <dcterms:created xsi:type="dcterms:W3CDTF">2024-05-02T21:08:00Z</dcterms:created>
  <dcterms:modified xsi:type="dcterms:W3CDTF">2026-06-27T03:09:00Z</dcterms:modified>
</cp:coreProperties>
</file>