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F69" w:rsidRDefault="00074F69" w:rsidP="00074F69">
      <w:pPr>
        <w:pStyle w:val="berschrift1"/>
      </w:pPr>
      <w:bookmarkStart w:id="0" w:name="_Toc33632295"/>
      <w:r w:rsidRPr="00617241">
        <w:t>Appendi</w:t>
      </w:r>
      <w:r>
        <w:t>ces</w:t>
      </w:r>
      <w:bookmarkEnd w:id="0"/>
    </w:p>
    <w:p w:rsidR="00074F69" w:rsidRPr="00356A51" w:rsidRDefault="00074F69" w:rsidP="00074F69"/>
    <w:p w:rsidR="00074F69" w:rsidRPr="00DF0A93" w:rsidRDefault="00074F69" w:rsidP="00074F69">
      <w:pPr>
        <w:pStyle w:val="berschrift2"/>
      </w:pPr>
      <w:r w:rsidRPr="00DF0A93">
        <w:t>Appendix A – Mineral nutrient composition</w:t>
      </w:r>
    </w:p>
    <w:p w:rsidR="00074F69" w:rsidRPr="00617241" w:rsidRDefault="00074F69" w:rsidP="00074F69">
      <w:pPr>
        <w:rPr>
          <w:rFonts w:eastAsia="SimHei" w:cs="Calibri Light"/>
          <w:sz w:val="17"/>
          <w:szCs w:val="17"/>
        </w:rPr>
      </w:pPr>
    </w:p>
    <w:p w:rsidR="00074F69" w:rsidRPr="00617241" w:rsidRDefault="00074F69" w:rsidP="00074F69">
      <w:pPr>
        <w:rPr>
          <w:rFonts w:eastAsia="SimHei" w:cs="Calibri Light"/>
          <w:sz w:val="17"/>
          <w:szCs w:val="17"/>
        </w:rPr>
      </w:pPr>
    </w:p>
    <w:p w:rsidR="00074F69" w:rsidRPr="00DA06FD" w:rsidRDefault="00074F69" w:rsidP="00074F69">
      <w:pPr>
        <w:pStyle w:val="Beschriftung"/>
      </w:pPr>
      <w:r w:rsidRPr="00DA06FD">
        <w:rPr>
          <w:rFonts w:eastAsia="SimHei"/>
          <w:b/>
        </w:rPr>
        <w:t xml:space="preserve">Table </w:t>
      </w:r>
      <w:r>
        <w:rPr>
          <w:rFonts w:eastAsia="SimHei"/>
          <w:b/>
        </w:rPr>
        <w:t>7</w:t>
      </w:r>
      <w:r w:rsidRPr="00DA06FD">
        <w:rPr>
          <w:rFonts w:eastAsia="SimHei"/>
        </w:rPr>
        <w:t xml:space="preserve"> Mean nutrient </w:t>
      </w:r>
      <w:r w:rsidRPr="00AE4345">
        <w:rPr>
          <w:rFonts w:eastAsia="SimHei"/>
        </w:rPr>
        <w:t xml:space="preserve">concentrations </w:t>
      </w:r>
      <w:r w:rsidRPr="00DA06FD">
        <w:rPr>
          <w:rFonts w:eastAsia="SimHei"/>
        </w:rPr>
        <w:t xml:space="preserve">for the reproductive and vegetative DM </w:t>
      </w:r>
      <w:r w:rsidRPr="00DA06FD">
        <w:t>of the different fertilizer treatments</w:t>
      </w:r>
      <w:r>
        <w:t>.</w:t>
      </w:r>
    </w:p>
    <w:tbl>
      <w:tblPr>
        <w:tblW w:w="9900" w:type="dxa"/>
        <w:tblBorders>
          <w:top w:val="single" w:sz="4" w:space="0" w:color="auto"/>
          <w:bottom w:val="single" w:sz="4" w:space="0" w:color="auto"/>
        </w:tblBorders>
        <w:tblLayout w:type="fixed"/>
        <w:tblLook w:val="04A0" w:firstRow="1" w:lastRow="0" w:firstColumn="1" w:lastColumn="0" w:noHBand="0" w:noVBand="1"/>
      </w:tblPr>
      <w:tblGrid>
        <w:gridCol w:w="706"/>
        <w:gridCol w:w="1134"/>
        <w:gridCol w:w="1132"/>
        <w:gridCol w:w="1133"/>
        <w:gridCol w:w="1150"/>
        <w:gridCol w:w="1131"/>
        <w:gridCol w:w="1139"/>
        <w:gridCol w:w="1137"/>
        <w:gridCol w:w="1238"/>
      </w:tblGrid>
      <w:tr w:rsidR="00074F69" w:rsidRPr="00DA06FD" w:rsidTr="00D64B56">
        <w:trPr>
          <w:trHeight w:val="287"/>
        </w:trPr>
        <w:tc>
          <w:tcPr>
            <w:tcW w:w="357" w:type="pct"/>
            <w:tcBorders>
              <w:top w:val="single" w:sz="4" w:space="0" w:color="auto"/>
              <w:bottom w:val="single" w:sz="4" w:space="0" w:color="auto"/>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6"/>
                <w:szCs w:val="16"/>
              </w:rPr>
            </w:pPr>
            <w:r w:rsidRPr="00DA06FD">
              <w:rPr>
                <w:rFonts w:asciiTheme="minorHAnsi" w:hAnsiTheme="minorHAnsi" w:cstheme="minorHAnsi"/>
                <w:b/>
                <w:color w:val="000000"/>
                <w:sz w:val="16"/>
                <w:szCs w:val="16"/>
              </w:rPr>
              <w:t> </w:t>
            </w:r>
          </w:p>
        </w:tc>
        <w:tc>
          <w:tcPr>
            <w:tcW w:w="2297" w:type="pct"/>
            <w:gridSpan w:val="4"/>
            <w:tcBorders>
              <w:top w:val="single" w:sz="4" w:space="0" w:color="auto"/>
              <w:left w:val="nil"/>
              <w:bottom w:val="single" w:sz="4" w:space="0" w:color="auto"/>
              <w:right w:val="nil"/>
            </w:tcBorders>
            <w:shd w:val="clear" w:color="auto" w:fill="auto"/>
            <w:hideMark/>
          </w:tcPr>
          <w:p w:rsidR="00074F69" w:rsidRPr="00DA06FD" w:rsidRDefault="00074F69" w:rsidP="00D64B56">
            <w:pPr>
              <w:jc w:val="center"/>
              <w:rPr>
                <w:rFonts w:asciiTheme="minorHAnsi" w:hAnsiTheme="minorHAnsi" w:cstheme="minorHAnsi"/>
                <w:b/>
                <w:color w:val="000000"/>
                <w:sz w:val="15"/>
                <w:szCs w:val="15"/>
              </w:rPr>
            </w:pPr>
            <w:r w:rsidRPr="00DA06FD">
              <w:rPr>
                <w:rFonts w:asciiTheme="minorHAnsi" w:hAnsiTheme="minorHAnsi" w:cstheme="minorHAnsi"/>
                <w:b/>
                <w:color w:val="000000"/>
                <w:sz w:val="15"/>
                <w:szCs w:val="15"/>
              </w:rPr>
              <w:t>Nutrient concentration in fruit DM</w:t>
            </w:r>
          </w:p>
        </w:tc>
        <w:tc>
          <w:tcPr>
            <w:tcW w:w="2346" w:type="pct"/>
            <w:gridSpan w:val="4"/>
            <w:tcBorders>
              <w:top w:val="single" w:sz="4" w:space="0" w:color="auto"/>
              <w:left w:val="nil"/>
              <w:bottom w:val="single" w:sz="4" w:space="0" w:color="auto"/>
              <w:right w:val="nil"/>
            </w:tcBorders>
            <w:shd w:val="clear" w:color="auto" w:fill="auto"/>
            <w:noWrap/>
            <w:hideMark/>
          </w:tcPr>
          <w:p w:rsidR="00074F69" w:rsidRPr="00DA06FD" w:rsidRDefault="00074F69" w:rsidP="00D64B56">
            <w:pPr>
              <w:jc w:val="center"/>
              <w:rPr>
                <w:rFonts w:asciiTheme="minorHAnsi" w:hAnsiTheme="minorHAnsi" w:cstheme="minorHAnsi"/>
                <w:b/>
                <w:color w:val="000000"/>
                <w:sz w:val="15"/>
                <w:szCs w:val="15"/>
              </w:rPr>
            </w:pPr>
            <w:r w:rsidRPr="00DA06FD">
              <w:rPr>
                <w:rFonts w:asciiTheme="minorHAnsi" w:hAnsiTheme="minorHAnsi" w:cstheme="minorHAnsi"/>
                <w:b/>
                <w:color w:val="000000"/>
                <w:sz w:val="15"/>
                <w:szCs w:val="15"/>
              </w:rPr>
              <w:t>Nutrient concentration in shoot DM</w:t>
            </w:r>
          </w:p>
        </w:tc>
      </w:tr>
      <w:tr w:rsidR="00074F69" w:rsidRPr="00DA06FD" w:rsidTr="00D64B56">
        <w:trPr>
          <w:trHeight w:val="233"/>
        </w:trPr>
        <w:tc>
          <w:tcPr>
            <w:tcW w:w="357" w:type="pct"/>
            <w:tcBorders>
              <w:top w:val="single" w:sz="4" w:space="0" w:color="auto"/>
              <w:bottom w:val="single" w:sz="4" w:space="0" w:color="auto"/>
              <w:right w:val="nil"/>
            </w:tcBorders>
            <w:shd w:val="clear" w:color="auto" w:fill="auto"/>
            <w:vAlign w:val="bottom"/>
            <w:hideMark/>
          </w:tcPr>
          <w:p w:rsidR="00074F69" w:rsidRPr="00DA06FD" w:rsidRDefault="00074F69" w:rsidP="00D64B56">
            <w:pPr>
              <w:jc w:val="both"/>
              <w:rPr>
                <w:rFonts w:asciiTheme="minorHAnsi" w:hAnsiTheme="minorHAnsi" w:cstheme="minorHAnsi"/>
                <w:b/>
                <w:sz w:val="13"/>
                <w:szCs w:val="13"/>
              </w:rPr>
            </w:pPr>
            <w:r w:rsidRPr="00DA06FD">
              <w:rPr>
                <w:rFonts w:asciiTheme="minorHAnsi" w:hAnsiTheme="minorHAnsi" w:cstheme="minorHAnsi"/>
                <w:b/>
                <w:sz w:val="13"/>
                <w:szCs w:val="13"/>
              </w:rPr>
              <w:t>Nutrient</w:t>
            </w:r>
          </w:p>
        </w:tc>
        <w:tc>
          <w:tcPr>
            <w:tcW w:w="573" w:type="pct"/>
            <w:tcBorders>
              <w:top w:val="single" w:sz="4" w:space="0" w:color="auto"/>
              <w:left w:val="nil"/>
              <w:bottom w:val="single" w:sz="4" w:space="0" w:color="auto"/>
            </w:tcBorders>
            <w:shd w:val="clear" w:color="auto" w:fill="auto"/>
            <w:vAlign w:val="bottom"/>
            <w:hideMark/>
          </w:tcPr>
          <w:p w:rsidR="00074F69" w:rsidRPr="00DA06FD" w:rsidRDefault="00074F69" w:rsidP="00D64B56">
            <w:pPr>
              <w:rPr>
                <w:rFonts w:asciiTheme="minorHAnsi" w:hAnsiTheme="minorHAnsi" w:cstheme="minorHAnsi"/>
                <w:b/>
                <w:sz w:val="13"/>
                <w:szCs w:val="13"/>
              </w:rPr>
            </w:pPr>
            <w:r w:rsidRPr="00DA06FD">
              <w:rPr>
                <w:rFonts w:asciiTheme="minorHAnsi" w:hAnsiTheme="minorHAnsi" w:cstheme="minorHAnsi"/>
                <w:b/>
                <w:sz w:val="13"/>
                <w:szCs w:val="13"/>
              </w:rPr>
              <w:t>NPK</w:t>
            </w:r>
          </w:p>
        </w:tc>
        <w:tc>
          <w:tcPr>
            <w:tcW w:w="572" w:type="pct"/>
            <w:tcBorders>
              <w:top w:val="single" w:sz="4" w:space="0" w:color="auto"/>
              <w:bottom w:val="single" w:sz="4" w:space="0" w:color="auto"/>
            </w:tcBorders>
            <w:shd w:val="clear" w:color="auto" w:fill="auto"/>
            <w:vAlign w:val="bottom"/>
            <w:hideMark/>
          </w:tcPr>
          <w:p w:rsidR="00074F69" w:rsidRPr="00DA06FD" w:rsidRDefault="00074F69" w:rsidP="00D64B56">
            <w:pPr>
              <w:rPr>
                <w:rFonts w:asciiTheme="minorHAnsi" w:hAnsiTheme="minorHAnsi" w:cstheme="minorHAnsi"/>
                <w:b/>
                <w:sz w:val="13"/>
                <w:szCs w:val="13"/>
              </w:rPr>
            </w:pPr>
            <w:r w:rsidRPr="00DA06FD">
              <w:rPr>
                <w:rFonts w:asciiTheme="minorHAnsi" w:hAnsiTheme="minorHAnsi" w:cstheme="minorHAnsi"/>
                <w:b/>
                <w:sz w:val="13"/>
                <w:szCs w:val="13"/>
              </w:rPr>
              <w:t>CRO</w:t>
            </w:r>
          </w:p>
        </w:tc>
        <w:tc>
          <w:tcPr>
            <w:tcW w:w="572" w:type="pct"/>
            <w:tcBorders>
              <w:top w:val="single" w:sz="4" w:space="0" w:color="auto"/>
              <w:bottom w:val="single" w:sz="4" w:space="0" w:color="auto"/>
            </w:tcBorders>
            <w:shd w:val="clear" w:color="auto" w:fill="auto"/>
            <w:vAlign w:val="bottom"/>
            <w:hideMark/>
          </w:tcPr>
          <w:p w:rsidR="00074F69" w:rsidRPr="00DA06FD" w:rsidRDefault="00074F69" w:rsidP="00D64B56">
            <w:pPr>
              <w:rPr>
                <w:rFonts w:asciiTheme="minorHAnsi" w:hAnsiTheme="minorHAnsi" w:cstheme="minorHAnsi"/>
                <w:b/>
                <w:sz w:val="13"/>
                <w:szCs w:val="13"/>
              </w:rPr>
            </w:pPr>
            <w:r w:rsidRPr="00DA06FD">
              <w:rPr>
                <w:rFonts w:asciiTheme="minorHAnsi" w:hAnsiTheme="minorHAnsi" w:cstheme="minorHAnsi"/>
                <w:b/>
                <w:sz w:val="13"/>
                <w:szCs w:val="13"/>
              </w:rPr>
              <w:t>S+V</w:t>
            </w:r>
          </w:p>
        </w:tc>
        <w:tc>
          <w:tcPr>
            <w:tcW w:w="581" w:type="pct"/>
            <w:tcBorders>
              <w:top w:val="single" w:sz="4" w:space="0" w:color="auto"/>
              <w:bottom w:val="single" w:sz="4" w:space="0" w:color="auto"/>
              <w:right w:val="nil"/>
            </w:tcBorders>
            <w:shd w:val="clear" w:color="auto" w:fill="auto"/>
            <w:vAlign w:val="bottom"/>
            <w:hideMark/>
          </w:tcPr>
          <w:p w:rsidR="00074F69" w:rsidRPr="00DA06FD" w:rsidRDefault="00074F69" w:rsidP="00D64B56">
            <w:pPr>
              <w:rPr>
                <w:rFonts w:asciiTheme="minorHAnsi" w:hAnsiTheme="minorHAnsi" w:cstheme="minorHAnsi"/>
                <w:b/>
                <w:sz w:val="13"/>
                <w:szCs w:val="13"/>
              </w:rPr>
            </w:pPr>
            <w:r w:rsidRPr="00DA06FD">
              <w:rPr>
                <w:rFonts w:asciiTheme="minorHAnsi" w:hAnsiTheme="minorHAnsi" w:cstheme="minorHAnsi"/>
                <w:b/>
                <w:sz w:val="13"/>
                <w:szCs w:val="13"/>
              </w:rPr>
              <w:t>AUR</w:t>
            </w:r>
          </w:p>
        </w:tc>
        <w:tc>
          <w:tcPr>
            <w:tcW w:w="571" w:type="pct"/>
            <w:tcBorders>
              <w:top w:val="single" w:sz="4" w:space="0" w:color="auto"/>
              <w:left w:val="nil"/>
              <w:bottom w:val="single" w:sz="4" w:space="0" w:color="auto"/>
            </w:tcBorders>
            <w:shd w:val="clear" w:color="auto" w:fill="auto"/>
            <w:vAlign w:val="bottom"/>
            <w:hideMark/>
          </w:tcPr>
          <w:p w:rsidR="00074F69" w:rsidRPr="00DA06FD" w:rsidRDefault="00074F69" w:rsidP="00D64B56">
            <w:pPr>
              <w:rPr>
                <w:rFonts w:asciiTheme="minorHAnsi" w:hAnsiTheme="minorHAnsi" w:cstheme="minorHAnsi"/>
                <w:b/>
                <w:sz w:val="13"/>
                <w:szCs w:val="13"/>
              </w:rPr>
            </w:pPr>
            <w:r w:rsidRPr="00DA06FD">
              <w:rPr>
                <w:rFonts w:asciiTheme="minorHAnsi" w:hAnsiTheme="minorHAnsi" w:cstheme="minorHAnsi"/>
                <w:b/>
                <w:sz w:val="13"/>
                <w:szCs w:val="13"/>
              </w:rPr>
              <w:t>NPK</w:t>
            </w:r>
          </w:p>
        </w:tc>
        <w:tc>
          <w:tcPr>
            <w:tcW w:w="575" w:type="pct"/>
            <w:tcBorders>
              <w:top w:val="single" w:sz="4" w:space="0" w:color="auto"/>
              <w:bottom w:val="single" w:sz="4" w:space="0" w:color="auto"/>
            </w:tcBorders>
            <w:shd w:val="clear" w:color="auto" w:fill="auto"/>
            <w:vAlign w:val="bottom"/>
            <w:hideMark/>
          </w:tcPr>
          <w:p w:rsidR="00074F69" w:rsidRPr="00DA06FD" w:rsidRDefault="00074F69" w:rsidP="00D64B56">
            <w:pPr>
              <w:rPr>
                <w:rFonts w:asciiTheme="minorHAnsi" w:hAnsiTheme="minorHAnsi" w:cstheme="minorHAnsi"/>
                <w:b/>
                <w:sz w:val="13"/>
                <w:szCs w:val="13"/>
              </w:rPr>
            </w:pPr>
            <w:r w:rsidRPr="00DA06FD">
              <w:rPr>
                <w:rFonts w:asciiTheme="minorHAnsi" w:hAnsiTheme="minorHAnsi" w:cstheme="minorHAnsi"/>
                <w:b/>
                <w:sz w:val="13"/>
                <w:szCs w:val="13"/>
              </w:rPr>
              <w:t>CRO</w:t>
            </w:r>
          </w:p>
        </w:tc>
        <w:tc>
          <w:tcPr>
            <w:tcW w:w="574" w:type="pct"/>
            <w:tcBorders>
              <w:top w:val="single" w:sz="4" w:space="0" w:color="auto"/>
              <w:bottom w:val="single" w:sz="4" w:space="0" w:color="auto"/>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S+V</w:t>
            </w:r>
          </w:p>
        </w:tc>
        <w:tc>
          <w:tcPr>
            <w:tcW w:w="625" w:type="pct"/>
            <w:tcBorders>
              <w:top w:val="single" w:sz="4" w:space="0" w:color="auto"/>
              <w:bottom w:val="single" w:sz="4" w:space="0" w:color="auto"/>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AUR</w:t>
            </w:r>
          </w:p>
        </w:tc>
      </w:tr>
      <w:tr w:rsidR="00074F69" w:rsidRPr="00DA06FD" w:rsidTr="00D64B56">
        <w:trPr>
          <w:trHeight w:val="233"/>
        </w:trPr>
        <w:tc>
          <w:tcPr>
            <w:tcW w:w="357" w:type="pct"/>
            <w:tcBorders>
              <w:top w:val="single" w:sz="4" w:space="0" w:color="auto"/>
              <w:bottom w:val="single" w:sz="4" w:space="0" w:color="auto"/>
              <w:right w:val="nil"/>
            </w:tcBorders>
            <w:shd w:val="clear" w:color="auto" w:fill="auto"/>
            <w:vAlign w:val="bottom"/>
          </w:tcPr>
          <w:p w:rsidR="00074F69" w:rsidRPr="00DA06FD" w:rsidRDefault="00074F69" w:rsidP="00D64B56">
            <w:pPr>
              <w:rPr>
                <w:rFonts w:asciiTheme="minorHAnsi" w:hAnsiTheme="minorHAnsi" w:cstheme="minorHAnsi"/>
                <w:b/>
                <w:sz w:val="15"/>
                <w:szCs w:val="15"/>
              </w:rPr>
            </w:pPr>
          </w:p>
        </w:tc>
        <w:tc>
          <w:tcPr>
            <w:tcW w:w="2297" w:type="pct"/>
            <w:gridSpan w:val="4"/>
            <w:tcBorders>
              <w:top w:val="single" w:sz="4" w:space="0" w:color="auto"/>
              <w:left w:val="nil"/>
              <w:bottom w:val="single" w:sz="4" w:space="0" w:color="auto"/>
            </w:tcBorders>
            <w:shd w:val="clear" w:color="auto" w:fill="auto"/>
            <w:vAlign w:val="bottom"/>
          </w:tcPr>
          <w:p w:rsidR="00074F69" w:rsidRPr="00DA06FD" w:rsidRDefault="00074F69" w:rsidP="00D64B56">
            <w:pPr>
              <w:jc w:val="center"/>
              <w:rPr>
                <w:rFonts w:asciiTheme="minorHAnsi" w:hAnsiTheme="minorHAnsi" w:cstheme="minorHAnsi"/>
                <w:b/>
                <w:sz w:val="13"/>
                <w:szCs w:val="13"/>
              </w:rPr>
            </w:pPr>
            <w:r w:rsidRPr="00DA06FD">
              <w:rPr>
                <w:rFonts w:asciiTheme="minorHAnsi" w:hAnsiTheme="minorHAnsi" w:cstheme="minorHAnsi"/>
                <w:color w:val="000000"/>
                <w:sz w:val="13"/>
                <w:szCs w:val="13"/>
              </w:rPr>
              <w:t>[mg kg</w:t>
            </w:r>
            <w:r w:rsidRPr="00DA06FD">
              <w:rPr>
                <w:rFonts w:asciiTheme="minorHAnsi" w:hAnsiTheme="minorHAnsi" w:cstheme="minorHAnsi"/>
                <w:color w:val="000000"/>
                <w:position w:val="6"/>
                <w:sz w:val="13"/>
                <w:szCs w:val="13"/>
                <w:vertAlign w:val="superscript"/>
              </w:rPr>
              <w:t>-1</w:t>
            </w:r>
            <w:r w:rsidRPr="00DA06FD">
              <w:rPr>
                <w:rFonts w:asciiTheme="minorHAnsi" w:hAnsiTheme="minorHAnsi" w:cstheme="minorHAnsi"/>
                <w:color w:val="000000"/>
                <w:sz w:val="13"/>
                <w:szCs w:val="13"/>
              </w:rPr>
              <w:t>]</w:t>
            </w:r>
          </w:p>
        </w:tc>
        <w:tc>
          <w:tcPr>
            <w:tcW w:w="2346" w:type="pct"/>
            <w:gridSpan w:val="4"/>
            <w:tcBorders>
              <w:top w:val="single" w:sz="4" w:space="0" w:color="auto"/>
              <w:left w:val="nil"/>
              <w:bottom w:val="single" w:sz="4" w:space="0" w:color="auto"/>
            </w:tcBorders>
            <w:shd w:val="clear" w:color="auto" w:fill="auto"/>
            <w:vAlign w:val="bottom"/>
          </w:tcPr>
          <w:p w:rsidR="00074F69" w:rsidRPr="00DA06FD" w:rsidRDefault="00074F69" w:rsidP="00D64B56">
            <w:pPr>
              <w:jc w:val="center"/>
              <w:rPr>
                <w:rFonts w:asciiTheme="minorHAnsi" w:hAnsiTheme="minorHAnsi" w:cstheme="minorHAnsi"/>
                <w:b/>
                <w:color w:val="000000"/>
                <w:sz w:val="13"/>
                <w:szCs w:val="13"/>
              </w:rPr>
            </w:pPr>
            <w:r w:rsidRPr="00DA06FD">
              <w:rPr>
                <w:rFonts w:asciiTheme="minorHAnsi" w:hAnsiTheme="minorHAnsi" w:cstheme="minorHAnsi"/>
                <w:color w:val="000000"/>
                <w:sz w:val="13"/>
                <w:szCs w:val="13"/>
              </w:rPr>
              <w:t>[mg kg</w:t>
            </w:r>
            <w:r w:rsidRPr="00DA06FD">
              <w:rPr>
                <w:rFonts w:asciiTheme="minorHAnsi" w:hAnsiTheme="minorHAnsi" w:cstheme="minorHAnsi"/>
                <w:color w:val="000000"/>
                <w:position w:val="6"/>
                <w:sz w:val="13"/>
                <w:szCs w:val="13"/>
                <w:vertAlign w:val="superscript"/>
              </w:rPr>
              <w:t>-1</w:t>
            </w:r>
            <w:r w:rsidRPr="00DA06FD">
              <w:rPr>
                <w:rFonts w:asciiTheme="minorHAnsi" w:hAnsiTheme="minorHAnsi" w:cstheme="minorHAnsi"/>
                <w:color w:val="000000"/>
                <w:sz w:val="13"/>
                <w:szCs w:val="13"/>
              </w:rPr>
              <w:t>]</w:t>
            </w:r>
          </w:p>
        </w:tc>
      </w:tr>
      <w:tr w:rsidR="00074F69" w:rsidRPr="00DA06FD" w:rsidTr="00D64B56">
        <w:trPr>
          <w:trHeight w:val="226"/>
        </w:trPr>
        <w:tc>
          <w:tcPr>
            <w:tcW w:w="357" w:type="pct"/>
            <w:tcBorders>
              <w:top w:val="single" w:sz="4" w:space="0" w:color="auto"/>
              <w:left w:val="nil"/>
              <w:bottom w:val="nil"/>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N</w:t>
            </w:r>
          </w:p>
        </w:tc>
        <w:tc>
          <w:tcPr>
            <w:tcW w:w="573" w:type="pct"/>
            <w:tcBorders>
              <w:top w:val="single" w:sz="4" w:space="0" w:color="auto"/>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29179 ± 1719 a </w:t>
            </w:r>
          </w:p>
        </w:tc>
        <w:tc>
          <w:tcPr>
            <w:tcW w:w="572" w:type="pct"/>
            <w:tcBorders>
              <w:top w:val="single" w:sz="4" w:space="0" w:color="auto"/>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18799 ± 1070 b </w:t>
            </w:r>
          </w:p>
        </w:tc>
        <w:tc>
          <w:tcPr>
            <w:tcW w:w="572" w:type="pct"/>
            <w:tcBorders>
              <w:top w:val="single" w:sz="4" w:space="0" w:color="auto"/>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sz w:val="12"/>
                <w:szCs w:val="12"/>
              </w:rPr>
            </w:pPr>
            <w:r w:rsidRPr="00DA06FD">
              <w:rPr>
                <w:rFonts w:asciiTheme="minorHAnsi" w:hAnsiTheme="minorHAnsi" w:cstheme="minorHAnsi"/>
                <w:sz w:val="12"/>
                <w:szCs w:val="12"/>
              </w:rPr>
              <w:t xml:space="preserve">24148 </w:t>
            </w:r>
            <w:r w:rsidRPr="00DA06FD">
              <w:rPr>
                <w:rFonts w:asciiTheme="minorHAnsi" w:hAnsiTheme="minorHAnsi" w:cstheme="minorHAnsi"/>
                <w:color w:val="000000"/>
                <w:sz w:val="12"/>
                <w:szCs w:val="12"/>
              </w:rPr>
              <w:t xml:space="preserve">± 454 ab </w:t>
            </w:r>
          </w:p>
        </w:tc>
        <w:tc>
          <w:tcPr>
            <w:tcW w:w="581" w:type="pct"/>
            <w:tcBorders>
              <w:top w:val="single" w:sz="4" w:space="0" w:color="auto"/>
              <w:left w:val="nil"/>
              <w:bottom w:val="nil"/>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25391 ± 1132 a </w:t>
            </w:r>
          </w:p>
        </w:tc>
        <w:tc>
          <w:tcPr>
            <w:tcW w:w="571" w:type="pct"/>
            <w:tcBorders>
              <w:top w:val="single" w:sz="4" w:space="0" w:color="auto"/>
              <w:left w:val="single" w:sz="4" w:space="0" w:color="auto"/>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35954 ± 1412 ns</w:t>
            </w:r>
          </w:p>
        </w:tc>
        <w:tc>
          <w:tcPr>
            <w:tcW w:w="575" w:type="pct"/>
            <w:tcBorders>
              <w:top w:val="single" w:sz="4" w:space="0" w:color="auto"/>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29994 ± 2941 ns</w:t>
            </w:r>
            <w:r w:rsidRPr="00DA06FD">
              <w:rPr>
                <w:rFonts w:asciiTheme="minorHAnsi" w:hAnsiTheme="minorHAnsi" w:cstheme="minorHAnsi"/>
                <w:color w:val="000000"/>
                <w:sz w:val="12"/>
                <w:szCs w:val="12"/>
              </w:rPr>
              <w:t xml:space="preserve"> </w:t>
            </w:r>
          </w:p>
        </w:tc>
        <w:tc>
          <w:tcPr>
            <w:tcW w:w="574" w:type="pct"/>
            <w:tcBorders>
              <w:top w:val="single" w:sz="4" w:space="0" w:color="auto"/>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31169 ± 1466 ns</w:t>
            </w:r>
          </w:p>
        </w:tc>
        <w:tc>
          <w:tcPr>
            <w:tcW w:w="625" w:type="pct"/>
            <w:tcBorders>
              <w:top w:val="single" w:sz="4" w:space="0" w:color="auto"/>
              <w:left w:val="nil"/>
              <w:bottom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36156 ± 1516 ns</w:t>
            </w:r>
            <w:r w:rsidRPr="00DA06FD">
              <w:rPr>
                <w:rFonts w:asciiTheme="minorHAnsi" w:hAnsiTheme="minorHAnsi" w:cstheme="minorHAnsi"/>
                <w:color w:val="000000"/>
                <w:sz w:val="12"/>
                <w:szCs w:val="12"/>
              </w:rPr>
              <w:t xml:space="preserve"> </w:t>
            </w:r>
          </w:p>
        </w:tc>
      </w:tr>
      <w:tr w:rsidR="00074F69" w:rsidRPr="00DA06FD" w:rsidTr="00D64B56">
        <w:trPr>
          <w:trHeight w:val="226"/>
        </w:trPr>
        <w:tc>
          <w:tcPr>
            <w:tcW w:w="357" w:type="pct"/>
            <w:tcBorders>
              <w:top w:val="nil"/>
              <w:left w:val="nil"/>
              <w:bottom w:val="nil"/>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P</w:t>
            </w:r>
          </w:p>
        </w:tc>
        <w:tc>
          <w:tcPr>
            <w:tcW w:w="573"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6010 ± 180 a </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5004 ± 65 b </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4863 ± 142 b </w:t>
            </w:r>
          </w:p>
        </w:tc>
        <w:tc>
          <w:tcPr>
            <w:tcW w:w="581" w:type="pct"/>
            <w:tcBorders>
              <w:top w:val="nil"/>
              <w:left w:val="nil"/>
              <w:bottom w:val="nil"/>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5475 ± 109 a</w:t>
            </w:r>
          </w:p>
        </w:tc>
        <w:tc>
          <w:tcPr>
            <w:tcW w:w="571" w:type="pct"/>
            <w:tcBorders>
              <w:top w:val="nil"/>
              <w:left w:val="single" w:sz="4" w:space="0" w:color="auto"/>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 xml:space="preserve">4496 ± 31 </w:t>
            </w:r>
            <w:r>
              <w:rPr>
                <w:rFonts w:asciiTheme="minorHAnsi" w:hAnsiTheme="minorHAnsi" w:cstheme="minorHAnsi"/>
                <w:sz w:val="12"/>
                <w:szCs w:val="12"/>
              </w:rPr>
              <w:t>b</w:t>
            </w:r>
          </w:p>
        </w:tc>
        <w:tc>
          <w:tcPr>
            <w:tcW w:w="575"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7011 ± 221 a</w:t>
            </w:r>
            <w:r w:rsidRPr="00DA06FD">
              <w:rPr>
                <w:rFonts w:asciiTheme="minorHAnsi" w:hAnsiTheme="minorHAnsi" w:cstheme="minorHAnsi"/>
                <w:color w:val="000000"/>
                <w:sz w:val="12"/>
                <w:szCs w:val="12"/>
              </w:rPr>
              <w:t xml:space="preserve"> </w:t>
            </w:r>
          </w:p>
        </w:tc>
        <w:tc>
          <w:tcPr>
            <w:tcW w:w="574"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5964 ± 230 a</w:t>
            </w:r>
            <w:r>
              <w:rPr>
                <w:rFonts w:asciiTheme="minorHAnsi" w:hAnsiTheme="minorHAnsi" w:cstheme="minorHAnsi"/>
                <w:sz w:val="12"/>
                <w:szCs w:val="12"/>
              </w:rPr>
              <w:t>b</w:t>
            </w:r>
          </w:p>
        </w:tc>
        <w:tc>
          <w:tcPr>
            <w:tcW w:w="625" w:type="pct"/>
            <w:tcBorders>
              <w:top w:val="nil"/>
              <w:left w:val="nil"/>
              <w:bottom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7413 ± 1055 a</w:t>
            </w:r>
          </w:p>
        </w:tc>
      </w:tr>
      <w:tr w:rsidR="00074F69" w:rsidRPr="00DA06FD" w:rsidTr="00D64B56">
        <w:trPr>
          <w:trHeight w:val="226"/>
        </w:trPr>
        <w:tc>
          <w:tcPr>
            <w:tcW w:w="357" w:type="pct"/>
            <w:tcBorders>
              <w:top w:val="nil"/>
              <w:left w:val="nil"/>
              <w:bottom w:val="nil"/>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K</w:t>
            </w:r>
          </w:p>
        </w:tc>
        <w:tc>
          <w:tcPr>
            <w:tcW w:w="573"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52543 ± 1020 a  </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47741 ± 360 ab </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40588 ± 1729 c </w:t>
            </w:r>
          </w:p>
        </w:tc>
        <w:tc>
          <w:tcPr>
            <w:tcW w:w="581" w:type="pct"/>
            <w:tcBorders>
              <w:top w:val="nil"/>
              <w:left w:val="nil"/>
              <w:bottom w:val="nil"/>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44225 ± 934 </w:t>
            </w:r>
            <w:proofErr w:type="spellStart"/>
            <w:r w:rsidRPr="00DA06FD">
              <w:rPr>
                <w:rFonts w:asciiTheme="minorHAnsi" w:hAnsiTheme="minorHAnsi" w:cstheme="minorHAnsi"/>
                <w:color w:val="000000"/>
                <w:sz w:val="12"/>
                <w:szCs w:val="12"/>
              </w:rPr>
              <w:t>bc</w:t>
            </w:r>
            <w:proofErr w:type="spellEnd"/>
            <w:r w:rsidRPr="00DA06FD">
              <w:rPr>
                <w:rFonts w:asciiTheme="minorHAnsi" w:hAnsiTheme="minorHAnsi" w:cstheme="minorHAnsi"/>
                <w:color w:val="000000"/>
                <w:sz w:val="12"/>
                <w:szCs w:val="12"/>
              </w:rPr>
              <w:t xml:space="preserve"> </w:t>
            </w:r>
          </w:p>
        </w:tc>
        <w:tc>
          <w:tcPr>
            <w:tcW w:w="571" w:type="pct"/>
            <w:tcBorders>
              <w:top w:val="nil"/>
              <w:left w:val="single" w:sz="4" w:space="0" w:color="auto"/>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50616 ± 2993 ab</w:t>
            </w:r>
          </w:p>
        </w:tc>
        <w:tc>
          <w:tcPr>
            <w:tcW w:w="575"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52261 ± 1163 ab</w:t>
            </w:r>
          </w:p>
        </w:tc>
        <w:tc>
          <w:tcPr>
            <w:tcW w:w="574"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sz w:val="12"/>
                <w:szCs w:val="12"/>
              </w:rPr>
            </w:pPr>
            <w:r w:rsidRPr="00DA06FD">
              <w:rPr>
                <w:rFonts w:asciiTheme="minorHAnsi" w:hAnsiTheme="minorHAnsi" w:cstheme="minorHAnsi"/>
                <w:sz w:val="12"/>
                <w:szCs w:val="12"/>
              </w:rPr>
              <w:t>40708 ± 2892 b</w:t>
            </w:r>
          </w:p>
        </w:tc>
        <w:tc>
          <w:tcPr>
            <w:tcW w:w="625" w:type="pct"/>
            <w:tcBorders>
              <w:top w:val="nil"/>
              <w:left w:val="nil"/>
              <w:bottom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55032 ± 1176 a</w:t>
            </w:r>
          </w:p>
        </w:tc>
      </w:tr>
      <w:tr w:rsidR="00074F69" w:rsidRPr="00DA06FD" w:rsidTr="00D64B56">
        <w:trPr>
          <w:trHeight w:val="226"/>
        </w:trPr>
        <w:tc>
          <w:tcPr>
            <w:tcW w:w="357" w:type="pct"/>
            <w:tcBorders>
              <w:top w:val="nil"/>
              <w:left w:val="nil"/>
              <w:bottom w:val="nil"/>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Ca</w:t>
            </w:r>
          </w:p>
        </w:tc>
        <w:tc>
          <w:tcPr>
            <w:tcW w:w="573"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918 ± 128 a </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945 ± 35.2 a </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961 ± 41.7 a </w:t>
            </w:r>
          </w:p>
        </w:tc>
        <w:tc>
          <w:tcPr>
            <w:tcW w:w="581" w:type="pct"/>
            <w:tcBorders>
              <w:top w:val="nil"/>
              <w:left w:val="nil"/>
              <w:bottom w:val="nil"/>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562 ± 36.5 b </w:t>
            </w:r>
          </w:p>
        </w:tc>
        <w:tc>
          <w:tcPr>
            <w:tcW w:w="571" w:type="pct"/>
            <w:tcBorders>
              <w:top w:val="nil"/>
              <w:left w:val="single" w:sz="4" w:space="0" w:color="auto"/>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 xml:space="preserve">37906 ± 230 </w:t>
            </w:r>
            <w:r w:rsidRPr="00DA06FD">
              <w:rPr>
                <w:rFonts w:asciiTheme="minorHAnsi" w:hAnsiTheme="minorHAnsi" w:cstheme="minorHAnsi"/>
                <w:color w:val="000000"/>
                <w:sz w:val="12"/>
                <w:szCs w:val="12"/>
              </w:rPr>
              <w:t>a</w:t>
            </w:r>
          </w:p>
        </w:tc>
        <w:tc>
          <w:tcPr>
            <w:tcW w:w="575"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 xml:space="preserve">35770 ± 870 </w:t>
            </w:r>
            <w:r w:rsidRPr="00DA06FD">
              <w:rPr>
                <w:rFonts w:asciiTheme="minorHAnsi" w:hAnsiTheme="minorHAnsi" w:cstheme="minorHAnsi"/>
                <w:color w:val="000000"/>
                <w:sz w:val="12"/>
                <w:szCs w:val="12"/>
              </w:rPr>
              <w:t>a</w:t>
            </w:r>
          </w:p>
        </w:tc>
        <w:tc>
          <w:tcPr>
            <w:tcW w:w="574"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sz w:val="12"/>
                <w:szCs w:val="12"/>
              </w:rPr>
            </w:pPr>
            <w:r w:rsidRPr="00DA06FD">
              <w:rPr>
                <w:rFonts w:asciiTheme="minorHAnsi" w:hAnsiTheme="minorHAnsi" w:cstheme="minorHAnsi"/>
                <w:sz w:val="12"/>
                <w:szCs w:val="12"/>
              </w:rPr>
              <w:t>33953 ± 2347 a</w:t>
            </w:r>
            <w:r w:rsidRPr="00DA06FD">
              <w:rPr>
                <w:rFonts w:asciiTheme="minorHAnsi" w:hAnsiTheme="minorHAnsi" w:cstheme="minorHAnsi"/>
                <w:color w:val="000000"/>
                <w:sz w:val="12"/>
                <w:szCs w:val="12"/>
              </w:rPr>
              <w:t xml:space="preserve"> </w:t>
            </w:r>
          </w:p>
        </w:tc>
        <w:tc>
          <w:tcPr>
            <w:tcW w:w="625" w:type="pct"/>
            <w:tcBorders>
              <w:top w:val="nil"/>
              <w:left w:val="nil"/>
              <w:bottom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19387 ± 1194 b</w:t>
            </w:r>
            <w:r w:rsidRPr="00DA06FD">
              <w:rPr>
                <w:rFonts w:asciiTheme="minorHAnsi" w:hAnsiTheme="minorHAnsi" w:cstheme="minorHAnsi"/>
                <w:color w:val="000000"/>
                <w:sz w:val="12"/>
                <w:szCs w:val="12"/>
              </w:rPr>
              <w:t xml:space="preserve"> </w:t>
            </w:r>
          </w:p>
        </w:tc>
      </w:tr>
      <w:tr w:rsidR="00074F69" w:rsidRPr="00DA06FD" w:rsidTr="00D64B56">
        <w:trPr>
          <w:trHeight w:val="226"/>
        </w:trPr>
        <w:tc>
          <w:tcPr>
            <w:tcW w:w="357" w:type="pct"/>
            <w:tcBorders>
              <w:top w:val="nil"/>
              <w:left w:val="nil"/>
              <w:bottom w:val="nil"/>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Mg</w:t>
            </w:r>
          </w:p>
        </w:tc>
        <w:tc>
          <w:tcPr>
            <w:tcW w:w="573"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1900 ± 114 </w:t>
            </w:r>
            <w:r>
              <w:rPr>
                <w:rFonts w:asciiTheme="minorHAnsi" w:hAnsiTheme="minorHAnsi" w:cstheme="minorHAnsi"/>
                <w:color w:val="000000"/>
                <w:sz w:val="12"/>
                <w:szCs w:val="12"/>
              </w:rPr>
              <w:t>a</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1386 ± 37.2 </w:t>
            </w:r>
            <w:r>
              <w:rPr>
                <w:rFonts w:asciiTheme="minorHAnsi" w:hAnsiTheme="minorHAnsi" w:cstheme="minorHAnsi"/>
                <w:color w:val="000000"/>
                <w:sz w:val="12"/>
                <w:szCs w:val="12"/>
              </w:rPr>
              <w:t>b</w:t>
            </w:r>
            <w:r w:rsidRPr="00DA06FD">
              <w:rPr>
                <w:rFonts w:asciiTheme="minorHAnsi" w:hAnsiTheme="minorHAnsi" w:cstheme="minorHAnsi"/>
                <w:color w:val="000000"/>
                <w:sz w:val="12"/>
                <w:szCs w:val="12"/>
              </w:rPr>
              <w:t xml:space="preserve"> </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1342 ± 82.8 </w:t>
            </w:r>
            <w:r>
              <w:rPr>
                <w:rFonts w:asciiTheme="minorHAnsi" w:hAnsiTheme="minorHAnsi" w:cstheme="minorHAnsi"/>
                <w:color w:val="000000"/>
                <w:sz w:val="12"/>
                <w:szCs w:val="12"/>
              </w:rPr>
              <w:t>b</w:t>
            </w:r>
            <w:r w:rsidRPr="00DA06FD">
              <w:rPr>
                <w:rFonts w:asciiTheme="minorHAnsi" w:hAnsiTheme="minorHAnsi" w:cstheme="minorHAnsi"/>
                <w:color w:val="000000"/>
                <w:sz w:val="12"/>
                <w:szCs w:val="12"/>
              </w:rPr>
              <w:t xml:space="preserve"> </w:t>
            </w:r>
          </w:p>
        </w:tc>
        <w:tc>
          <w:tcPr>
            <w:tcW w:w="581" w:type="pct"/>
            <w:tcBorders>
              <w:top w:val="nil"/>
              <w:left w:val="nil"/>
              <w:bottom w:val="nil"/>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1326 ± 51.5</w:t>
            </w:r>
            <w:r>
              <w:rPr>
                <w:rFonts w:asciiTheme="minorHAnsi" w:hAnsiTheme="minorHAnsi" w:cstheme="minorHAnsi"/>
                <w:color w:val="000000"/>
                <w:sz w:val="12"/>
                <w:szCs w:val="12"/>
              </w:rPr>
              <w:t xml:space="preserve"> b</w:t>
            </w:r>
            <w:r w:rsidRPr="00DA06FD">
              <w:rPr>
                <w:rFonts w:asciiTheme="minorHAnsi" w:hAnsiTheme="minorHAnsi" w:cstheme="minorHAnsi"/>
                <w:color w:val="000000"/>
                <w:sz w:val="12"/>
                <w:szCs w:val="12"/>
              </w:rPr>
              <w:t xml:space="preserve"> </w:t>
            </w:r>
          </w:p>
        </w:tc>
        <w:tc>
          <w:tcPr>
            <w:tcW w:w="571" w:type="pct"/>
            <w:tcBorders>
              <w:top w:val="nil"/>
              <w:left w:val="single" w:sz="4" w:space="0" w:color="auto"/>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4215 ± 298 b</w:t>
            </w:r>
            <w:r w:rsidRPr="00DA06FD">
              <w:rPr>
                <w:rFonts w:asciiTheme="minorHAnsi" w:hAnsiTheme="minorHAnsi" w:cstheme="minorHAnsi"/>
                <w:color w:val="000000"/>
                <w:sz w:val="12"/>
                <w:szCs w:val="12"/>
              </w:rPr>
              <w:t xml:space="preserve"> </w:t>
            </w:r>
          </w:p>
        </w:tc>
        <w:tc>
          <w:tcPr>
            <w:tcW w:w="575"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6286 ± 148 a</w:t>
            </w:r>
            <w:r w:rsidRPr="00DA06FD">
              <w:rPr>
                <w:rFonts w:asciiTheme="minorHAnsi" w:hAnsiTheme="minorHAnsi" w:cstheme="minorHAnsi"/>
                <w:color w:val="000000"/>
                <w:sz w:val="12"/>
                <w:szCs w:val="12"/>
              </w:rPr>
              <w:t xml:space="preserve"> </w:t>
            </w:r>
          </w:p>
        </w:tc>
        <w:tc>
          <w:tcPr>
            <w:tcW w:w="574"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4835 ± 459 ab</w:t>
            </w:r>
            <w:r w:rsidRPr="00DA06FD">
              <w:rPr>
                <w:rFonts w:asciiTheme="minorHAnsi" w:hAnsiTheme="minorHAnsi" w:cstheme="minorHAnsi"/>
                <w:color w:val="000000"/>
                <w:sz w:val="12"/>
                <w:szCs w:val="12"/>
              </w:rPr>
              <w:t xml:space="preserve"> </w:t>
            </w:r>
          </w:p>
        </w:tc>
        <w:tc>
          <w:tcPr>
            <w:tcW w:w="625" w:type="pct"/>
            <w:tcBorders>
              <w:top w:val="nil"/>
              <w:left w:val="nil"/>
              <w:bottom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3764 ± 285 b</w:t>
            </w:r>
            <w:r w:rsidRPr="00DA06FD">
              <w:rPr>
                <w:rFonts w:asciiTheme="minorHAnsi" w:hAnsiTheme="minorHAnsi" w:cstheme="minorHAnsi"/>
                <w:color w:val="000000"/>
                <w:sz w:val="12"/>
                <w:szCs w:val="12"/>
              </w:rPr>
              <w:t xml:space="preserve"> </w:t>
            </w:r>
          </w:p>
        </w:tc>
      </w:tr>
      <w:tr w:rsidR="00074F69" w:rsidRPr="00DA06FD" w:rsidTr="00D64B56">
        <w:trPr>
          <w:trHeight w:val="226"/>
        </w:trPr>
        <w:tc>
          <w:tcPr>
            <w:tcW w:w="357" w:type="pct"/>
            <w:tcBorders>
              <w:top w:val="nil"/>
              <w:left w:val="nil"/>
              <w:bottom w:val="nil"/>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S</w:t>
            </w:r>
          </w:p>
        </w:tc>
        <w:tc>
          <w:tcPr>
            <w:tcW w:w="573"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2326 ± 52.8 ns</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2189 ± 42.8 ns</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1972 ± 35.7 ns</w:t>
            </w:r>
          </w:p>
        </w:tc>
        <w:tc>
          <w:tcPr>
            <w:tcW w:w="581" w:type="pct"/>
            <w:tcBorders>
              <w:top w:val="nil"/>
              <w:left w:val="nil"/>
              <w:bottom w:val="nil"/>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2063 ± 73.9 ns</w:t>
            </w:r>
          </w:p>
        </w:tc>
        <w:tc>
          <w:tcPr>
            <w:tcW w:w="571" w:type="pct"/>
            <w:tcBorders>
              <w:top w:val="nil"/>
              <w:left w:val="single" w:sz="4" w:space="0" w:color="auto"/>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19479 </w:t>
            </w:r>
            <w:r w:rsidRPr="00DA06FD">
              <w:rPr>
                <w:rFonts w:asciiTheme="minorHAnsi" w:hAnsiTheme="minorHAnsi" w:cstheme="minorHAnsi"/>
                <w:sz w:val="12"/>
                <w:szCs w:val="12"/>
              </w:rPr>
              <w:t>± 1198 b</w:t>
            </w:r>
          </w:p>
        </w:tc>
        <w:tc>
          <w:tcPr>
            <w:tcW w:w="575"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30625 </w:t>
            </w:r>
            <w:r w:rsidRPr="00DA06FD">
              <w:rPr>
                <w:rFonts w:asciiTheme="minorHAnsi" w:hAnsiTheme="minorHAnsi" w:cstheme="minorHAnsi"/>
                <w:sz w:val="12"/>
                <w:szCs w:val="12"/>
              </w:rPr>
              <w:t>± 536 a</w:t>
            </w:r>
          </w:p>
        </w:tc>
        <w:tc>
          <w:tcPr>
            <w:tcW w:w="574"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sz w:val="12"/>
                <w:szCs w:val="12"/>
              </w:rPr>
            </w:pPr>
            <w:r w:rsidRPr="00DA06FD">
              <w:rPr>
                <w:rFonts w:asciiTheme="minorHAnsi" w:hAnsiTheme="minorHAnsi" w:cstheme="minorHAnsi"/>
                <w:color w:val="000000"/>
                <w:sz w:val="12"/>
                <w:szCs w:val="12"/>
              </w:rPr>
              <w:t xml:space="preserve">15423 </w:t>
            </w:r>
            <w:r w:rsidRPr="00DA06FD">
              <w:rPr>
                <w:rFonts w:asciiTheme="minorHAnsi" w:hAnsiTheme="minorHAnsi" w:cstheme="minorHAnsi"/>
                <w:sz w:val="12"/>
                <w:szCs w:val="12"/>
              </w:rPr>
              <w:t>± 1639 b</w:t>
            </w:r>
          </w:p>
        </w:tc>
        <w:tc>
          <w:tcPr>
            <w:tcW w:w="625" w:type="pct"/>
            <w:tcBorders>
              <w:top w:val="nil"/>
              <w:left w:val="nil"/>
              <w:bottom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17963 </w:t>
            </w:r>
            <w:r w:rsidRPr="00DA06FD">
              <w:rPr>
                <w:rFonts w:asciiTheme="minorHAnsi" w:hAnsiTheme="minorHAnsi" w:cstheme="minorHAnsi"/>
                <w:sz w:val="12"/>
                <w:szCs w:val="12"/>
              </w:rPr>
              <w:t>± 919 b</w:t>
            </w:r>
            <w:r w:rsidRPr="00DA06FD">
              <w:rPr>
                <w:rFonts w:asciiTheme="minorHAnsi" w:hAnsiTheme="minorHAnsi" w:cstheme="minorHAnsi"/>
                <w:color w:val="000000"/>
                <w:sz w:val="12"/>
                <w:szCs w:val="12"/>
              </w:rPr>
              <w:t xml:space="preserve"> </w:t>
            </w:r>
          </w:p>
        </w:tc>
      </w:tr>
      <w:tr w:rsidR="00074F69" w:rsidRPr="00DA06FD" w:rsidTr="00D64B56">
        <w:trPr>
          <w:trHeight w:val="226"/>
        </w:trPr>
        <w:tc>
          <w:tcPr>
            <w:tcW w:w="357" w:type="pct"/>
            <w:tcBorders>
              <w:top w:val="nil"/>
              <w:left w:val="nil"/>
              <w:bottom w:val="nil"/>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proofErr w:type="spellStart"/>
            <w:r w:rsidRPr="00DA06FD">
              <w:rPr>
                <w:rFonts w:asciiTheme="minorHAnsi" w:hAnsiTheme="minorHAnsi" w:cstheme="minorHAnsi"/>
                <w:b/>
                <w:color w:val="000000"/>
                <w:sz w:val="13"/>
                <w:szCs w:val="13"/>
              </w:rPr>
              <w:t>Mn</w:t>
            </w:r>
            <w:proofErr w:type="spellEnd"/>
          </w:p>
        </w:tc>
        <w:tc>
          <w:tcPr>
            <w:tcW w:w="573"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14.6  ± 0.77a </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11.1 ± 0.16 b</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10.6 ± 0.70 b</w:t>
            </w:r>
          </w:p>
        </w:tc>
        <w:tc>
          <w:tcPr>
            <w:tcW w:w="581" w:type="pct"/>
            <w:tcBorders>
              <w:top w:val="nil"/>
              <w:left w:val="nil"/>
              <w:bottom w:val="nil"/>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10.5 ± 0.46 b </w:t>
            </w:r>
          </w:p>
        </w:tc>
        <w:tc>
          <w:tcPr>
            <w:tcW w:w="571" w:type="pct"/>
            <w:tcBorders>
              <w:top w:val="nil"/>
              <w:left w:val="single" w:sz="4" w:space="0" w:color="auto"/>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97.5 ± 15 ab</w:t>
            </w:r>
            <w:r w:rsidRPr="00DA06FD">
              <w:rPr>
                <w:rFonts w:asciiTheme="minorHAnsi" w:hAnsiTheme="minorHAnsi" w:cstheme="minorHAnsi"/>
                <w:color w:val="000000"/>
                <w:sz w:val="12"/>
                <w:szCs w:val="12"/>
              </w:rPr>
              <w:t xml:space="preserve"> </w:t>
            </w:r>
          </w:p>
        </w:tc>
        <w:tc>
          <w:tcPr>
            <w:tcW w:w="575"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106 ± 2.1 a</w:t>
            </w:r>
            <w:r w:rsidRPr="00DA06FD">
              <w:rPr>
                <w:rFonts w:asciiTheme="minorHAnsi" w:hAnsiTheme="minorHAnsi" w:cstheme="minorHAnsi"/>
                <w:color w:val="000000"/>
                <w:sz w:val="12"/>
                <w:szCs w:val="12"/>
              </w:rPr>
              <w:t xml:space="preserve"> </w:t>
            </w:r>
          </w:p>
        </w:tc>
        <w:tc>
          <w:tcPr>
            <w:tcW w:w="574"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67.8 ± 3.24 ab</w:t>
            </w:r>
          </w:p>
        </w:tc>
        <w:tc>
          <w:tcPr>
            <w:tcW w:w="625" w:type="pct"/>
            <w:tcBorders>
              <w:top w:val="nil"/>
              <w:left w:val="nil"/>
              <w:bottom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58.6 ± 3.3 b</w:t>
            </w:r>
            <w:r w:rsidRPr="00DA06FD">
              <w:rPr>
                <w:rFonts w:asciiTheme="minorHAnsi" w:hAnsiTheme="minorHAnsi" w:cstheme="minorHAnsi"/>
                <w:color w:val="000000"/>
                <w:sz w:val="12"/>
                <w:szCs w:val="12"/>
              </w:rPr>
              <w:t xml:space="preserve"> </w:t>
            </w:r>
          </w:p>
        </w:tc>
      </w:tr>
      <w:tr w:rsidR="00074F69" w:rsidRPr="00DA06FD" w:rsidTr="00D64B56">
        <w:trPr>
          <w:trHeight w:val="226"/>
        </w:trPr>
        <w:tc>
          <w:tcPr>
            <w:tcW w:w="357" w:type="pct"/>
            <w:tcBorders>
              <w:top w:val="nil"/>
              <w:left w:val="nil"/>
              <w:bottom w:val="nil"/>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Zn</w:t>
            </w:r>
          </w:p>
        </w:tc>
        <w:tc>
          <w:tcPr>
            <w:tcW w:w="573"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21.7 ± 1.38 ns </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14.5 ± 0.62 ns</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17.7 ± 3.27 ns</w:t>
            </w:r>
          </w:p>
        </w:tc>
        <w:tc>
          <w:tcPr>
            <w:tcW w:w="581" w:type="pct"/>
            <w:tcBorders>
              <w:top w:val="nil"/>
              <w:left w:val="nil"/>
              <w:bottom w:val="nil"/>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17.4 ± 0.88 ns</w:t>
            </w:r>
          </w:p>
        </w:tc>
        <w:tc>
          <w:tcPr>
            <w:tcW w:w="571" w:type="pct"/>
            <w:tcBorders>
              <w:top w:val="nil"/>
              <w:left w:val="single" w:sz="4" w:space="0" w:color="auto"/>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96.1 ± 9.9 ab</w:t>
            </w:r>
            <w:r w:rsidRPr="00DA06FD">
              <w:rPr>
                <w:rFonts w:asciiTheme="minorHAnsi" w:hAnsiTheme="minorHAnsi" w:cstheme="minorHAnsi"/>
                <w:color w:val="000000"/>
                <w:sz w:val="12"/>
                <w:szCs w:val="12"/>
              </w:rPr>
              <w:t xml:space="preserve"> </w:t>
            </w:r>
          </w:p>
        </w:tc>
        <w:tc>
          <w:tcPr>
            <w:tcW w:w="575"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98.1 ± 2.5 a</w:t>
            </w:r>
            <w:r w:rsidRPr="00DA06FD">
              <w:rPr>
                <w:rFonts w:asciiTheme="minorHAnsi" w:hAnsiTheme="minorHAnsi" w:cstheme="minorHAnsi"/>
                <w:color w:val="000000"/>
                <w:sz w:val="12"/>
                <w:szCs w:val="12"/>
              </w:rPr>
              <w:t xml:space="preserve"> </w:t>
            </w:r>
          </w:p>
        </w:tc>
        <w:tc>
          <w:tcPr>
            <w:tcW w:w="574"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65.5 ± 3.1 b</w:t>
            </w:r>
            <w:r w:rsidRPr="00DA06FD">
              <w:rPr>
                <w:rFonts w:asciiTheme="minorHAnsi" w:hAnsiTheme="minorHAnsi" w:cstheme="minorHAnsi"/>
                <w:color w:val="000000"/>
                <w:sz w:val="12"/>
                <w:szCs w:val="12"/>
              </w:rPr>
              <w:t xml:space="preserve"> </w:t>
            </w:r>
          </w:p>
        </w:tc>
        <w:tc>
          <w:tcPr>
            <w:tcW w:w="625" w:type="pct"/>
            <w:tcBorders>
              <w:top w:val="nil"/>
              <w:left w:val="nil"/>
              <w:bottom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77.8 ± 6.8 ab</w:t>
            </w:r>
            <w:r w:rsidRPr="00DA06FD">
              <w:rPr>
                <w:rFonts w:asciiTheme="minorHAnsi" w:hAnsiTheme="minorHAnsi" w:cstheme="minorHAnsi"/>
                <w:color w:val="000000"/>
                <w:sz w:val="12"/>
                <w:szCs w:val="12"/>
              </w:rPr>
              <w:t xml:space="preserve"> </w:t>
            </w:r>
          </w:p>
        </w:tc>
      </w:tr>
      <w:tr w:rsidR="00074F69" w:rsidRPr="00DA06FD" w:rsidTr="00D64B56">
        <w:trPr>
          <w:trHeight w:val="226"/>
        </w:trPr>
        <w:tc>
          <w:tcPr>
            <w:tcW w:w="357" w:type="pct"/>
            <w:tcBorders>
              <w:top w:val="nil"/>
              <w:left w:val="nil"/>
              <w:bottom w:val="nil"/>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Fe</w:t>
            </w:r>
          </w:p>
        </w:tc>
        <w:tc>
          <w:tcPr>
            <w:tcW w:w="573"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56.3 ± 1.65 ns</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43.0 ± 1.22 ns</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38.8 ± 2.10 ns</w:t>
            </w:r>
          </w:p>
        </w:tc>
        <w:tc>
          <w:tcPr>
            <w:tcW w:w="581" w:type="pct"/>
            <w:tcBorders>
              <w:top w:val="nil"/>
              <w:left w:val="nil"/>
              <w:bottom w:val="nil"/>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42.9 ± 5.42 ns </w:t>
            </w:r>
          </w:p>
        </w:tc>
        <w:tc>
          <w:tcPr>
            <w:tcW w:w="571" w:type="pct"/>
            <w:tcBorders>
              <w:top w:val="nil"/>
              <w:left w:val="single" w:sz="4" w:space="0" w:color="auto"/>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89.4 ± 5.1 ab</w:t>
            </w:r>
            <w:r w:rsidRPr="00DA06FD">
              <w:rPr>
                <w:rFonts w:asciiTheme="minorHAnsi" w:hAnsiTheme="minorHAnsi" w:cstheme="minorHAnsi"/>
                <w:color w:val="000000"/>
                <w:sz w:val="12"/>
                <w:szCs w:val="12"/>
              </w:rPr>
              <w:t xml:space="preserve"> </w:t>
            </w:r>
          </w:p>
        </w:tc>
        <w:tc>
          <w:tcPr>
            <w:tcW w:w="575"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152.4 ± 12.2 a</w:t>
            </w:r>
            <w:r w:rsidRPr="00DA06FD">
              <w:rPr>
                <w:rFonts w:asciiTheme="minorHAnsi" w:hAnsiTheme="minorHAnsi" w:cstheme="minorHAnsi"/>
                <w:color w:val="000000"/>
                <w:sz w:val="12"/>
                <w:szCs w:val="12"/>
              </w:rPr>
              <w:t xml:space="preserve"> </w:t>
            </w:r>
          </w:p>
        </w:tc>
        <w:tc>
          <w:tcPr>
            <w:tcW w:w="574"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84.1 ± 4.1 b</w:t>
            </w:r>
            <w:r w:rsidRPr="00DA06FD">
              <w:rPr>
                <w:rFonts w:asciiTheme="minorHAnsi" w:hAnsiTheme="minorHAnsi" w:cstheme="minorHAnsi"/>
                <w:color w:val="000000"/>
                <w:sz w:val="12"/>
                <w:szCs w:val="12"/>
              </w:rPr>
              <w:t xml:space="preserve"> </w:t>
            </w:r>
          </w:p>
        </w:tc>
        <w:tc>
          <w:tcPr>
            <w:tcW w:w="625" w:type="pct"/>
            <w:tcBorders>
              <w:top w:val="nil"/>
              <w:left w:val="nil"/>
              <w:bottom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100.6 ± 4.4 ab</w:t>
            </w:r>
            <w:r w:rsidRPr="00DA06FD">
              <w:rPr>
                <w:rFonts w:asciiTheme="minorHAnsi" w:hAnsiTheme="minorHAnsi" w:cstheme="minorHAnsi"/>
                <w:color w:val="000000"/>
                <w:sz w:val="12"/>
                <w:szCs w:val="12"/>
              </w:rPr>
              <w:t xml:space="preserve"> </w:t>
            </w:r>
          </w:p>
        </w:tc>
      </w:tr>
      <w:tr w:rsidR="00074F69" w:rsidRPr="00DA06FD" w:rsidTr="00D64B56">
        <w:trPr>
          <w:trHeight w:val="226"/>
        </w:trPr>
        <w:tc>
          <w:tcPr>
            <w:tcW w:w="357" w:type="pct"/>
            <w:tcBorders>
              <w:top w:val="nil"/>
              <w:left w:val="nil"/>
              <w:bottom w:val="nil"/>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B</w:t>
            </w:r>
          </w:p>
        </w:tc>
        <w:tc>
          <w:tcPr>
            <w:tcW w:w="573"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13.4 ± 0.34 a  </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12.8 ± 0.10 a  </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10.5 ± 0.36 b</w:t>
            </w:r>
          </w:p>
        </w:tc>
        <w:tc>
          <w:tcPr>
            <w:tcW w:w="581" w:type="pct"/>
            <w:tcBorders>
              <w:top w:val="nil"/>
              <w:left w:val="nil"/>
              <w:bottom w:val="nil"/>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12.0 ± 0.30 ab</w:t>
            </w:r>
          </w:p>
        </w:tc>
        <w:tc>
          <w:tcPr>
            <w:tcW w:w="571" w:type="pct"/>
            <w:tcBorders>
              <w:top w:val="nil"/>
              <w:left w:val="single" w:sz="4" w:space="0" w:color="auto"/>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68.0 ± 4.0 ab</w:t>
            </w:r>
            <w:r w:rsidRPr="00DA06FD">
              <w:rPr>
                <w:rFonts w:asciiTheme="minorHAnsi" w:hAnsiTheme="minorHAnsi" w:cstheme="minorHAnsi"/>
                <w:color w:val="000000"/>
                <w:sz w:val="12"/>
                <w:szCs w:val="12"/>
              </w:rPr>
              <w:t xml:space="preserve"> </w:t>
            </w:r>
          </w:p>
        </w:tc>
        <w:tc>
          <w:tcPr>
            <w:tcW w:w="575"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83.9 ± 3.2 a</w:t>
            </w:r>
            <w:r w:rsidRPr="00DA06FD">
              <w:rPr>
                <w:rFonts w:asciiTheme="minorHAnsi" w:hAnsiTheme="minorHAnsi" w:cstheme="minorHAnsi"/>
                <w:color w:val="000000"/>
                <w:sz w:val="12"/>
                <w:szCs w:val="12"/>
              </w:rPr>
              <w:t xml:space="preserve"> </w:t>
            </w:r>
          </w:p>
        </w:tc>
        <w:tc>
          <w:tcPr>
            <w:tcW w:w="574"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57.3 ± 2.7 b</w:t>
            </w:r>
            <w:r w:rsidRPr="00DA06FD">
              <w:rPr>
                <w:rFonts w:asciiTheme="minorHAnsi" w:hAnsiTheme="minorHAnsi" w:cstheme="minorHAnsi"/>
                <w:color w:val="000000"/>
                <w:sz w:val="12"/>
                <w:szCs w:val="12"/>
              </w:rPr>
              <w:t xml:space="preserve"> </w:t>
            </w:r>
          </w:p>
        </w:tc>
        <w:tc>
          <w:tcPr>
            <w:tcW w:w="625" w:type="pct"/>
            <w:tcBorders>
              <w:top w:val="nil"/>
              <w:left w:val="nil"/>
              <w:bottom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 xml:space="preserve">85.5 ± 5.5 a </w:t>
            </w:r>
          </w:p>
        </w:tc>
      </w:tr>
      <w:tr w:rsidR="00074F69" w:rsidRPr="00DA06FD" w:rsidTr="00D64B56">
        <w:trPr>
          <w:trHeight w:val="226"/>
        </w:trPr>
        <w:tc>
          <w:tcPr>
            <w:tcW w:w="357" w:type="pct"/>
            <w:tcBorders>
              <w:top w:val="nil"/>
              <w:left w:val="nil"/>
              <w:bottom w:val="nil"/>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Cu</w:t>
            </w:r>
          </w:p>
        </w:tc>
        <w:tc>
          <w:tcPr>
            <w:tcW w:w="573"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9.32 ± 0.33 ns</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7.94 ± 0.30 ns</w:t>
            </w:r>
          </w:p>
        </w:tc>
        <w:tc>
          <w:tcPr>
            <w:tcW w:w="572"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7.62 ± 0.27 ns</w:t>
            </w:r>
          </w:p>
        </w:tc>
        <w:tc>
          <w:tcPr>
            <w:tcW w:w="581" w:type="pct"/>
            <w:tcBorders>
              <w:top w:val="nil"/>
              <w:left w:val="nil"/>
              <w:bottom w:val="nil"/>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7.93 ± 0.13 ns</w:t>
            </w:r>
          </w:p>
        </w:tc>
        <w:tc>
          <w:tcPr>
            <w:tcW w:w="571" w:type="pct"/>
            <w:tcBorders>
              <w:top w:val="nil"/>
              <w:left w:val="single" w:sz="4" w:space="0" w:color="auto"/>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9.5 ± 0.2 ns</w:t>
            </w:r>
            <w:r w:rsidRPr="00DA06FD">
              <w:rPr>
                <w:rFonts w:asciiTheme="minorHAnsi" w:hAnsiTheme="minorHAnsi" w:cstheme="minorHAnsi"/>
                <w:color w:val="000000"/>
                <w:sz w:val="12"/>
                <w:szCs w:val="12"/>
              </w:rPr>
              <w:t xml:space="preserve"> </w:t>
            </w:r>
          </w:p>
        </w:tc>
        <w:tc>
          <w:tcPr>
            <w:tcW w:w="575"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19.3 ± 2.7 ns</w:t>
            </w:r>
            <w:r w:rsidRPr="00DA06FD">
              <w:rPr>
                <w:rFonts w:asciiTheme="minorHAnsi" w:hAnsiTheme="minorHAnsi" w:cstheme="minorHAnsi"/>
                <w:color w:val="000000"/>
                <w:sz w:val="12"/>
                <w:szCs w:val="12"/>
              </w:rPr>
              <w:t xml:space="preserve"> </w:t>
            </w:r>
          </w:p>
        </w:tc>
        <w:tc>
          <w:tcPr>
            <w:tcW w:w="574" w:type="pct"/>
            <w:tcBorders>
              <w:top w:val="nil"/>
              <w:left w:val="nil"/>
              <w:bottom w:val="nil"/>
              <w:right w:val="nil"/>
            </w:tcBorders>
            <w:shd w:val="clear" w:color="auto" w:fill="auto"/>
            <w:noWrap/>
            <w:vAlign w:val="bottom"/>
            <w:hideMark/>
          </w:tcPr>
          <w:p w:rsidR="00074F69" w:rsidRPr="00DA06FD" w:rsidRDefault="00074F69" w:rsidP="00D64B56">
            <w:pPr>
              <w:rPr>
                <w:rFonts w:asciiTheme="minorHAnsi" w:hAnsiTheme="minorHAnsi" w:cstheme="minorHAnsi"/>
                <w:sz w:val="12"/>
                <w:szCs w:val="12"/>
              </w:rPr>
            </w:pPr>
            <w:r w:rsidRPr="00DA06FD">
              <w:rPr>
                <w:rFonts w:asciiTheme="minorHAnsi" w:hAnsiTheme="minorHAnsi" w:cstheme="minorHAnsi"/>
                <w:sz w:val="12"/>
                <w:szCs w:val="12"/>
              </w:rPr>
              <w:t>13.7 ± 2.5 ns</w:t>
            </w:r>
            <w:r w:rsidRPr="00DA06FD">
              <w:rPr>
                <w:rFonts w:asciiTheme="minorHAnsi" w:hAnsiTheme="minorHAnsi" w:cstheme="minorHAnsi"/>
                <w:color w:val="000000"/>
                <w:sz w:val="12"/>
                <w:szCs w:val="12"/>
              </w:rPr>
              <w:t xml:space="preserve"> </w:t>
            </w:r>
          </w:p>
        </w:tc>
        <w:tc>
          <w:tcPr>
            <w:tcW w:w="625" w:type="pct"/>
            <w:tcBorders>
              <w:top w:val="nil"/>
              <w:left w:val="nil"/>
              <w:bottom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21.3 ± 2.3 ns</w:t>
            </w:r>
            <w:r w:rsidRPr="00DA06FD">
              <w:rPr>
                <w:rFonts w:asciiTheme="minorHAnsi" w:hAnsiTheme="minorHAnsi" w:cstheme="minorHAnsi"/>
                <w:color w:val="000000"/>
                <w:sz w:val="12"/>
                <w:szCs w:val="12"/>
              </w:rPr>
              <w:t xml:space="preserve"> </w:t>
            </w:r>
          </w:p>
        </w:tc>
      </w:tr>
      <w:tr w:rsidR="00074F69" w:rsidRPr="00DA06FD" w:rsidTr="00D64B56">
        <w:trPr>
          <w:trHeight w:val="226"/>
        </w:trPr>
        <w:tc>
          <w:tcPr>
            <w:tcW w:w="357" w:type="pct"/>
            <w:tcBorders>
              <w:top w:val="nil"/>
              <w:left w:val="nil"/>
              <w:bottom w:val="single" w:sz="4" w:space="0" w:color="auto"/>
              <w:right w:val="nil"/>
            </w:tcBorders>
            <w:shd w:val="clear" w:color="auto" w:fill="auto"/>
            <w:vAlign w:val="bottom"/>
            <w:hideMark/>
          </w:tcPr>
          <w:p w:rsidR="00074F69" w:rsidRPr="00DA06FD" w:rsidRDefault="00074F69" w:rsidP="00D64B56">
            <w:pPr>
              <w:rPr>
                <w:rFonts w:asciiTheme="minorHAnsi" w:hAnsiTheme="minorHAnsi" w:cstheme="minorHAnsi"/>
                <w:b/>
                <w:color w:val="000000"/>
                <w:sz w:val="13"/>
                <w:szCs w:val="13"/>
              </w:rPr>
            </w:pPr>
            <w:r w:rsidRPr="00DA06FD">
              <w:rPr>
                <w:rFonts w:asciiTheme="minorHAnsi" w:hAnsiTheme="minorHAnsi" w:cstheme="minorHAnsi"/>
                <w:b/>
                <w:color w:val="000000"/>
                <w:sz w:val="13"/>
                <w:szCs w:val="13"/>
              </w:rPr>
              <w:t>Na</w:t>
            </w:r>
          </w:p>
        </w:tc>
        <w:tc>
          <w:tcPr>
            <w:tcW w:w="573" w:type="pct"/>
            <w:tcBorders>
              <w:top w:val="nil"/>
              <w:left w:val="nil"/>
              <w:bottom w:val="single" w:sz="4" w:space="0" w:color="auto"/>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 xml:space="preserve">302 ± 31.8 </w:t>
            </w:r>
            <w:proofErr w:type="spellStart"/>
            <w:r w:rsidRPr="00DA06FD">
              <w:rPr>
                <w:rFonts w:asciiTheme="minorHAnsi" w:hAnsiTheme="minorHAnsi" w:cstheme="minorHAnsi"/>
                <w:color w:val="000000"/>
                <w:sz w:val="12"/>
                <w:szCs w:val="12"/>
              </w:rPr>
              <w:t>bc</w:t>
            </w:r>
            <w:proofErr w:type="spellEnd"/>
          </w:p>
        </w:tc>
        <w:tc>
          <w:tcPr>
            <w:tcW w:w="572" w:type="pct"/>
            <w:tcBorders>
              <w:top w:val="nil"/>
              <w:left w:val="nil"/>
              <w:bottom w:val="single" w:sz="4" w:space="0" w:color="auto"/>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446 ± 16.2 ab</w:t>
            </w:r>
          </w:p>
        </w:tc>
        <w:tc>
          <w:tcPr>
            <w:tcW w:w="572" w:type="pct"/>
            <w:tcBorders>
              <w:top w:val="nil"/>
              <w:left w:val="nil"/>
              <w:bottom w:val="single" w:sz="4" w:space="0" w:color="auto"/>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252 ± 23.6 c</w:t>
            </w:r>
          </w:p>
        </w:tc>
        <w:tc>
          <w:tcPr>
            <w:tcW w:w="581" w:type="pct"/>
            <w:tcBorders>
              <w:top w:val="nil"/>
              <w:left w:val="nil"/>
              <w:bottom w:val="single" w:sz="4" w:space="0" w:color="auto"/>
              <w:right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color w:val="000000"/>
                <w:sz w:val="12"/>
                <w:szCs w:val="12"/>
              </w:rPr>
              <w:t>562 ± 35.9 a</w:t>
            </w:r>
          </w:p>
        </w:tc>
        <w:tc>
          <w:tcPr>
            <w:tcW w:w="571" w:type="pct"/>
            <w:tcBorders>
              <w:top w:val="nil"/>
              <w:left w:val="single" w:sz="4" w:space="0" w:color="auto"/>
              <w:bottom w:val="single" w:sz="4" w:space="0" w:color="auto"/>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600 ± 14 b</w:t>
            </w:r>
            <w:r w:rsidRPr="00DA06FD">
              <w:rPr>
                <w:rFonts w:asciiTheme="minorHAnsi" w:hAnsiTheme="minorHAnsi" w:cstheme="minorHAnsi"/>
                <w:color w:val="000000"/>
                <w:sz w:val="12"/>
                <w:szCs w:val="12"/>
              </w:rPr>
              <w:t xml:space="preserve"> </w:t>
            </w:r>
          </w:p>
        </w:tc>
        <w:tc>
          <w:tcPr>
            <w:tcW w:w="575" w:type="pct"/>
            <w:tcBorders>
              <w:top w:val="nil"/>
              <w:left w:val="nil"/>
              <w:bottom w:val="single" w:sz="4" w:space="0" w:color="auto"/>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1616 ± 84 a</w:t>
            </w:r>
            <w:r w:rsidRPr="00DA06FD">
              <w:rPr>
                <w:rFonts w:asciiTheme="minorHAnsi" w:hAnsiTheme="minorHAnsi" w:cstheme="minorHAnsi"/>
                <w:color w:val="000000"/>
                <w:sz w:val="12"/>
                <w:szCs w:val="12"/>
              </w:rPr>
              <w:t xml:space="preserve"> </w:t>
            </w:r>
          </w:p>
        </w:tc>
        <w:tc>
          <w:tcPr>
            <w:tcW w:w="574" w:type="pct"/>
            <w:tcBorders>
              <w:top w:val="nil"/>
              <w:left w:val="nil"/>
              <w:bottom w:val="single" w:sz="4" w:space="0" w:color="auto"/>
              <w:right w:val="nil"/>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648 ± 57 b</w:t>
            </w:r>
            <w:r w:rsidRPr="00DA06FD">
              <w:rPr>
                <w:rFonts w:asciiTheme="minorHAnsi" w:hAnsiTheme="minorHAnsi" w:cstheme="minorHAnsi"/>
                <w:color w:val="000000"/>
                <w:sz w:val="12"/>
                <w:szCs w:val="12"/>
              </w:rPr>
              <w:t xml:space="preserve"> </w:t>
            </w:r>
          </w:p>
        </w:tc>
        <w:tc>
          <w:tcPr>
            <w:tcW w:w="625" w:type="pct"/>
            <w:tcBorders>
              <w:top w:val="nil"/>
              <w:left w:val="nil"/>
              <w:bottom w:val="single" w:sz="4" w:space="0" w:color="auto"/>
            </w:tcBorders>
            <w:shd w:val="clear" w:color="auto" w:fill="auto"/>
            <w:noWrap/>
            <w:vAlign w:val="bottom"/>
            <w:hideMark/>
          </w:tcPr>
          <w:p w:rsidR="00074F69" w:rsidRPr="00DA06FD" w:rsidRDefault="00074F69" w:rsidP="00D64B56">
            <w:pPr>
              <w:rPr>
                <w:rFonts w:asciiTheme="minorHAnsi" w:hAnsiTheme="minorHAnsi" w:cstheme="minorHAnsi"/>
                <w:color w:val="000000"/>
                <w:sz w:val="12"/>
                <w:szCs w:val="12"/>
              </w:rPr>
            </w:pPr>
            <w:r w:rsidRPr="00DA06FD">
              <w:rPr>
                <w:rFonts w:asciiTheme="minorHAnsi" w:hAnsiTheme="minorHAnsi" w:cstheme="minorHAnsi"/>
                <w:sz w:val="12"/>
                <w:szCs w:val="12"/>
              </w:rPr>
              <w:t>2225 ± 190 a</w:t>
            </w:r>
            <w:r w:rsidRPr="00DA06FD">
              <w:rPr>
                <w:rFonts w:asciiTheme="minorHAnsi" w:hAnsiTheme="minorHAnsi" w:cstheme="minorHAnsi"/>
                <w:color w:val="000000"/>
                <w:sz w:val="12"/>
                <w:szCs w:val="12"/>
              </w:rPr>
              <w:t xml:space="preserve"> </w:t>
            </w:r>
          </w:p>
        </w:tc>
      </w:tr>
    </w:tbl>
    <w:p w:rsidR="00074F69" w:rsidRPr="00B51E3B" w:rsidRDefault="00074F69" w:rsidP="00074F69">
      <w:pPr>
        <w:pStyle w:val="Beschriftung"/>
        <w:rPr>
          <w:rFonts w:asciiTheme="majorHAnsi" w:hAnsiTheme="majorHAnsi" w:cstheme="majorHAnsi"/>
          <w:sz w:val="16"/>
          <w:szCs w:val="16"/>
        </w:rPr>
      </w:pPr>
      <w:r w:rsidRPr="00617241">
        <w:t>All results are expressed as mean ± SE.  Different letters within rows indicate significant differences as evaluated by Tukey HSD variance of means test (α = 0.05)</w:t>
      </w:r>
      <w:r>
        <w:t xml:space="preserve">. </w:t>
      </w:r>
      <w:r w:rsidRPr="00392D35">
        <w:t>No statistical significance = ns</w:t>
      </w:r>
      <w:r>
        <w:t xml:space="preserve">. </w:t>
      </w:r>
      <w:r w:rsidRPr="00617241">
        <w:rPr>
          <w:rFonts w:cstheme="majorHAnsi"/>
          <w:color w:val="000000" w:themeColor="text1"/>
        </w:rPr>
        <w:t xml:space="preserve">NPK = mineral control (n = 3); CRO = </w:t>
      </w:r>
      <w:r>
        <w:rPr>
          <w:rFonts w:cstheme="majorHAnsi"/>
          <w:color w:val="000000" w:themeColor="text1"/>
        </w:rPr>
        <w:t>‘Crop’</w:t>
      </w:r>
      <w:r w:rsidRPr="00617241">
        <w:rPr>
          <w:rFonts w:cstheme="majorHAnsi"/>
          <w:color w:val="000000" w:themeColor="text1"/>
        </w:rPr>
        <w:t xml:space="preserve"> treatment (n = 4); S+V = Str</w:t>
      </w:r>
      <w:r>
        <w:rPr>
          <w:rFonts w:cstheme="majorHAnsi"/>
          <w:color w:val="000000" w:themeColor="text1"/>
        </w:rPr>
        <w:t xml:space="preserve">uvite &amp; </w:t>
      </w:r>
      <w:proofErr w:type="spellStart"/>
      <w:r>
        <w:rPr>
          <w:rFonts w:cstheme="majorHAnsi"/>
          <w:color w:val="000000" w:themeColor="text1"/>
        </w:rPr>
        <w:t>Vinasse</w:t>
      </w:r>
      <w:proofErr w:type="spellEnd"/>
      <w:r>
        <w:rPr>
          <w:rFonts w:cstheme="majorHAnsi"/>
          <w:color w:val="000000" w:themeColor="text1"/>
        </w:rPr>
        <w:t xml:space="preserve"> treatment (n = 4</w:t>
      </w:r>
      <w:r w:rsidRPr="00617241">
        <w:rPr>
          <w:rFonts w:cstheme="majorHAnsi"/>
          <w:color w:val="000000" w:themeColor="text1"/>
        </w:rPr>
        <w:t xml:space="preserve">); AUR = </w:t>
      </w:r>
      <w:r>
        <w:rPr>
          <w:rFonts w:cstheme="majorHAnsi"/>
          <w:color w:val="000000" w:themeColor="text1"/>
        </w:rPr>
        <w:t>‘</w:t>
      </w:r>
      <w:proofErr w:type="spellStart"/>
      <w:r>
        <w:rPr>
          <w:rFonts w:cstheme="majorHAnsi"/>
          <w:color w:val="000000" w:themeColor="text1"/>
        </w:rPr>
        <w:t>Aurin</w:t>
      </w:r>
      <w:proofErr w:type="spellEnd"/>
      <w:r>
        <w:rPr>
          <w:rFonts w:cstheme="majorHAnsi"/>
          <w:color w:val="000000" w:themeColor="text1"/>
        </w:rPr>
        <w:t>’</w:t>
      </w:r>
      <w:r w:rsidRPr="00617241">
        <w:rPr>
          <w:rFonts w:cstheme="majorHAnsi"/>
          <w:color w:val="000000" w:themeColor="text1"/>
        </w:rPr>
        <w:t xml:space="preserve"> treatment (n = 4)</w:t>
      </w:r>
    </w:p>
    <w:p w:rsidR="00074F69" w:rsidRDefault="00074F69" w:rsidP="00074F69">
      <w:pPr>
        <w:rPr>
          <w:highlight w:val="cyan"/>
        </w:rPr>
      </w:pPr>
    </w:p>
    <w:p w:rsidR="00074F69" w:rsidRPr="001532E6" w:rsidRDefault="00074F69" w:rsidP="00074F69">
      <w:pPr>
        <w:rPr>
          <w:highlight w:val="cyan"/>
        </w:rPr>
      </w:pPr>
    </w:p>
    <w:p w:rsidR="00074F69" w:rsidRDefault="00074F69" w:rsidP="00074F69">
      <w:pPr>
        <w:rPr>
          <w:rFonts w:eastAsia="SimHei"/>
        </w:rPr>
      </w:pPr>
    </w:p>
    <w:p w:rsidR="00074F69" w:rsidRPr="00AE4345" w:rsidRDefault="00074F69" w:rsidP="00074F69">
      <w:pPr>
        <w:pStyle w:val="Beschriftung"/>
        <w:rPr>
          <w:color w:val="538135" w:themeColor="accent6" w:themeShade="BF"/>
        </w:rPr>
      </w:pPr>
      <w:r w:rsidRPr="00AE4345">
        <w:rPr>
          <w:rFonts w:eastAsia="SimHei"/>
          <w:b/>
          <w:color w:val="538135" w:themeColor="accent6" w:themeShade="BF"/>
        </w:rPr>
        <w:t>Table 8</w:t>
      </w:r>
      <w:r w:rsidRPr="00AE4345">
        <w:rPr>
          <w:color w:val="538135" w:themeColor="accent6" w:themeShade="BF"/>
        </w:rPr>
        <w:t xml:space="preserve"> Optimal ranges of nutrient sufficiency</w:t>
      </w:r>
      <w:r w:rsidRPr="00AE4345">
        <w:rPr>
          <w:rFonts w:eastAsia="SimHei"/>
          <w:color w:val="538135" w:themeColor="accent6" w:themeShade="BF"/>
        </w:rPr>
        <w:t xml:space="preserve"> for N, P, K, Ca, &amp; Mg found in vegetative DM (shoot/leaves) of tomato plants. </w:t>
      </w:r>
    </w:p>
    <w:tbl>
      <w:tblPr>
        <w:tblW w:w="3828" w:type="dxa"/>
        <w:tblBorders>
          <w:top w:val="single" w:sz="4" w:space="0" w:color="auto"/>
          <w:bottom w:val="single" w:sz="4" w:space="0" w:color="auto"/>
        </w:tblBorders>
        <w:tblLayout w:type="fixed"/>
        <w:tblLook w:val="04A0" w:firstRow="1" w:lastRow="0" w:firstColumn="1" w:lastColumn="0" w:noHBand="0" w:noVBand="1"/>
      </w:tblPr>
      <w:tblGrid>
        <w:gridCol w:w="993"/>
        <w:gridCol w:w="1559"/>
        <w:gridCol w:w="1276"/>
      </w:tblGrid>
      <w:tr w:rsidR="00074F69" w:rsidRPr="00AE4345" w:rsidTr="00D64B56">
        <w:trPr>
          <w:trHeight w:hRule="exact" w:val="284"/>
        </w:trPr>
        <w:tc>
          <w:tcPr>
            <w:tcW w:w="1297" w:type="pct"/>
            <w:tcBorders>
              <w:top w:val="single" w:sz="4" w:space="0" w:color="auto"/>
              <w:bottom w:val="single" w:sz="4" w:space="0" w:color="auto"/>
              <w:right w:val="nil"/>
            </w:tcBorders>
            <w:shd w:val="clear" w:color="auto" w:fill="auto"/>
            <w:hideMark/>
          </w:tcPr>
          <w:p w:rsidR="00074F69" w:rsidRPr="00AE4345" w:rsidRDefault="00074F69" w:rsidP="00D64B56">
            <w:pPr>
              <w:rPr>
                <w:rFonts w:asciiTheme="minorHAnsi" w:hAnsiTheme="minorHAnsi" w:cstheme="minorHAnsi"/>
                <w:b/>
                <w:color w:val="538135" w:themeColor="accent6" w:themeShade="BF"/>
                <w:sz w:val="18"/>
                <w:szCs w:val="18"/>
              </w:rPr>
            </w:pPr>
            <w:r w:rsidRPr="00AE4345">
              <w:rPr>
                <w:rFonts w:asciiTheme="minorHAnsi" w:hAnsiTheme="minorHAnsi" w:cstheme="minorHAnsi"/>
                <w:b/>
                <w:color w:val="538135" w:themeColor="accent6" w:themeShade="BF"/>
                <w:sz w:val="18"/>
                <w:szCs w:val="18"/>
              </w:rPr>
              <w:t>Nutrient</w:t>
            </w:r>
          </w:p>
        </w:tc>
        <w:tc>
          <w:tcPr>
            <w:tcW w:w="2036" w:type="pct"/>
            <w:tcBorders>
              <w:top w:val="single" w:sz="4" w:space="0" w:color="auto"/>
              <w:bottom w:val="single" w:sz="4" w:space="0" w:color="auto"/>
              <w:right w:val="nil"/>
            </w:tcBorders>
          </w:tcPr>
          <w:p w:rsidR="00074F69" w:rsidRPr="00AE4345" w:rsidRDefault="00074F69" w:rsidP="00D64B56">
            <w:pPr>
              <w:rPr>
                <w:rFonts w:asciiTheme="minorHAnsi" w:hAnsiTheme="minorHAnsi" w:cstheme="minorHAnsi"/>
                <w:b/>
                <w:color w:val="538135" w:themeColor="accent6" w:themeShade="BF"/>
                <w:sz w:val="18"/>
                <w:szCs w:val="18"/>
              </w:rPr>
            </w:pPr>
            <w:r w:rsidRPr="00AE4345">
              <w:rPr>
                <w:rFonts w:asciiTheme="minorHAnsi" w:hAnsiTheme="minorHAnsi" w:cstheme="minorHAnsi"/>
                <w:b/>
                <w:color w:val="538135" w:themeColor="accent6" w:themeShade="BF"/>
                <w:sz w:val="18"/>
                <w:szCs w:val="18"/>
              </w:rPr>
              <w:t>Optimal ranges</w:t>
            </w:r>
          </w:p>
        </w:tc>
        <w:tc>
          <w:tcPr>
            <w:tcW w:w="1667" w:type="pct"/>
            <w:tcBorders>
              <w:top w:val="single" w:sz="4" w:space="0" w:color="auto"/>
              <w:bottom w:val="single" w:sz="4" w:space="0" w:color="auto"/>
              <w:right w:val="nil"/>
            </w:tcBorders>
          </w:tcPr>
          <w:p w:rsidR="00074F69" w:rsidRPr="00AE4345" w:rsidRDefault="00074F69" w:rsidP="00D64B56">
            <w:pPr>
              <w:rPr>
                <w:rFonts w:asciiTheme="minorHAnsi" w:hAnsiTheme="minorHAnsi" w:cstheme="minorHAnsi"/>
                <w:b/>
                <w:color w:val="538135" w:themeColor="accent6" w:themeShade="BF"/>
                <w:sz w:val="18"/>
                <w:szCs w:val="18"/>
              </w:rPr>
            </w:pPr>
            <w:r w:rsidRPr="00AE4345">
              <w:rPr>
                <w:rFonts w:asciiTheme="minorHAnsi" w:hAnsiTheme="minorHAnsi" w:cstheme="minorHAnsi"/>
                <w:b/>
                <w:color w:val="538135" w:themeColor="accent6" w:themeShade="BF"/>
                <w:sz w:val="18"/>
                <w:szCs w:val="18"/>
              </w:rPr>
              <w:t>Deficiency</w:t>
            </w:r>
          </w:p>
        </w:tc>
      </w:tr>
      <w:tr w:rsidR="00074F69" w:rsidRPr="00AE4345" w:rsidTr="00D64B56">
        <w:trPr>
          <w:trHeight w:hRule="exact" w:val="284"/>
        </w:trPr>
        <w:tc>
          <w:tcPr>
            <w:tcW w:w="5000" w:type="pct"/>
            <w:gridSpan w:val="3"/>
            <w:tcBorders>
              <w:top w:val="single" w:sz="4" w:space="0" w:color="auto"/>
              <w:bottom w:val="single" w:sz="4" w:space="0" w:color="auto"/>
              <w:right w:val="nil"/>
            </w:tcBorders>
            <w:shd w:val="clear" w:color="auto" w:fill="auto"/>
          </w:tcPr>
          <w:p w:rsidR="00074F69" w:rsidRPr="00AE4345" w:rsidRDefault="00074F69" w:rsidP="00D64B56">
            <w:pPr>
              <w:jc w:val="both"/>
              <w:rPr>
                <w:rFonts w:asciiTheme="minorHAnsi" w:hAnsiTheme="minorHAnsi" w:cstheme="minorHAnsi"/>
                <w:color w:val="538135" w:themeColor="accent6" w:themeShade="BF"/>
                <w:sz w:val="18"/>
                <w:szCs w:val="18"/>
              </w:rPr>
            </w:pPr>
            <w:r w:rsidRPr="00AE4345">
              <w:rPr>
                <w:rFonts w:asciiTheme="minorHAnsi" w:hAnsiTheme="minorHAnsi" w:cstheme="minorHAnsi"/>
                <w:color w:val="538135" w:themeColor="accent6" w:themeShade="BF"/>
                <w:sz w:val="18"/>
                <w:szCs w:val="18"/>
              </w:rPr>
              <w:t xml:space="preserve">                         [mg kg</w:t>
            </w:r>
            <w:r w:rsidRPr="00AE4345">
              <w:rPr>
                <w:rFonts w:asciiTheme="minorHAnsi" w:hAnsiTheme="minorHAnsi" w:cstheme="minorHAnsi"/>
                <w:color w:val="538135" w:themeColor="accent6" w:themeShade="BF"/>
                <w:position w:val="6"/>
                <w:sz w:val="18"/>
                <w:szCs w:val="18"/>
                <w:vertAlign w:val="superscript"/>
              </w:rPr>
              <w:t xml:space="preserve">-1 </w:t>
            </w:r>
            <w:r w:rsidRPr="00AE4345">
              <w:rPr>
                <w:rFonts w:asciiTheme="minorHAnsi" w:hAnsiTheme="minorHAnsi" w:cstheme="minorHAnsi"/>
                <w:color w:val="538135" w:themeColor="accent6" w:themeShade="BF"/>
                <w:sz w:val="18"/>
                <w:szCs w:val="18"/>
              </w:rPr>
              <w:t>]</w:t>
            </w:r>
          </w:p>
        </w:tc>
      </w:tr>
      <w:tr w:rsidR="00074F69" w:rsidRPr="00AE4345" w:rsidTr="00D64B56">
        <w:trPr>
          <w:trHeight w:hRule="exact" w:val="227"/>
        </w:trPr>
        <w:tc>
          <w:tcPr>
            <w:tcW w:w="1297" w:type="pct"/>
            <w:tcBorders>
              <w:top w:val="single" w:sz="4" w:space="0" w:color="auto"/>
              <w:left w:val="nil"/>
              <w:bottom w:val="nil"/>
              <w:right w:val="nil"/>
            </w:tcBorders>
            <w:shd w:val="clear" w:color="auto" w:fill="auto"/>
            <w:hideMark/>
          </w:tcPr>
          <w:p w:rsidR="00074F69" w:rsidRPr="00AE4345" w:rsidRDefault="00074F69" w:rsidP="00D64B56">
            <w:pPr>
              <w:rPr>
                <w:rFonts w:asciiTheme="minorHAnsi" w:hAnsiTheme="minorHAnsi" w:cstheme="minorHAnsi"/>
                <w:b/>
                <w:color w:val="538135" w:themeColor="accent6" w:themeShade="BF"/>
                <w:sz w:val="18"/>
                <w:szCs w:val="18"/>
              </w:rPr>
            </w:pPr>
            <w:r w:rsidRPr="00AE4345">
              <w:rPr>
                <w:rFonts w:asciiTheme="minorHAnsi" w:hAnsiTheme="minorHAnsi" w:cstheme="minorHAnsi"/>
                <w:b/>
                <w:color w:val="538135" w:themeColor="accent6" w:themeShade="BF"/>
                <w:sz w:val="18"/>
                <w:szCs w:val="18"/>
              </w:rPr>
              <w:t>N</w:t>
            </w:r>
          </w:p>
        </w:tc>
        <w:tc>
          <w:tcPr>
            <w:tcW w:w="2036" w:type="pct"/>
            <w:tcBorders>
              <w:top w:val="single" w:sz="4" w:space="0" w:color="auto"/>
              <w:left w:val="single" w:sz="4" w:space="0" w:color="auto"/>
              <w:bottom w:val="nil"/>
              <w:right w:val="single" w:sz="4" w:space="0" w:color="auto"/>
            </w:tcBorders>
          </w:tcPr>
          <w:p w:rsidR="00074F69" w:rsidRPr="00AE4345" w:rsidRDefault="00074F69" w:rsidP="00D64B56">
            <w:pPr>
              <w:rPr>
                <w:rFonts w:asciiTheme="minorHAnsi" w:hAnsiTheme="minorHAnsi" w:cstheme="minorHAnsi"/>
                <w:color w:val="538135" w:themeColor="accent6" w:themeShade="BF"/>
                <w:sz w:val="18"/>
                <w:szCs w:val="18"/>
              </w:rPr>
            </w:pPr>
            <w:r w:rsidRPr="00AE4345">
              <w:rPr>
                <w:rFonts w:asciiTheme="minorHAnsi" w:hAnsiTheme="minorHAnsi" w:cstheme="minorHAnsi"/>
                <w:color w:val="538135" w:themeColor="accent6" w:themeShade="BF"/>
                <w:sz w:val="18"/>
                <w:szCs w:val="18"/>
              </w:rPr>
              <w:t>28000 – 60000</w:t>
            </w:r>
          </w:p>
        </w:tc>
        <w:tc>
          <w:tcPr>
            <w:tcW w:w="1667" w:type="pct"/>
            <w:tcBorders>
              <w:top w:val="single" w:sz="4" w:space="0" w:color="auto"/>
              <w:left w:val="single" w:sz="4" w:space="0" w:color="auto"/>
              <w:bottom w:val="nil"/>
              <w:right w:val="nil"/>
            </w:tcBorders>
          </w:tcPr>
          <w:p w:rsidR="00074F69" w:rsidRPr="00AE4345" w:rsidRDefault="00074F69" w:rsidP="00D64B56">
            <w:pPr>
              <w:rPr>
                <w:rFonts w:asciiTheme="minorHAnsi" w:hAnsiTheme="minorHAnsi" w:cstheme="minorHAnsi"/>
                <w:color w:val="538135" w:themeColor="accent6" w:themeShade="BF"/>
                <w:sz w:val="18"/>
                <w:szCs w:val="18"/>
              </w:rPr>
            </w:pPr>
            <w:r w:rsidRPr="00AE4345">
              <w:rPr>
                <w:rFonts w:asciiTheme="minorHAnsi" w:hAnsiTheme="minorHAnsi" w:cstheme="minorHAnsi"/>
                <w:color w:val="538135" w:themeColor="accent6" w:themeShade="BF"/>
                <w:sz w:val="18"/>
                <w:szCs w:val="18"/>
              </w:rPr>
              <w:t>&lt; 20000</w:t>
            </w:r>
          </w:p>
        </w:tc>
      </w:tr>
      <w:tr w:rsidR="00074F69" w:rsidRPr="00AE4345" w:rsidTr="00D64B56">
        <w:trPr>
          <w:trHeight w:hRule="exact" w:val="227"/>
        </w:trPr>
        <w:tc>
          <w:tcPr>
            <w:tcW w:w="1297" w:type="pct"/>
            <w:tcBorders>
              <w:top w:val="nil"/>
              <w:left w:val="nil"/>
              <w:bottom w:val="nil"/>
              <w:right w:val="nil"/>
            </w:tcBorders>
            <w:shd w:val="clear" w:color="auto" w:fill="auto"/>
            <w:hideMark/>
          </w:tcPr>
          <w:p w:rsidR="00074F69" w:rsidRPr="00AE4345" w:rsidRDefault="00074F69" w:rsidP="00D64B56">
            <w:pPr>
              <w:rPr>
                <w:rFonts w:asciiTheme="minorHAnsi" w:hAnsiTheme="minorHAnsi" w:cstheme="minorHAnsi"/>
                <w:b/>
                <w:color w:val="538135" w:themeColor="accent6" w:themeShade="BF"/>
                <w:sz w:val="18"/>
                <w:szCs w:val="18"/>
              </w:rPr>
            </w:pPr>
            <w:r w:rsidRPr="00AE4345">
              <w:rPr>
                <w:rFonts w:asciiTheme="minorHAnsi" w:hAnsiTheme="minorHAnsi" w:cstheme="minorHAnsi"/>
                <w:b/>
                <w:color w:val="538135" w:themeColor="accent6" w:themeShade="BF"/>
                <w:sz w:val="18"/>
                <w:szCs w:val="18"/>
              </w:rPr>
              <w:t>P</w:t>
            </w:r>
          </w:p>
        </w:tc>
        <w:tc>
          <w:tcPr>
            <w:tcW w:w="2036" w:type="pct"/>
            <w:tcBorders>
              <w:top w:val="nil"/>
              <w:left w:val="single" w:sz="4" w:space="0" w:color="auto"/>
              <w:bottom w:val="nil"/>
              <w:right w:val="single" w:sz="4" w:space="0" w:color="auto"/>
            </w:tcBorders>
          </w:tcPr>
          <w:p w:rsidR="00074F69" w:rsidRPr="00AE4345" w:rsidRDefault="00074F69" w:rsidP="00D64B56">
            <w:pPr>
              <w:rPr>
                <w:rFonts w:asciiTheme="minorHAnsi" w:hAnsiTheme="minorHAnsi" w:cstheme="minorHAnsi"/>
                <w:color w:val="538135" w:themeColor="accent6" w:themeShade="BF"/>
                <w:sz w:val="18"/>
                <w:szCs w:val="18"/>
              </w:rPr>
            </w:pPr>
            <w:r w:rsidRPr="00AE4345">
              <w:rPr>
                <w:rFonts w:asciiTheme="minorHAnsi" w:hAnsiTheme="minorHAnsi" w:cstheme="minorHAnsi"/>
                <w:color w:val="538135" w:themeColor="accent6" w:themeShade="BF"/>
                <w:sz w:val="18"/>
                <w:szCs w:val="18"/>
              </w:rPr>
              <w:t>3000 – 7000</w:t>
            </w:r>
          </w:p>
        </w:tc>
        <w:tc>
          <w:tcPr>
            <w:tcW w:w="1667" w:type="pct"/>
            <w:tcBorders>
              <w:top w:val="nil"/>
              <w:left w:val="single" w:sz="4" w:space="0" w:color="auto"/>
              <w:bottom w:val="nil"/>
              <w:right w:val="nil"/>
            </w:tcBorders>
          </w:tcPr>
          <w:p w:rsidR="00074F69" w:rsidRPr="00AE4345" w:rsidRDefault="00074F69" w:rsidP="00D64B56">
            <w:pPr>
              <w:rPr>
                <w:rFonts w:asciiTheme="minorHAnsi" w:hAnsiTheme="minorHAnsi" w:cstheme="minorHAnsi"/>
                <w:color w:val="538135" w:themeColor="accent6" w:themeShade="BF"/>
                <w:sz w:val="18"/>
                <w:szCs w:val="18"/>
              </w:rPr>
            </w:pPr>
            <w:r w:rsidRPr="00AE4345">
              <w:rPr>
                <w:rFonts w:asciiTheme="minorHAnsi" w:hAnsiTheme="minorHAnsi" w:cstheme="minorHAnsi"/>
                <w:color w:val="538135" w:themeColor="accent6" w:themeShade="BF"/>
                <w:sz w:val="18"/>
                <w:szCs w:val="18"/>
              </w:rPr>
              <w:t>&lt; 2000</w:t>
            </w:r>
          </w:p>
        </w:tc>
      </w:tr>
      <w:tr w:rsidR="00074F69" w:rsidRPr="00AE4345" w:rsidTr="00D64B56">
        <w:trPr>
          <w:trHeight w:hRule="exact" w:val="227"/>
        </w:trPr>
        <w:tc>
          <w:tcPr>
            <w:tcW w:w="1297" w:type="pct"/>
            <w:tcBorders>
              <w:top w:val="nil"/>
              <w:left w:val="nil"/>
              <w:bottom w:val="nil"/>
              <w:right w:val="nil"/>
            </w:tcBorders>
            <w:shd w:val="clear" w:color="auto" w:fill="auto"/>
            <w:hideMark/>
          </w:tcPr>
          <w:p w:rsidR="00074F69" w:rsidRPr="00AE4345" w:rsidRDefault="00074F69" w:rsidP="00D64B56">
            <w:pPr>
              <w:rPr>
                <w:rFonts w:asciiTheme="minorHAnsi" w:hAnsiTheme="minorHAnsi" w:cstheme="minorHAnsi"/>
                <w:b/>
                <w:color w:val="538135" w:themeColor="accent6" w:themeShade="BF"/>
                <w:sz w:val="18"/>
                <w:szCs w:val="18"/>
              </w:rPr>
            </w:pPr>
            <w:r w:rsidRPr="00AE4345">
              <w:rPr>
                <w:rFonts w:asciiTheme="minorHAnsi" w:hAnsiTheme="minorHAnsi" w:cstheme="minorHAnsi"/>
                <w:b/>
                <w:color w:val="538135" w:themeColor="accent6" w:themeShade="BF"/>
                <w:sz w:val="18"/>
                <w:szCs w:val="18"/>
              </w:rPr>
              <w:t>K</w:t>
            </w:r>
          </w:p>
        </w:tc>
        <w:tc>
          <w:tcPr>
            <w:tcW w:w="2036" w:type="pct"/>
            <w:tcBorders>
              <w:top w:val="nil"/>
              <w:left w:val="single" w:sz="4" w:space="0" w:color="auto"/>
              <w:bottom w:val="nil"/>
              <w:right w:val="single" w:sz="4" w:space="0" w:color="auto"/>
            </w:tcBorders>
          </w:tcPr>
          <w:p w:rsidR="00074F69" w:rsidRPr="00AE4345" w:rsidRDefault="00074F69" w:rsidP="00D64B56">
            <w:pPr>
              <w:rPr>
                <w:rFonts w:asciiTheme="minorHAnsi" w:hAnsiTheme="minorHAnsi" w:cstheme="minorHAnsi"/>
                <w:color w:val="538135" w:themeColor="accent6" w:themeShade="BF"/>
                <w:sz w:val="18"/>
                <w:szCs w:val="18"/>
              </w:rPr>
            </w:pPr>
            <w:r w:rsidRPr="00AE4345">
              <w:rPr>
                <w:rFonts w:asciiTheme="minorHAnsi" w:hAnsiTheme="minorHAnsi" w:cstheme="minorHAnsi"/>
                <w:color w:val="538135" w:themeColor="accent6" w:themeShade="BF"/>
                <w:sz w:val="18"/>
                <w:szCs w:val="18"/>
              </w:rPr>
              <w:t>27000 – 55000</w:t>
            </w:r>
          </w:p>
        </w:tc>
        <w:tc>
          <w:tcPr>
            <w:tcW w:w="1667" w:type="pct"/>
            <w:tcBorders>
              <w:top w:val="nil"/>
              <w:left w:val="single" w:sz="4" w:space="0" w:color="auto"/>
              <w:bottom w:val="nil"/>
              <w:right w:val="nil"/>
            </w:tcBorders>
          </w:tcPr>
          <w:p w:rsidR="00074F69" w:rsidRPr="00AE4345" w:rsidRDefault="00074F69" w:rsidP="00D64B56">
            <w:pPr>
              <w:rPr>
                <w:rFonts w:asciiTheme="minorHAnsi" w:hAnsiTheme="minorHAnsi" w:cstheme="minorHAnsi"/>
                <w:color w:val="538135" w:themeColor="accent6" w:themeShade="BF"/>
                <w:sz w:val="18"/>
                <w:szCs w:val="18"/>
              </w:rPr>
            </w:pPr>
            <w:r w:rsidRPr="00AE4345">
              <w:rPr>
                <w:rFonts w:asciiTheme="minorHAnsi" w:hAnsiTheme="minorHAnsi" w:cstheme="minorHAnsi"/>
                <w:color w:val="538135" w:themeColor="accent6" w:themeShade="BF"/>
                <w:sz w:val="18"/>
                <w:szCs w:val="18"/>
              </w:rPr>
              <w:t>&lt; 15000</w:t>
            </w:r>
          </w:p>
        </w:tc>
      </w:tr>
      <w:tr w:rsidR="00074F69" w:rsidRPr="00AE4345" w:rsidTr="00D64B56">
        <w:trPr>
          <w:trHeight w:hRule="exact" w:val="227"/>
        </w:trPr>
        <w:tc>
          <w:tcPr>
            <w:tcW w:w="1297" w:type="pct"/>
            <w:tcBorders>
              <w:top w:val="nil"/>
              <w:left w:val="nil"/>
              <w:bottom w:val="nil"/>
              <w:right w:val="nil"/>
            </w:tcBorders>
            <w:shd w:val="clear" w:color="auto" w:fill="auto"/>
            <w:hideMark/>
          </w:tcPr>
          <w:p w:rsidR="00074F69" w:rsidRPr="00AE4345" w:rsidRDefault="00074F69" w:rsidP="00D64B56">
            <w:pPr>
              <w:rPr>
                <w:rFonts w:asciiTheme="minorHAnsi" w:hAnsiTheme="minorHAnsi" w:cstheme="minorHAnsi"/>
                <w:b/>
                <w:color w:val="538135" w:themeColor="accent6" w:themeShade="BF"/>
                <w:sz w:val="18"/>
                <w:szCs w:val="18"/>
              </w:rPr>
            </w:pPr>
            <w:r w:rsidRPr="00AE4345">
              <w:rPr>
                <w:rFonts w:asciiTheme="minorHAnsi" w:hAnsiTheme="minorHAnsi" w:cstheme="minorHAnsi"/>
                <w:b/>
                <w:color w:val="538135" w:themeColor="accent6" w:themeShade="BF"/>
                <w:sz w:val="18"/>
                <w:szCs w:val="18"/>
              </w:rPr>
              <w:t>Ca</w:t>
            </w:r>
          </w:p>
        </w:tc>
        <w:tc>
          <w:tcPr>
            <w:tcW w:w="2036" w:type="pct"/>
            <w:tcBorders>
              <w:top w:val="nil"/>
              <w:left w:val="single" w:sz="4" w:space="0" w:color="auto"/>
              <w:bottom w:val="nil"/>
              <w:right w:val="single" w:sz="4" w:space="0" w:color="auto"/>
            </w:tcBorders>
          </w:tcPr>
          <w:p w:rsidR="00074F69" w:rsidRPr="00AE4345" w:rsidRDefault="00074F69" w:rsidP="00D64B56">
            <w:pPr>
              <w:rPr>
                <w:rFonts w:asciiTheme="minorHAnsi" w:hAnsiTheme="minorHAnsi" w:cstheme="minorHAnsi"/>
                <w:color w:val="538135" w:themeColor="accent6" w:themeShade="BF"/>
                <w:sz w:val="18"/>
                <w:szCs w:val="18"/>
              </w:rPr>
            </w:pPr>
            <w:r w:rsidRPr="00AE4345">
              <w:rPr>
                <w:rFonts w:asciiTheme="minorHAnsi" w:hAnsiTheme="minorHAnsi" w:cstheme="minorHAnsi"/>
                <w:color w:val="538135" w:themeColor="accent6" w:themeShade="BF"/>
                <w:sz w:val="18"/>
                <w:szCs w:val="18"/>
              </w:rPr>
              <w:t>10000 – 30000</w:t>
            </w:r>
          </w:p>
        </w:tc>
        <w:tc>
          <w:tcPr>
            <w:tcW w:w="1667" w:type="pct"/>
            <w:tcBorders>
              <w:top w:val="nil"/>
              <w:left w:val="single" w:sz="4" w:space="0" w:color="auto"/>
              <w:bottom w:val="nil"/>
              <w:right w:val="nil"/>
            </w:tcBorders>
          </w:tcPr>
          <w:p w:rsidR="00074F69" w:rsidRPr="00AE4345" w:rsidRDefault="00074F69" w:rsidP="00D64B56">
            <w:pPr>
              <w:rPr>
                <w:rFonts w:asciiTheme="minorHAnsi" w:hAnsiTheme="minorHAnsi" w:cstheme="minorHAnsi"/>
                <w:color w:val="538135" w:themeColor="accent6" w:themeShade="BF"/>
                <w:sz w:val="18"/>
                <w:szCs w:val="18"/>
              </w:rPr>
            </w:pPr>
            <w:r w:rsidRPr="00AE4345">
              <w:rPr>
                <w:rFonts w:asciiTheme="minorHAnsi" w:hAnsiTheme="minorHAnsi" w:cstheme="minorHAnsi"/>
                <w:color w:val="538135" w:themeColor="accent6" w:themeShade="BF"/>
                <w:sz w:val="18"/>
                <w:szCs w:val="18"/>
              </w:rPr>
              <w:t>&lt; 10000</w:t>
            </w:r>
          </w:p>
        </w:tc>
      </w:tr>
      <w:tr w:rsidR="00074F69" w:rsidRPr="00AE4345" w:rsidTr="00D64B56">
        <w:trPr>
          <w:trHeight w:hRule="exact" w:val="227"/>
        </w:trPr>
        <w:tc>
          <w:tcPr>
            <w:tcW w:w="1297" w:type="pct"/>
            <w:tcBorders>
              <w:top w:val="nil"/>
              <w:left w:val="nil"/>
              <w:bottom w:val="single" w:sz="4" w:space="0" w:color="auto"/>
              <w:right w:val="nil"/>
            </w:tcBorders>
            <w:shd w:val="clear" w:color="auto" w:fill="auto"/>
            <w:hideMark/>
          </w:tcPr>
          <w:p w:rsidR="00074F69" w:rsidRPr="00AE4345" w:rsidRDefault="00074F69" w:rsidP="00D64B56">
            <w:pPr>
              <w:rPr>
                <w:rFonts w:asciiTheme="minorHAnsi" w:hAnsiTheme="minorHAnsi" w:cstheme="minorHAnsi"/>
                <w:b/>
                <w:color w:val="538135" w:themeColor="accent6" w:themeShade="BF"/>
                <w:sz w:val="18"/>
                <w:szCs w:val="18"/>
              </w:rPr>
            </w:pPr>
            <w:r w:rsidRPr="00AE4345">
              <w:rPr>
                <w:rFonts w:asciiTheme="minorHAnsi" w:hAnsiTheme="minorHAnsi" w:cstheme="minorHAnsi"/>
                <w:b/>
                <w:color w:val="538135" w:themeColor="accent6" w:themeShade="BF"/>
                <w:sz w:val="18"/>
                <w:szCs w:val="18"/>
              </w:rPr>
              <w:t>Mg</w:t>
            </w:r>
          </w:p>
        </w:tc>
        <w:tc>
          <w:tcPr>
            <w:tcW w:w="2036" w:type="pct"/>
            <w:tcBorders>
              <w:top w:val="nil"/>
              <w:left w:val="single" w:sz="4" w:space="0" w:color="auto"/>
              <w:bottom w:val="single" w:sz="4" w:space="0" w:color="auto"/>
              <w:right w:val="single" w:sz="4" w:space="0" w:color="auto"/>
            </w:tcBorders>
          </w:tcPr>
          <w:p w:rsidR="00074F69" w:rsidRPr="00AE4345" w:rsidRDefault="00074F69" w:rsidP="00D64B56">
            <w:pPr>
              <w:rPr>
                <w:rFonts w:asciiTheme="minorHAnsi" w:hAnsiTheme="minorHAnsi" w:cstheme="minorHAnsi"/>
                <w:color w:val="538135" w:themeColor="accent6" w:themeShade="BF"/>
                <w:sz w:val="18"/>
                <w:szCs w:val="18"/>
              </w:rPr>
            </w:pPr>
            <w:r w:rsidRPr="00AE4345">
              <w:rPr>
                <w:rFonts w:asciiTheme="minorHAnsi" w:hAnsiTheme="minorHAnsi" w:cstheme="minorHAnsi"/>
                <w:color w:val="538135" w:themeColor="accent6" w:themeShade="BF"/>
                <w:sz w:val="18"/>
                <w:szCs w:val="18"/>
              </w:rPr>
              <w:t>3600 – 8500</w:t>
            </w:r>
          </w:p>
        </w:tc>
        <w:tc>
          <w:tcPr>
            <w:tcW w:w="1667" w:type="pct"/>
            <w:tcBorders>
              <w:top w:val="nil"/>
              <w:left w:val="single" w:sz="4" w:space="0" w:color="auto"/>
              <w:bottom w:val="single" w:sz="4" w:space="0" w:color="auto"/>
              <w:right w:val="nil"/>
            </w:tcBorders>
          </w:tcPr>
          <w:p w:rsidR="00074F69" w:rsidRPr="00AE4345" w:rsidRDefault="00074F69" w:rsidP="00D64B56">
            <w:pPr>
              <w:rPr>
                <w:rFonts w:asciiTheme="minorHAnsi" w:hAnsiTheme="minorHAnsi" w:cstheme="minorHAnsi"/>
                <w:color w:val="538135" w:themeColor="accent6" w:themeShade="BF"/>
                <w:sz w:val="18"/>
                <w:szCs w:val="18"/>
              </w:rPr>
            </w:pPr>
            <w:r w:rsidRPr="00AE4345">
              <w:rPr>
                <w:rFonts w:asciiTheme="minorHAnsi" w:hAnsiTheme="minorHAnsi" w:cstheme="minorHAnsi"/>
                <w:color w:val="538135" w:themeColor="accent6" w:themeShade="BF"/>
                <w:sz w:val="18"/>
                <w:szCs w:val="18"/>
              </w:rPr>
              <w:t>&lt; 3000</w:t>
            </w:r>
          </w:p>
        </w:tc>
      </w:tr>
    </w:tbl>
    <w:p w:rsidR="00074F69" w:rsidRPr="00AE4345" w:rsidRDefault="00074F69" w:rsidP="00074F69">
      <w:pPr>
        <w:pStyle w:val="Beschriftung"/>
        <w:rPr>
          <w:color w:val="538135" w:themeColor="accent6" w:themeShade="BF"/>
        </w:rPr>
      </w:pPr>
      <w:r w:rsidRPr="00AE4345">
        <w:rPr>
          <w:color w:val="538135" w:themeColor="accent6" w:themeShade="BF"/>
        </w:rPr>
        <w:t xml:space="preserve">Optimal ranges represent highest and lowest values from established literature sources (Adams 1986; Campbell 2000; </w:t>
      </w:r>
      <w:proofErr w:type="spellStart"/>
      <w:r w:rsidRPr="00AE4345">
        <w:rPr>
          <w:color w:val="538135" w:themeColor="accent6" w:themeShade="BF"/>
        </w:rPr>
        <w:t>Sainju</w:t>
      </w:r>
      <w:proofErr w:type="spellEnd"/>
      <w:r w:rsidRPr="00AE4345">
        <w:rPr>
          <w:color w:val="538135" w:themeColor="accent6" w:themeShade="BF"/>
        </w:rPr>
        <w:t xml:space="preserve"> et al. 2003; Jones Jr. 2007; </w:t>
      </w:r>
      <w:proofErr w:type="spellStart"/>
      <w:r w:rsidRPr="00AE4345">
        <w:rPr>
          <w:color w:val="538135" w:themeColor="accent6" w:themeShade="BF"/>
        </w:rPr>
        <w:t>Sonneveld</w:t>
      </w:r>
      <w:proofErr w:type="spellEnd"/>
      <w:r w:rsidRPr="00AE4345">
        <w:rPr>
          <w:color w:val="538135" w:themeColor="accent6" w:themeShade="BF"/>
        </w:rPr>
        <w:t xml:space="preserve"> and </w:t>
      </w:r>
      <w:proofErr w:type="spellStart"/>
      <w:r w:rsidRPr="00AE4345">
        <w:rPr>
          <w:color w:val="538135" w:themeColor="accent6" w:themeShade="BF"/>
        </w:rPr>
        <w:t>Voogt</w:t>
      </w:r>
      <w:proofErr w:type="spellEnd"/>
      <w:r w:rsidRPr="00AE4345">
        <w:rPr>
          <w:color w:val="538135" w:themeColor="accent6" w:themeShade="BF"/>
        </w:rPr>
        <w:t xml:space="preserve">, 2009; </w:t>
      </w:r>
      <w:proofErr w:type="spellStart"/>
      <w:r w:rsidRPr="00AE4345">
        <w:rPr>
          <w:color w:val="538135" w:themeColor="accent6" w:themeShade="BF"/>
        </w:rPr>
        <w:t>Hochmuth</w:t>
      </w:r>
      <w:proofErr w:type="spellEnd"/>
      <w:r w:rsidRPr="00AE4345">
        <w:rPr>
          <w:color w:val="538135" w:themeColor="accent6" w:themeShade="BF"/>
        </w:rPr>
        <w:t xml:space="preserve"> 2012; </w:t>
      </w:r>
      <w:proofErr w:type="spellStart"/>
      <w:r w:rsidRPr="00AE4345">
        <w:rPr>
          <w:color w:val="538135" w:themeColor="accent6" w:themeShade="BF"/>
        </w:rPr>
        <w:t>Marschner</w:t>
      </w:r>
      <w:proofErr w:type="spellEnd"/>
      <w:r w:rsidRPr="00AE4345">
        <w:rPr>
          <w:color w:val="538135" w:themeColor="accent6" w:themeShade="BF"/>
        </w:rPr>
        <w:t xml:space="preserve"> 2012).</w:t>
      </w:r>
    </w:p>
    <w:p w:rsidR="00074F69" w:rsidRDefault="00074F69" w:rsidP="00074F69">
      <w:pPr>
        <w:spacing w:line="240" w:lineRule="auto"/>
        <w:rPr>
          <w:b/>
          <w:sz w:val="28"/>
          <w:szCs w:val="28"/>
        </w:rPr>
      </w:pPr>
      <w:r>
        <w:rPr>
          <w:b/>
          <w:sz w:val="28"/>
          <w:szCs w:val="28"/>
        </w:rPr>
        <w:br w:type="page"/>
      </w:r>
    </w:p>
    <w:p w:rsidR="00074F69" w:rsidRPr="005F2AE4" w:rsidRDefault="00074F69" w:rsidP="00074F69">
      <w:pPr>
        <w:pStyle w:val="berschrift2"/>
      </w:pPr>
      <w:r w:rsidRPr="005F2AE4">
        <w:lastRenderedPageBreak/>
        <w:t>Appendix B – Nutrient solution &amp; analysis</w:t>
      </w:r>
    </w:p>
    <w:p w:rsidR="00074F69" w:rsidRPr="00617241" w:rsidRDefault="00074F69" w:rsidP="00074F69">
      <w:pPr>
        <w:pStyle w:val="Beschriftung"/>
      </w:pPr>
      <w:r w:rsidRPr="000D69FE">
        <w:rPr>
          <w:b/>
        </w:rPr>
        <w:t xml:space="preserve">Table </w:t>
      </w:r>
      <w:r>
        <w:rPr>
          <w:b/>
        </w:rPr>
        <w:t>9</w:t>
      </w:r>
      <w:r w:rsidRPr="00617241">
        <w:t xml:space="preserve"> Desired nutrient solution (NS) recipe for hydroponic greenhouse cultivation of tomatoes with optimal ranges for molar concentration of nutrients, EC &amp; pH, as described by </w:t>
      </w:r>
      <w:r w:rsidRPr="00617241">
        <w:fldChar w:fldCharType="begin" w:fldLock="1"/>
      </w:r>
      <w:r>
        <w:instrText>ADDIN CSL_CITATION {"citationItems":[{"id":"ITEM-1","itemData":{"author":[{"dropping-particle":"","family":"Kreij, C., Voogt, W., Van den Bos, A.L. and Baas","given":"R.","non-dropping-particle":"De","parse-names":false,"suffix":""}],"container-title":"Proefstation voor Bloemisterij en Glasgroente, Naaldwijk/Aalsmeer","id":"ITEM-1","issued":{"date-parts":[["1997"]]},"number-of-pages":"21pp","title":"Voedingsoplossingen gesloten teeltsystemen, Tomaat.","type":"report","volume":"Brochure V"},"uris":["http://www.mendeley.com/documents/?uuid=d74ddd75-fbe6-4473-b8de-c07444542166"]}],"mendeley":{"formattedCitation":"(De Kreij, C., Voogt, W., Van den Bos, A.L. and Baas 1997)","manualFormatting":"(De Kreij et al., 1997)","plainTextFormattedCitation":"(De Kreij, C., Voogt, W., Van den Bos, A.L. and Baas 1997)","previouslyFormattedCitation":"(De Kreij, C., Voogt, W., Van den Bos, A.L. and Baas 1997)"},"properties":{"noteIndex":0},"schema":"https://github.com/citation-style-language/schema/raw/master/csl-citation.json"}</w:instrText>
      </w:r>
      <w:r w:rsidRPr="00617241">
        <w:fldChar w:fldCharType="separate"/>
      </w:r>
      <w:r w:rsidRPr="00617241">
        <w:rPr>
          <w:noProof/>
        </w:rPr>
        <w:t>(De Kreij et al., 1997)</w:t>
      </w:r>
      <w:r w:rsidRPr="00617241">
        <w:fldChar w:fldCharType="end"/>
      </w:r>
      <w:r>
        <w:t>.</w:t>
      </w:r>
    </w:p>
    <w:tbl>
      <w:tblPr>
        <w:tblW w:w="9214" w:type="dxa"/>
        <w:tblBorders>
          <w:top w:val="single" w:sz="4" w:space="0" w:color="auto"/>
          <w:bottom w:val="single" w:sz="4" w:space="0" w:color="auto"/>
        </w:tblBorders>
        <w:tblLayout w:type="fixed"/>
        <w:tblLook w:val="04A0" w:firstRow="1" w:lastRow="0" w:firstColumn="1" w:lastColumn="0" w:noHBand="0" w:noVBand="1"/>
      </w:tblPr>
      <w:tblGrid>
        <w:gridCol w:w="1358"/>
        <w:gridCol w:w="2165"/>
        <w:gridCol w:w="1897"/>
        <w:gridCol w:w="1526"/>
        <w:gridCol w:w="2268"/>
      </w:tblGrid>
      <w:tr w:rsidR="00074F69" w:rsidRPr="00617241" w:rsidTr="00D64B56">
        <w:trPr>
          <w:trHeight w:val="286"/>
        </w:trPr>
        <w:tc>
          <w:tcPr>
            <w:tcW w:w="1358" w:type="dxa"/>
            <w:tcBorders>
              <w:top w:val="single" w:sz="4" w:space="0" w:color="auto"/>
              <w:left w:val="nil"/>
              <w:bottom w:val="single" w:sz="4" w:space="0" w:color="auto"/>
              <w:right w:val="nil"/>
            </w:tcBorders>
            <w:shd w:val="clear" w:color="auto" w:fill="auto"/>
            <w:noWrap/>
            <w:hideMark/>
          </w:tcPr>
          <w:p w:rsidR="00074F69" w:rsidRPr="00617241" w:rsidRDefault="00074F69" w:rsidP="00D64B56">
            <w:pPr>
              <w:jc w:val="both"/>
              <w:rPr>
                <w:rFonts w:cs="Calibri Light"/>
                <w:b/>
                <w:bCs/>
                <w:sz w:val="18"/>
                <w:szCs w:val="18"/>
              </w:rPr>
            </w:pPr>
            <w:r w:rsidRPr="00617241">
              <w:rPr>
                <w:rFonts w:cs="Calibri Light"/>
                <w:b/>
                <w:bCs/>
                <w:sz w:val="18"/>
                <w:szCs w:val="18"/>
              </w:rPr>
              <w:t>NS component</w:t>
            </w:r>
          </w:p>
        </w:tc>
        <w:tc>
          <w:tcPr>
            <w:tcW w:w="2165" w:type="dxa"/>
            <w:tcBorders>
              <w:top w:val="single" w:sz="4" w:space="0" w:color="auto"/>
              <w:left w:val="nil"/>
              <w:bottom w:val="single" w:sz="4" w:space="0" w:color="auto"/>
              <w:right w:val="nil"/>
            </w:tcBorders>
          </w:tcPr>
          <w:p w:rsidR="00074F69" w:rsidRPr="00617241" w:rsidRDefault="00074F69" w:rsidP="00D64B56">
            <w:pPr>
              <w:jc w:val="both"/>
              <w:rPr>
                <w:rFonts w:cs="Calibri Light"/>
                <w:b/>
                <w:bCs/>
                <w:sz w:val="18"/>
                <w:szCs w:val="18"/>
              </w:rPr>
            </w:pPr>
            <w:r w:rsidRPr="00617241">
              <w:rPr>
                <w:rFonts w:cs="Calibri Light"/>
                <w:b/>
                <w:bCs/>
                <w:sz w:val="18"/>
                <w:szCs w:val="18"/>
              </w:rPr>
              <w:t>Unit</w:t>
            </w:r>
          </w:p>
        </w:tc>
        <w:tc>
          <w:tcPr>
            <w:tcW w:w="1897" w:type="dxa"/>
            <w:tcBorders>
              <w:top w:val="single" w:sz="4" w:space="0" w:color="auto"/>
              <w:left w:val="nil"/>
              <w:bottom w:val="single" w:sz="4" w:space="0" w:color="auto"/>
              <w:right w:val="nil"/>
            </w:tcBorders>
          </w:tcPr>
          <w:p w:rsidR="00074F69" w:rsidRPr="00617241" w:rsidRDefault="00074F69" w:rsidP="00D64B56">
            <w:pPr>
              <w:jc w:val="both"/>
              <w:rPr>
                <w:rFonts w:cs="Calibri Light"/>
                <w:b/>
                <w:bCs/>
                <w:sz w:val="18"/>
                <w:szCs w:val="18"/>
              </w:rPr>
            </w:pPr>
            <w:r w:rsidRPr="00617241">
              <w:rPr>
                <w:rFonts w:cs="Calibri Light"/>
                <w:b/>
                <w:bCs/>
                <w:sz w:val="18"/>
                <w:szCs w:val="18"/>
              </w:rPr>
              <w:t>Optimal range</w:t>
            </w:r>
          </w:p>
        </w:tc>
        <w:tc>
          <w:tcPr>
            <w:tcW w:w="1526" w:type="dxa"/>
            <w:tcBorders>
              <w:top w:val="single" w:sz="4" w:space="0" w:color="auto"/>
              <w:left w:val="nil"/>
              <w:bottom w:val="single" w:sz="4" w:space="0" w:color="auto"/>
              <w:right w:val="nil"/>
            </w:tcBorders>
          </w:tcPr>
          <w:p w:rsidR="00074F69" w:rsidRPr="00617241" w:rsidRDefault="00074F69" w:rsidP="00D64B56">
            <w:r w:rsidRPr="00617241">
              <w:rPr>
                <w:rFonts w:cs="Calibri Light"/>
                <w:b/>
                <w:bCs/>
                <w:sz w:val="18"/>
                <w:szCs w:val="18"/>
              </w:rPr>
              <w:t>Desired</w:t>
            </w:r>
          </w:p>
        </w:tc>
        <w:tc>
          <w:tcPr>
            <w:tcW w:w="2268" w:type="dxa"/>
            <w:tcBorders>
              <w:top w:val="single" w:sz="4" w:space="0" w:color="auto"/>
              <w:left w:val="nil"/>
              <w:bottom w:val="single" w:sz="4" w:space="0" w:color="auto"/>
            </w:tcBorders>
          </w:tcPr>
          <w:p w:rsidR="00074F69" w:rsidRPr="00617241" w:rsidRDefault="00074F69" w:rsidP="00D64B56">
            <w:pPr>
              <w:rPr>
                <w:rFonts w:cs="Calibri Light"/>
                <w:b/>
                <w:bCs/>
                <w:sz w:val="18"/>
                <w:szCs w:val="18"/>
              </w:rPr>
            </w:pPr>
            <w:r w:rsidRPr="00617241">
              <w:rPr>
                <w:rFonts w:cs="Calibri Light"/>
                <w:b/>
                <w:bCs/>
                <w:sz w:val="18"/>
                <w:szCs w:val="18"/>
              </w:rPr>
              <w:t>5</w:t>
            </w:r>
            <w:r w:rsidRPr="00617241">
              <w:rPr>
                <w:rFonts w:cs="Calibri Light"/>
                <w:b/>
                <w:bCs/>
                <w:sz w:val="18"/>
                <w:szCs w:val="18"/>
                <w:vertAlign w:val="superscript"/>
              </w:rPr>
              <w:t>th</w:t>
            </w:r>
            <w:r w:rsidRPr="00617241">
              <w:rPr>
                <w:rFonts w:cs="Calibri Light"/>
                <w:b/>
                <w:bCs/>
                <w:sz w:val="18"/>
                <w:szCs w:val="18"/>
              </w:rPr>
              <w:t xml:space="preserve"> truss formation </w:t>
            </w:r>
          </w:p>
          <w:p w:rsidR="00074F69" w:rsidRPr="00617241" w:rsidRDefault="00074F69" w:rsidP="00D64B56">
            <w:pPr>
              <w:rPr>
                <w:rFonts w:cs="Calibri Light"/>
                <w:bCs/>
                <w:sz w:val="18"/>
                <w:szCs w:val="18"/>
              </w:rPr>
            </w:pPr>
            <w:r w:rsidRPr="00617241">
              <w:rPr>
                <w:rFonts w:cs="Calibri Light"/>
                <w:bCs/>
                <w:sz w:val="18"/>
                <w:szCs w:val="18"/>
              </w:rPr>
              <w:t xml:space="preserve">[+/- </w:t>
            </w:r>
            <w:proofErr w:type="spellStart"/>
            <w:r w:rsidRPr="00617241">
              <w:rPr>
                <w:rFonts w:cs="Calibri Light"/>
                <w:bCs/>
                <w:sz w:val="18"/>
                <w:szCs w:val="18"/>
              </w:rPr>
              <w:t>mmol</w:t>
            </w:r>
            <w:proofErr w:type="spellEnd"/>
            <w:r w:rsidRPr="00617241">
              <w:rPr>
                <w:rFonts w:cs="Calibri Light"/>
                <w:bCs/>
                <w:sz w:val="18"/>
                <w:szCs w:val="18"/>
              </w:rPr>
              <w:t xml:space="preserve"> </w:t>
            </w:r>
            <w:r w:rsidRPr="00617241">
              <w:rPr>
                <w:rFonts w:cs="Calibri Light"/>
                <w:color w:val="000000" w:themeColor="text1"/>
                <w:sz w:val="18"/>
                <w:szCs w:val="18"/>
              </w:rPr>
              <w:t>L</w:t>
            </w:r>
            <w:r w:rsidRPr="00617241">
              <w:rPr>
                <w:rFonts w:cs="Calibri Light"/>
                <w:color w:val="000000" w:themeColor="text1"/>
                <w:sz w:val="18"/>
                <w:szCs w:val="18"/>
                <w:vertAlign w:val="superscript"/>
              </w:rPr>
              <w:t>-1</w:t>
            </w:r>
            <w:r w:rsidRPr="00617241">
              <w:rPr>
                <w:rFonts w:cs="Calibri Light"/>
                <w:bCs/>
                <w:sz w:val="18"/>
                <w:szCs w:val="18"/>
              </w:rPr>
              <w:t>]</w:t>
            </w:r>
          </w:p>
        </w:tc>
      </w:tr>
      <w:tr w:rsidR="00074F69" w:rsidRPr="00617241" w:rsidTr="00D64B56">
        <w:trPr>
          <w:trHeight w:hRule="exact" w:val="227"/>
        </w:trPr>
        <w:tc>
          <w:tcPr>
            <w:tcW w:w="1358" w:type="dxa"/>
            <w:tcBorders>
              <w:top w:val="single" w:sz="4" w:space="0" w:color="auto"/>
              <w:left w:val="nil"/>
              <w:bottom w:val="nil"/>
              <w:right w:val="nil"/>
            </w:tcBorders>
            <w:shd w:val="clear" w:color="auto" w:fill="auto"/>
            <w:noWrap/>
            <w:hideMark/>
          </w:tcPr>
          <w:p w:rsidR="00074F69" w:rsidRPr="00617241" w:rsidRDefault="00074F69" w:rsidP="00D64B56">
            <w:pPr>
              <w:rPr>
                <w:rFonts w:cs="Calibri Light"/>
                <w:b/>
                <w:color w:val="000000" w:themeColor="text1"/>
                <w:sz w:val="18"/>
                <w:szCs w:val="18"/>
              </w:rPr>
            </w:pPr>
            <w:r w:rsidRPr="00617241">
              <w:rPr>
                <w:rFonts w:cs="Calibri Light"/>
                <w:b/>
                <w:color w:val="000000" w:themeColor="text1"/>
                <w:sz w:val="18"/>
                <w:szCs w:val="18"/>
              </w:rPr>
              <w:t>NO</w:t>
            </w:r>
            <w:r w:rsidRPr="00617241">
              <w:rPr>
                <w:rFonts w:cs="Calibri Light"/>
                <w:b/>
                <w:color w:val="000000" w:themeColor="text1"/>
                <w:sz w:val="18"/>
                <w:szCs w:val="18"/>
                <w:vertAlign w:val="subscript"/>
              </w:rPr>
              <w:t>3</w:t>
            </w:r>
            <w:r w:rsidRPr="00617241">
              <w:rPr>
                <w:rFonts w:cs="Calibri Light"/>
                <w:b/>
                <w:color w:val="000000" w:themeColor="text1"/>
                <w:sz w:val="18"/>
                <w:szCs w:val="18"/>
                <w:vertAlign w:val="superscript"/>
              </w:rPr>
              <w:t>-</w:t>
            </w:r>
            <w:r w:rsidRPr="00617241">
              <w:rPr>
                <w:rFonts w:cs="Calibri Light"/>
                <w:b/>
                <w:color w:val="000000" w:themeColor="text1"/>
                <w:sz w:val="18"/>
                <w:szCs w:val="18"/>
              </w:rPr>
              <w:t>-N</w:t>
            </w:r>
          </w:p>
        </w:tc>
        <w:tc>
          <w:tcPr>
            <w:tcW w:w="2165" w:type="dxa"/>
            <w:tcBorders>
              <w:top w:val="single" w:sz="4" w:space="0" w:color="auto"/>
              <w:left w:val="nil"/>
              <w:bottom w:val="nil"/>
              <w:right w:val="nil"/>
            </w:tcBorders>
          </w:tcPr>
          <w:p w:rsidR="00074F69" w:rsidRPr="00617241" w:rsidRDefault="00074F69" w:rsidP="00D64B56">
            <w:pPr>
              <w:pStyle w:val="berschrift6"/>
            </w:pPr>
            <w:proofErr w:type="spellStart"/>
            <w:proofErr w:type="gramStart"/>
            <w:r w:rsidRPr="00617241">
              <w:t>mmol</w:t>
            </w:r>
            <w:proofErr w:type="spellEnd"/>
            <w:proofErr w:type="gramEnd"/>
            <w:r w:rsidRPr="00617241">
              <w:t xml:space="preserve"> L</w:t>
            </w:r>
            <w:r w:rsidRPr="00617241">
              <w:rPr>
                <w:vertAlign w:val="superscript"/>
              </w:rPr>
              <w:t>-1</w:t>
            </w:r>
          </w:p>
        </w:tc>
        <w:tc>
          <w:tcPr>
            <w:tcW w:w="1897" w:type="dxa"/>
            <w:tcBorders>
              <w:top w:val="single" w:sz="4" w:space="0" w:color="auto"/>
              <w:left w:val="nil"/>
              <w:bottom w:val="nil"/>
              <w:right w:val="nil"/>
            </w:tcBorders>
          </w:tcPr>
          <w:p w:rsidR="00074F69" w:rsidRPr="00617241" w:rsidRDefault="00074F69" w:rsidP="00D64B56">
            <w:pPr>
              <w:pStyle w:val="berschrift6"/>
            </w:pPr>
            <w:r w:rsidRPr="00617241">
              <w:t>15-31</w:t>
            </w:r>
          </w:p>
        </w:tc>
        <w:tc>
          <w:tcPr>
            <w:tcW w:w="1526" w:type="dxa"/>
            <w:tcBorders>
              <w:top w:val="single" w:sz="4" w:space="0" w:color="auto"/>
            </w:tcBorders>
          </w:tcPr>
          <w:p w:rsidR="00074F69" w:rsidRPr="00617241" w:rsidRDefault="00074F69" w:rsidP="00D64B56">
            <w:pPr>
              <w:pStyle w:val="berschrift6"/>
            </w:pPr>
            <w:r w:rsidRPr="00617241">
              <w:t>23</w:t>
            </w:r>
          </w:p>
        </w:tc>
        <w:tc>
          <w:tcPr>
            <w:tcW w:w="2268" w:type="dxa"/>
            <w:tcBorders>
              <w:top w:val="single" w:sz="4" w:space="0" w:color="auto"/>
            </w:tcBorders>
          </w:tcPr>
          <w:p w:rsidR="00074F69" w:rsidRPr="00617241" w:rsidRDefault="00074F69" w:rsidP="00D64B56">
            <w:pPr>
              <w:pStyle w:val="berschrift6"/>
            </w:pPr>
            <w:r w:rsidRPr="00617241">
              <w:t>–</w:t>
            </w:r>
          </w:p>
        </w:tc>
      </w:tr>
      <w:tr w:rsidR="00074F69" w:rsidRPr="00617241" w:rsidTr="00D64B56">
        <w:trPr>
          <w:trHeight w:hRule="exact" w:val="227"/>
        </w:trPr>
        <w:tc>
          <w:tcPr>
            <w:tcW w:w="1358" w:type="dxa"/>
            <w:tcBorders>
              <w:top w:val="nil"/>
              <w:left w:val="nil"/>
              <w:bottom w:val="nil"/>
              <w:right w:val="nil"/>
            </w:tcBorders>
            <w:shd w:val="clear" w:color="auto" w:fill="auto"/>
            <w:noWrap/>
            <w:hideMark/>
          </w:tcPr>
          <w:p w:rsidR="00074F69" w:rsidRPr="00617241" w:rsidRDefault="00074F69" w:rsidP="00D64B56">
            <w:pPr>
              <w:rPr>
                <w:rFonts w:cs="Calibri Light"/>
                <w:b/>
                <w:color w:val="000000" w:themeColor="text1"/>
                <w:sz w:val="18"/>
                <w:szCs w:val="18"/>
              </w:rPr>
            </w:pPr>
            <w:r w:rsidRPr="00617241">
              <w:rPr>
                <w:rFonts w:cs="Calibri Light"/>
                <w:b/>
                <w:color w:val="000000" w:themeColor="text1"/>
                <w:sz w:val="18"/>
                <w:szCs w:val="18"/>
              </w:rPr>
              <w:t>NH</w:t>
            </w:r>
            <w:r w:rsidRPr="00617241">
              <w:rPr>
                <w:rFonts w:cs="Calibri Light"/>
                <w:b/>
                <w:color w:val="000000" w:themeColor="text1"/>
                <w:sz w:val="18"/>
                <w:szCs w:val="18"/>
                <w:vertAlign w:val="subscript"/>
              </w:rPr>
              <w:t>4</w:t>
            </w:r>
            <w:r w:rsidRPr="00617241">
              <w:rPr>
                <w:rFonts w:cs="Calibri Light"/>
                <w:b/>
                <w:color w:val="000000" w:themeColor="text1"/>
                <w:sz w:val="18"/>
                <w:szCs w:val="18"/>
                <w:vertAlign w:val="superscript"/>
              </w:rPr>
              <w:t>+</w:t>
            </w:r>
            <w:r w:rsidRPr="00617241">
              <w:rPr>
                <w:rFonts w:cs="Calibri Light"/>
                <w:b/>
                <w:color w:val="000000" w:themeColor="text1"/>
                <w:sz w:val="18"/>
                <w:szCs w:val="18"/>
              </w:rPr>
              <w:t>-N</w:t>
            </w:r>
          </w:p>
        </w:tc>
        <w:tc>
          <w:tcPr>
            <w:tcW w:w="2165" w:type="dxa"/>
            <w:tcBorders>
              <w:top w:val="nil"/>
              <w:left w:val="nil"/>
              <w:bottom w:val="nil"/>
              <w:right w:val="nil"/>
            </w:tcBorders>
          </w:tcPr>
          <w:p w:rsidR="00074F69" w:rsidRPr="00617241" w:rsidRDefault="00074F69" w:rsidP="00D64B56">
            <w:pPr>
              <w:pStyle w:val="berschrift6"/>
            </w:pPr>
            <w:proofErr w:type="spellStart"/>
            <w:proofErr w:type="gramStart"/>
            <w:r w:rsidRPr="00617241">
              <w:t>mmol</w:t>
            </w:r>
            <w:proofErr w:type="spellEnd"/>
            <w:proofErr w:type="gram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0.1-0.5</w:t>
            </w:r>
          </w:p>
        </w:tc>
        <w:tc>
          <w:tcPr>
            <w:tcW w:w="1526" w:type="dxa"/>
          </w:tcPr>
          <w:p w:rsidR="00074F69" w:rsidRPr="00617241" w:rsidRDefault="00074F69" w:rsidP="00D64B56">
            <w:pPr>
              <w:pStyle w:val="berschrift6"/>
            </w:pPr>
            <w:r w:rsidRPr="00617241">
              <w:t>0.1</w:t>
            </w:r>
          </w:p>
        </w:tc>
        <w:tc>
          <w:tcPr>
            <w:tcW w:w="2268" w:type="dxa"/>
          </w:tcPr>
          <w:p w:rsidR="00074F69" w:rsidRPr="00617241" w:rsidRDefault="00074F69" w:rsidP="00D64B56">
            <w:pPr>
              <w:pStyle w:val="berschrift6"/>
            </w:pPr>
            <w:r w:rsidRPr="00617241">
              <w:t>–</w:t>
            </w:r>
          </w:p>
        </w:tc>
      </w:tr>
      <w:tr w:rsidR="00074F69" w:rsidRPr="00617241" w:rsidTr="00D64B56">
        <w:trPr>
          <w:trHeight w:hRule="exact" w:val="227"/>
        </w:trPr>
        <w:tc>
          <w:tcPr>
            <w:tcW w:w="1358" w:type="dxa"/>
            <w:tcBorders>
              <w:top w:val="nil"/>
              <w:left w:val="nil"/>
              <w:bottom w:val="nil"/>
              <w:right w:val="nil"/>
            </w:tcBorders>
            <w:shd w:val="clear" w:color="auto" w:fill="auto"/>
            <w:noWrap/>
            <w:hideMark/>
          </w:tcPr>
          <w:p w:rsidR="00074F69" w:rsidRPr="00617241" w:rsidRDefault="00074F69" w:rsidP="00D64B56">
            <w:pPr>
              <w:rPr>
                <w:rFonts w:cs="Calibri Light"/>
                <w:b/>
                <w:color w:val="000000" w:themeColor="text1"/>
                <w:sz w:val="18"/>
                <w:szCs w:val="18"/>
              </w:rPr>
            </w:pPr>
            <w:r w:rsidRPr="00617241">
              <w:rPr>
                <w:rFonts w:cs="Calibri Light"/>
                <w:b/>
                <w:color w:val="000000" w:themeColor="text1"/>
                <w:sz w:val="18"/>
                <w:szCs w:val="18"/>
              </w:rPr>
              <w:t>K</w:t>
            </w:r>
          </w:p>
        </w:tc>
        <w:tc>
          <w:tcPr>
            <w:tcW w:w="2165" w:type="dxa"/>
            <w:tcBorders>
              <w:top w:val="nil"/>
              <w:left w:val="nil"/>
              <w:bottom w:val="nil"/>
              <w:right w:val="nil"/>
            </w:tcBorders>
          </w:tcPr>
          <w:p w:rsidR="00074F69" w:rsidRPr="00617241" w:rsidRDefault="00074F69" w:rsidP="00D64B56">
            <w:pPr>
              <w:pStyle w:val="berschrift6"/>
            </w:pPr>
            <w:proofErr w:type="spellStart"/>
            <w:proofErr w:type="gramStart"/>
            <w:r w:rsidRPr="00617241">
              <w:t>mmol</w:t>
            </w:r>
            <w:proofErr w:type="spellEnd"/>
            <w:proofErr w:type="gram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5.3-10.6</w:t>
            </w:r>
          </w:p>
        </w:tc>
        <w:tc>
          <w:tcPr>
            <w:tcW w:w="1526" w:type="dxa"/>
          </w:tcPr>
          <w:p w:rsidR="00074F69" w:rsidRPr="00617241" w:rsidRDefault="00074F69" w:rsidP="00D64B56">
            <w:pPr>
              <w:pStyle w:val="berschrift6"/>
            </w:pPr>
            <w:r w:rsidRPr="00617241">
              <w:t>8</w:t>
            </w:r>
          </w:p>
        </w:tc>
        <w:tc>
          <w:tcPr>
            <w:tcW w:w="2268" w:type="dxa"/>
          </w:tcPr>
          <w:p w:rsidR="00074F69" w:rsidRPr="00617241" w:rsidRDefault="00074F69" w:rsidP="00D64B56">
            <w:pPr>
              <w:pStyle w:val="berschrift6"/>
            </w:pPr>
            <w:r w:rsidRPr="00617241">
              <w:t>+ 3.5</w:t>
            </w:r>
          </w:p>
        </w:tc>
      </w:tr>
      <w:tr w:rsidR="00074F69" w:rsidRPr="00617241" w:rsidTr="00D64B56">
        <w:trPr>
          <w:trHeight w:hRule="exact" w:val="227"/>
        </w:trPr>
        <w:tc>
          <w:tcPr>
            <w:tcW w:w="1358" w:type="dxa"/>
            <w:tcBorders>
              <w:top w:val="nil"/>
              <w:left w:val="nil"/>
              <w:bottom w:val="nil"/>
              <w:right w:val="nil"/>
            </w:tcBorders>
            <w:shd w:val="clear" w:color="auto" w:fill="auto"/>
            <w:noWrap/>
            <w:hideMark/>
          </w:tcPr>
          <w:p w:rsidR="00074F69" w:rsidRPr="00617241" w:rsidRDefault="00074F69" w:rsidP="00D64B56">
            <w:pPr>
              <w:rPr>
                <w:rFonts w:cs="Calibri Light"/>
                <w:b/>
                <w:color w:val="000000" w:themeColor="text1"/>
                <w:sz w:val="18"/>
                <w:szCs w:val="18"/>
              </w:rPr>
            </w:pPr>
            <w:r w:rsidRPr="00617241">
              <w:rPr>
                <w:rFonts w:cs="Calibri Light"/>
                <w:b/>
                <w:color w:val="000000" w:themeColor="text1"/>
                <w:sz w:val="18"/>
                <w:szCs w:val="18"/>
              </w:rPr>
              <w:t>P</w:t>
            </w:r>
          </w:p>
        </w:tc>
        <w:tc>
          <w:tcPr>
            <w:tcW w:w="2165" w:type="dxa"/>
            <w:tcBorders>
              <w:top w:val="nil"/>
              <w:left w:val="nil"/>
              <w:bottom w:val="nil"/>
              <w:right w:val="nil"/>
            </w:tcBorders>
          </w:tcPr>
          <w:p w:rsidR="00074F69" w:rsidRPr="00617241" w:rsidRDefault="00074F69" w:rsidP="00D64B56">
            <w:pPr>
              <w:pStyle w:val="berschrift6"/>
            </w:pPr>
            <w:proofErr w:type="spellStart"/>
            <w:proofErr w:type="gramStart"/>
            <w:r w:rsidRPr="00617241">
              <w:t>mmol</w:t>
            </w:r>
            <w:proofErr w:type="spellEnd"/>
            <w:proofErr w:type="gram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0.7-1.3</w:t>
            </w:r>
          </w:p>
        </w:tc>
        <w:tc>
          <w:tcPr>
            <w:tcW w:w="1526" w:type="dxa"/>
          </w:tcPr>
          <w:p w:rsidR="00074F69" w:rsidRPr="00617241" w:rsidRDefault="00074F69" w:rsidP="00D64B56">
            <w:pPr>
              <w:pStyle w:val="berschrift6"/>
            </w:pPr>
            <w:r w:rsidRPr="00617241">
              <w:t>1</w:t>
            </w:r>
          </w:p>
        </w:tc>
        <w:tc>
          <w:tcPr>
            <w:tcW w:w="2268" w:type="dxa"/>
          </w:tcPr>
          <w:p w:rsidR="00074F69" w:rsidRPr="00617241" w:rsidRDefault="00074F69" w:rsidP="00D64B56">
            <w:pPr>
              <w:pStyle w:val="berschrift6"/>
            </w:pPr>
            <w:r w:rsidRPr="00617241">
              <w:t>–</w:t>
            </w:r>
          </w:p>
        </w:tc>
      </w:tr>
      <w:tr w:rsidR="00074F69" w:rsidRPr="00617241" w:rsidTr="00D64B56">
        <w:trPr>
          <w:trHeight w:hRule="exact" w:val="227"/>
        </w:trPr>
        <w:tc>
          <w:tcPr>
            <w:tcW w:w="1358" w:type="dxa"/>
            <w:tcBorders>
              <w:top w:val="nil"/>
              <w:left w:val="nil"/>
              <w:bottom w:val="nil"/>
              <w:right w:val="nil"/>
            </w:tcBorders>
            <w:shd w:val="clear" w:color="auto" w:fill="auto"/>
            <w:noWrap/>
            <w:hideMark/>
          </w:tcPr>
          <w:p w:rsidR="00074F69" w:rsidRPr="00617241" w:rsidRDefault="00074F69" w:rsidP="00D64B56">
            <w:pPr>
              <w:rPr>
                <w:rFonts w:cs="Calibri Light"/>
                <w:b/>
                <w:color w:val="000000" w:themeColor="text1"/>
                <w:sz w:val="18"/>
                <w:szCs w:val="18"/>
              </w:rPr>
            </w:pPr>
            <w:r w:rsidRPr="00617241">
              <w:rPr>
                <w:rFonts w:cs="Calibri Light"/>
                <w:b/>
                <w:color w:val="000000" w:themeColor="text1"/>
                <w:sz w:val="18"/>
                <w:szCs w:val="18"/>
              </w:rPr>
              <w:t>Mg</w:t>
            </w:r>
          </w:p>
        </w:tc>
        <w:tc>
          <w:tcPr>
            <w:tcW w:w="2165" w:type="dxa"/>
            <w:tcBorders>
              <w:top w:val="nil"/>
              <w:left w:val="nil"/>
              <w:bottom w:val="nil"/>
              <w:right w:val="nil"/>
            </w:tcBorders>
          </w:tcPr>
          <w:p w:rsidR="00074F69" w:rsidRPr="00617241" w:rsidRDefault="00074F69" w:rsidP="00D64B56">
            <w:pPr>
              <w:pStyle w:val="berschrift6"/>
            </w:pPr>
            <w:proofErr w:type="spellStart"/>
            <w:proofErr w:type="gramStart"/>
            <w:r w:rsidRPr="00617241">
              <w:t>mmol</w:t>
            </w:r>
            <w:proofErr w:type="spellEnd"/>
            <w:proofErr w:type="gram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 xml:space="preserve"> 3-6</w:t>
            </w:r>
          </w:p>
        </w:tc>
        <w:tc>
          <w:tcPr>
            <w:tcW w:w="1526" w:type="dxa"/>
          </w:tcPr>
          <w:p w:rsidR="00074F69" w:rsidRPr="00617241" w:rsidRDefault="00074F69" w:rsidP="00D64B56">
            <w:pPr>
              <w:pStyle w:val="berschrift6"/>
            </w:pPr>
            <w:r w:rsidRPr="00617241">
              <w:t>4.5</w:t>
            </w:r>
          </w:p>
        </w:tc>
        <w:tc>
          <w:tcPr>
            <w:tcW w:w="2268" w:type="dxa"/>
          </w:tcPr>
          <w:p w:rsidR="00074F69" w:rsidRPr="00617241" w:rsidRDefault="00074F69" w:rsidP="00D64B56">
            <w:pPr>
              <w:pStyle w:val="berschrift6"/>
            </w:pPr>
            <w:r w:rsidRPr="00617241">
              <w:t>- 0.5</w:t>
            </w:r>
          </w:p>
        </w:tc>
      </w:tr>
      <w:tr w:rsidR="00074F69" w:rsidRPr="00617241" w:rsidTr="00D64B56">
        <w:trPr>
          <w:trHeight w:hRule="exact" w:val="227"/>
        </w:trPr>
        <w:tc>
          <w:tcPr>
            <w:tcW w:w="1358" w:type="dxa"/>
            <w:tcBorders>
              <w:top w:val="nil"/>
              <w:left w:val="nil"/>
              <w:bottom w:val="nil"/>
              <w:right w:val="nil"/>
            </w:tcBorders>
            <w:shd w:val="clear" w:color="auto" w:fill="auto"/>
            <w:noWrap/>
            <w:hideMark/>
          </w:tcPr>
          <w:p w:rsidR="00074F69" w:rsidRPr="00617241" w:rsidRDefault="00074F69" w:rsidP="00D64B56">
            <w:pPr>
              <w:rPr>
                <w:rFonts w:cs="Calibri Light"/>
                <w:b/>
                <w:color w:val="000000" w:themeColor="text1"/>
                <w:sz w:val="18"/>
                <w:szCs w:val="18"/>
              </w:rPr>
            </w:pPr>
            <w:r w:rsidRPr="00617241">
              <w:rPr>
                <w:rFonts w:cs="Calibri Light"/>
                <w:b/>
                <w:color w:val="000000" w:themeColor="text1"/>
                <w:sz w:val="18"/>
                <w:szCs w:val="18"/>
              </w:rPr>
              <w:t>SO</w:t>
            </w:r>
            <w:r w:rsidRPr="00617241">
              <w:rPr>
                <w:rFonts w:cs="Calibri Light"/>
                <w:b/>
                <w:color w:val="000000" w:themeColor="text1"/>
                <w:sz w:val="18"/>
                <w:szCs w:val="18"/>
                <w:vertAlign w:val="subscript"/>
              </w:rPr>
              <w:t>4</w:t>
            </w:r>
          </w:p>
        </w:tc>
        <w:tc>
          <w:tcPr>
            <w:tcW w:w="2165" w:type="dxa"/>
            <w:tcBorders>
              <w:top w:val="nil"/>
              <w:left w:val="nil"/>
              <w:bottom w:val="nil"/>
              <w:right w:val="nil"/>
            </w:tcBorders>
          </w:tcPr>
          <w:p w:rsidR="00074F69" w:rsidRPr="00617241" w:rsidRDefault="00074F69" w:rsidP="00D64B56">
            <w:pPr>
              <w:pStyle w:val="berschrift6"/>
            </w:pPr>
            <w:proofErr w:type="spellStart"/>
            <w:proofErr w:type="gramStart"/>
            <w:r w:rsidRPr="00617241">
              <w:t>mmol</w:t>
            </w:r>
            <w:proofErr w:type="spellEnd"/>
            <w:proofErr w:type="gram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 xml:space="preserve"> 4.5-9</w:t>
            </w:r>
          </w:p>
        </w:tc>
        <w:tc>
          <w:tcPr>
            <w:tcW w:w="1526" w:type="dxa"/>
          </w:tcPr>
          <w:p w:rsidR="00074F69" w:rsidRPr="00617241" w:rsidRDefault="00074F69" w:rsidP="00D64B56">
            <w:pPr>
              <w:pStyle w:val="berschrift6"/>
            </w:pPr>
            <w:r w:rsidRPr="00617241">
              <w:t>6.8</w:t>
            </w:r>
          </w:p>
        </w:tc>
        <w:tc>
          <w:tcPr>
            <w:tcW w:w="2268" w:type="dxa"/>
          </w:tcPr>
          <w:p w:rsidR="00074F69" w:rsidRPr="00617241" w:rsidRDefault="00074F69" w:rsidP="00D64B56">
            <w:pPr>
              <w:pStyle w:val="berschrift6"/>
            </w:pPr>
            <w:r w:rsidRPr="00617241">
              <w:t>0</w:t>
            </w:r>
          </w:p>
        </w:tc>
      </w:tr>
      <w:tr w:rsidR="00074F69" w:rsidRPr="00617241" w:rsidTr="00D64B56">
        <w:trPr>
          <w:trHeight w:hRule="exact" w:val="227"/>
        </w:trPr>
        <w:tc>
          <w:tcPr>
            <w:tcW w:w="1358" w:type="dxa"/>
            <w:tcBorders>
              <w:top w:val="nil"/>
              <w:left w:val="nil"/>
              <w:bottom w:val="nil"/>
              <w:right w:val="nil"/>
            </w:tcBorders>
            <w:shd w:val="clear" w:color="auto" w:fill="auto"/>
            <w:noWrap/>
            <w:hideMark/>
          </w:tcPr>
          <w:p w:rsidR="00074F69" w:rsidRPr="00617241" w:rsidRDefault="00074F69" w:rsidP="00D64B56">
            <w:pPr>
              <w:rPr>
                <w:rFonts w:cs="Calibri Light"/>
                <w:b/>
                <w:color w:val="000000" w:themeColor="text1"/>
                <w:sz w:val="18"/>
                <w:szCs w:val="18"/>
              </w:rPr>
            </w:pPr>
            <w:r w:rsidRPr="00617241">
              <w:rPr>
                <w:rFonts w:cs="Calibri Light"/>
                <w:b/>
                <w:color w:val="000000" w:themeColor="text1"/>
                <w:sz w:val="18"/>
                <w:szCs w:val="18"/>
              </w:rPr>
              <w:t>Ca</w:t>
            </w:r>
          </w:p>
        </w:tc>
        <w:tc>
          <w:tcPr>
            <w:tcW w:w="2165" w:type="dxa"/>
            <w:tcBorders>
              <w:top w:val="nil"/>
              <w:left w:val="nil"/>
              <w:bottom w:val="nil"/>
              <w:right w:val="nil"/>
            </w:tcBorders>
          </w:tcPr>
          <w:p w:rsidR="00074F69" w:rsidRPr="00617241" w:rsidRDefault="00074F69" w:rsidP="00D64B56">
            <w:pPr>
              <w:pStyle w:val="berschrift6"/>
            </w:pPr>
            <w:proofErr w:type="spellStart"/>
            <w:proofErr w:type="gramStart"/>
            <w:r w:rsidRPr="00617241">
              <w:t>mmol</w:t>
            </w:r>
            <w:proofErr w:type="spellEnd"/>
            <w:proofErr w:type="gram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6.6-13.3</w:t>
            </w:r>
          </w:p>
        </w:tc>
        <w:tc>
          <w:tcPr>
            <w:tcW w:w="1526" w:type="dxa"/>
          </w:tcPr>
          <w:p w:rsidR="00074F69" w:rsidRPr="00617241" w:rsidRDefault="00074F69" w:rsidP="00D64B56">
            <w:pPr>
              <w:pStyle w:val="berschrift6"/>
            </w:pPr>
            <w:r w:rsidRPr="00617241">
              <w:t>10</w:t>
            </w:r>
          </w:p>
        </w:tc>
        <w:tc>
          <w:tcPr>
            <w:tcW w:w="2268" w:type="dxa"/>
          </w:tcPr>
          <w:p w:rsidR="00074F69" w:rsidRPr="00617241" w:rsidRDefault="00074F69" w:rsidP="00D64B56">
            <w:pPr>
              <w:pStyle w:val="berschrift6"/>
            </w:pPr>
            <w:r w:rsidRPr="00617241">
              <w:t>- 1.25</w:t>
            </w:r>
          </w:p>
        </w:tc>
      </w:tr>
      <w:tr w:rsidR="00074F69" w:rsidRPr="00617241" w:rsidTr="00D64B56">
        <w:trPr>
          <w:trHeight w:hRule="exact" w:val="227"/>
        </w:trPr>
        <w:tc>
          <w:tcPr>
            <w:tcW w:w="1358" w:type="dxa"/>
            <w:tcBorders>
              <w:top w:val="nil"/>
              <w:left w:val="nil"/>
              <w:bottom w:val="nil"/>
              <w:right w:val="nil"/>
            </w:tcBorders>
            <w:shd w:val="clear" w:color="auto" w:fill="auto"/>
            <w:noWrap/>
          </w:tcPr>
          <w:p w:rsidR="00074F69" w:rsidRPr="00617241" w:rsidRDefault="00074F69" w:rsidP="00D64B56">
            <w:pPr>
              <w:rPr>
                <w:rFonts w:cs="Calibri Light"/>
                <w:b/>
                <w:color w:val="000000" w:themeColor="text1"/>
                <w:sz w:val="18"/>
                <w:szCs w:val="18"/>
              </w:rPr>
            </w:pPr>
            <w:r w:rsidRPr="00617241">
              <w:rPr>
                <w:b/>
                <w:color w:val="000000" w:themeColor="text1"/>
                <w:sz w:val="18"/>
                <w:szCs w:val="18"/>
              </w:rPr>
              <w:t>Fe</w:t>
            </w:r>
          </w:p>
        </w:tc>
        <w:tc>
          <w:tcPr>
            <w:tcW w:w="2165" w:type="dxa"/>
            <w:tcBorders>
              <w:top w:val="nil"/>
              <w:left w:val="nil"/>
              <w:bottom w:val="nil"/>
              <w:right w:val="nil"/>
            </w:tcBorders>
          </w:tcPr>
          <w:p w:rsidR="00074F69" w:rsidRPr="00617241" w:rsidRDefault="00074F69" w:rsidP="00D64B56">
            <w:pPr>
              <w:pStyle w:val="berschrift6"/>
            </w:pPr>
            <w:r w:rsidRPr="00617241">
              <w:t>µ</w:t>
            </w:r>
            <w:proofErr w:type="spellStart"/>
            <w:r w:rsidRPr="00617241">
              <w:t>mol</w:t>
            </w:r>
            <w:proofErr w:type="spell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13-38</w:t>
            </w:r>
          </w:p>
        </w:tc>
        <w:tc>
          <w:tcPr>
            <w:tcW w:w="1526" w:type="dxa"/>
          </w:tcPr>
          <w:p w:rsidR="00074F69" w:rsidRPr="00617241" w:rsidRDefault="00074F69" w:rsidP="00D64B56">
            <w:pPr>
              <w:pStyle w:val="berschrift6"/>
            </w:pPr>
            <w:r w:rsidRPr="00617241">
              <w:t>25</w:t>
            </w:r>
          </w:p>
        </w:tc>
        <w:tc>
          <w:tcPr>
            <w:tcW w:w="2268" w:type="dxa"/>
          </w:tcPr>
          <w:p w:rsidR="00074F69" w:rsidRPr="00617241" w:rsidRDefault="00074F69" w:rsidP="00D64B56">
            <w:pPr>
              <w:pStyle w:val="berschrift6"/>
            </w:pPr>
            <w:r w:rsidRPr="00617241">
              <w:t>–</w:t>
            </w:r>
          </w:p>
        </w:tc>
      </w:tr>
      <w:tr w:rsidR="00074F69" w:rsidRPr="00617241" w:rsidTr="00D64B56">
        <w:trPr>
          <w:trHeight w:hRule="exact" w:val="227"/>
        </w:trPr>
        <w:tc>
          <w:tcPr>
            <w:tcW w:w="1358" w:type="dxa"/>
            <w:tcBorders>
              <w:top w:val="nil"/>
              <w:left w:val="nil"/>
              <w:bottom w:val="nil"/>
              <w:right w:val="nil"/>
            </w:tcBorders>
            <w:shd w:val="clear" w:color="auto" w:fill="auto"/>
            <w:noWrap/>
          </w:tcPr>
          <w:p w:rsidR="00074F69" w:rsidRPr="00617241" w:rsidRDefault="00074F69" w:rsidP="00D64B56">
            <w:pPr>
              <w:rPr>
                <w:rFonts w:cs="Calibri Light"/>
                <w:b/>
                <w:color w:val="000000" w:themeColor="text1"/>
                <w:sz w:val="18"/>
                <w:szCs w:val="18"/>
              </w:rPr>
            </w:pPr>
            <w:proofErr w:type="spellStart"/>
            <w:r w:rsidRPr="00617241">
              <w:rPr>
                <w:b/>
                <w:color w:val="000000" w:themeColor="text1"/>
                <w:sz w:val="18"/>
                <w:szCs w:val="18"/>
              </w:rPr>
              <w:t>Mn</w:t>
            </w:r>
            <w:proofErr w:type="spellEnd"/>
          </w:p>
        </w:tc>
        <w:tc>
          <w:tcPr>
            <w:tcW w:w="2165" w:type="dxa"/>
            <w:tcBorders>
              <w:top w:val="nil"/>
              <w:left w:val="nil"/>
              <w:bottom w:val="nil"/>
              <w:right w:val="nil"/>
            </w:tcBorders>
          </w:tcPr>
          <w:p w:rsidR="00074F69" w:rsidRPr="00617241" w:rsidRDefault="00074F69" w:rsidP="00D64B56">
            <w:pPr>
              <w:pStyle w:val="berschrift6"/>
            </w:pPr>
            <w:r w:rsidRPr="00617241">
              <w:t>µ</w:t>
            </w:r>
            <w:proofErr w:type="spellStart"/>
            <w:r w:rsidRPr="00617241">
              <w:t>mol</w:t>
            </w:r>
            <w:proofErr w:type="spell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 xml:space="preserve"> 2-7.5</w:t>
            </w:r>
          </w:p>
        </w:tc>
        <w:tc>
          <w:tcPr>
            <w:tcW w:w="1526" w:type="dxa"/>
          </w:tcPr>
          <w:p w:rsidR="00074F69" w:rsidRPr="00617241" w:rsidRDefault="00074F69" w:rsidP="00D64B56">
            <w:pPr>
              <w:pStyle w:val="berschrift6"/>
            </w:pPr>
            <w:r w:rsidRPr="00617241">
              <w:t>5</w:t>
            </w:r>
          </w:p>
        </w:tc>
        <w:tc>
          <w:tcPr>
            <w:tcW w:w="2268" w:type="dxa"/>
          </w:tcPr>
          <w:p w:rsidR="00074F69" w:rsidRPr="00617241" w:rsidRDefault="00074F69" w:rsidP="00D64B56">
            <w:pPr>
              <w:pStyle w:val="berschrift6"/>
            </w:pPr>
            <w:r w:rsidRPr="00617241">
              <w:t>–</w:t>
            </w:r>
          </w:p>
        </w:tc>
      </w:tr>
      <w:tr w:rsidR="00074F69" w:rsidRPr="00617241" w:rsidTr="00D64B56">
        <w:trPr>
          <w:trHeight w:hRule="exact" w:val="227"/>
        </w:trPr>
        <w:tc>
          <w:tcPr>
            <w:tcW w:w="1358" w:type="dxa"/>
            <w:tcBorders>
              <w:top w:val="nil"/>
              <w:left w:val="nil"/>
              <w:bottom w:val="nil"/>
              <w:right w:val="nil"/>
            </w:tcBorders>
            <w:shd w:val="clear" w:color="auto" w:fill="auto"/>
            <w:noWrap/>
          </w:tcPr>
          <w:p w:rsidR="00074F69" w:rsidRPr="00617241" w:rsidRDefault="00074F69" w:rsidP="00D64B56">
            <w:pPr>
              <w:rPr>
                <w:rFonts w:cs="Calibri Light"/>
                <w:b/>
                <w:color w:val="000000" w:themeColor="text1"/>
                <w:sz w:val="18"/>
                <w:szCs w:val="18"/>
              </w:rPr>
            </w:pPr>
            <w:r w:rsidRPr="00617241">
              <w:rPr>
                <w:b/>
                <w:color w:val="000000" w:themeColor="text1"/>
                <w:sz w:val="18"/>
                <w:szCs w:val="18"/>
              </w:rPr>
              <w:t>Zn</w:t>
            </w:r>
          </w:p>
        </w:tc>
        <w:tc>
          <w:tcPr>
            <w:tcW w:w="2165" w:type="dxa"/>
            <w:tcBorders>
              <w:top w:val="nil"/>
              <w:left w:val="nil"/>
              <w:bottom w:val="nil"/>
              <w:right w:val="nil"/>
            </w:tcBorders>
          </w:tcPr>
          <w:p w:rsidR="00074F69" w:rsidRPr="00617241" w:rsidRDefault="00074F69" w:rsidP="00D64B56">
            <w:pPr>
              <w:pStyle w:val="berschrift6"/>
            </w:pPr>
            <w:r w:rsidRPr="00617241">
              <w:t>µ</w:t>
            </w:r>
            <w:proofErr w:type="spellStart"/>
            <w:r w:rsidRPr="00617241">
              <w:t>mol</w:t>
            </w:r>
            <w:proofErr w:type="spell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 xml:space="preserve"> 3.5-10.5</w:t>
            </w:r>
          </w:p>
        </w:tc>
        <w:tc>
          <w:tcPr>
            <w:tcW w:w="1526" w:type="dxa"/>
          </w:tcPr>
          <w:p w:rsidR="00074F69" w:rsidRPr="00617241" w:rsidRDefault="00074F69" w:rsidP="00D64B56">
            <w:pPr>
              <w:pStyle w:val="berschrift6"/>
            </w:pPr>
            <w:r w:rsidRPr="00617241">
              <w:t>7</w:t>
            </w:r>
          </w:p>
        </w:tc>
        <w:tc>
          <w:tcPr>
            <w:tcW w:w="2268" w:type="dxa"/>
          </w:tcPr>
          <w:p w:rsidR="00074F69" w:rsidRPr="00617241" w:rsidRDefault="00074F69" w:rsidP="00D64B56">
            <w:pPr>
              <w:pStyle w:val="berschrift6"/>
            </w:pPr>
            <w:r w:rsidRPr="00617241">
              <w:t>–</w:t>
            </w:r>
          </w:p>
        </w:tc>
      </w:tr>
      <w:tr w:rsidR="00074F69" w:rsidRPr="00617241" w:rsidTr="00D64B56">
        <w:trPr>
          <w:trHeight w:hRule="exact" w:val="227"/>
        </w:trPr>
        <w:tc>
          <w:tcPr>
            <w:tcW w:w="1358" w:type="dxa"/>
            <w:tcBorders>
              <w:top w:val="nil"/>
              <w:left w:val="nil"/>
              <w:bottom w:val="nil"/>
              <w:right w:val="nil"/>
            </w:tcBorders>
            <w:shd w:val="clear" w:color="auto" w:fill="auto"/>
            <w:noWrap/>
          </w:tcPr>
          <w:p w:rsidR="00074F69" w:rsidRPr="00617241" w:rsidRDefault="00074F69" w:rsidP="00D64B56">
            <w:pPr>
              <w:rPr>
                <w:rFonts w:cs="Calibri Light"/>
                <w:b/>
                <w:color w:val="000000" w:themeColor="text1"/>
                <w:sz w:val="18"/>
                <w:szCs w:val="18"/>
              </w:rPr>
            </w:pPr>
            <w:r w:rsidRPr="00617241">
              <w:rPr>
                <w:b/>
                <w:color w:val="000000" w:themeColor="text1"/>
                <w:sz w:val="18"/>
                <w:szCs w:val="18"/>
              </w:rPr>
              <w:t>B</w:t>
            </w:r>
          </w:p>
        </w:tc>
        <w:tc>
          <w:tcPr>
            <w:tcW w:w="2165" w:type="dxa"/>
            <w:tcBorders>
              <w:top w:val="nil"/>
              <w:left w:val="nil"/>
              <w:bottom w:val="nil"/>
              <w:right w:val="nil"/>
            </w:tcBorders>
          </w:tcPr>
          <w:p w:rsidR="00074F69" w:rsidRPr="00617241" w:rsidRDefault="00074F69" w:rsidP="00D64B56">
            <w:pPr>
              <w:pStyle w:val="berschrift6"/>
            </w:pPr>
            <w:r w:rsidRPr="00617241">
              <w:t>µ</w:t>
            </w:r>
            <w:proofErr w:type="spellStart"/>
            <w:r w:rsidRPr="00617241">
              <w:t>mol</w:t>
            </w:r>
            <w:proofErr w:type="spell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25-75</w:t>
            </w:r>
          </w:p>
        </w:tc>
        <w:tc>
          <w:tcPr>
            <w:tcW w:w="1526" w:type="dxa"/>
          </w:tcPr>
          <w:p w:rsidR="00074F69" w:rsidRPr="00617241" w:rsidRDefault="00074F69" w:rsidP="00D64B56">
            <w:pPr>
              <w:pStyle w:val="berschrift6"/>
            </w:pPr>
            <w:r w:rsidRPr="00617241">
              <w:t>50</w:t>
            </w:r>
          </w:p>
        </w:tc>
        <w:tc>
          <w:tcPr>
            <w:tcW w:w="2268" w:type="dxa"/>
          </w:tcPr>
          <w:p w:rsidR="00074F69" w:rsidRPr="00617241" w:rsidRDefault="00074F69" w:rsidP="00D64B56">
            <w:pPr>
              <w:pStyle w:val="berschrift6"/>
            </w:pPr>
            <w:r w:rsidRPr="00617241">
              <w:t>–</w:t>
            </w:r>
          </w:p>
        </w:tc>
      </w:tr>
      <w:tr w:rsidR="00074F69" w:rsidRPr="00617241" w:rsidTr="00D64B56">
        <w:trPr>
          <w:trHeight w:hRule="exact" w:val="227"/>
        </w:trPr>
        <w:tc>
          <w:tcPr>
            <w:tcW w:w="1358" w:type="dxa"/>
            <w:tcBorders>
              <w:top w:val="nil"/>
              <w:left w:val="nil"/>
              <w:bottom w:val="nil"/>
              <w:right w:val="nil"/>
            </w:tcBorders>
            <w:shd w:val="clear" w:color="auto" w:fill="auto"/>
            <w:noWrap/>
          </w:tcPr>
          <w:p w:rsidR="00074F69" w:rsidRPr="00617241" w:rsidRDefault="00074F69" w:rsidP="00D64B56">
            <w:pPr>
              <w:rPr>
                <w:rFonts w:cs="Calibri Light"/>
                <w:b/>
                <w:color w:val="000000" w:themeColor="text1"/>
                <w:sz w:val="18"/>
                <w:szCs w:val="18"/>
              </w:rPr>
            </w:pPr>
            <w:r w:rsidRPr="00617241">
              <w:rPr>
                <w:b/>
                <w:color w:val="000000" w:themeColor="text1"/>
                <w:sz w:val="18"/>
                <w:szCs w:val="18"/>
              </w:rPr>
              <w:t>Cu</w:t>
            </w:r>
          </w:p>
        </w:tc>
        <w:tc>
          <w:tcPr>
            <w:tcW w:w="2165" w:type="dxa"/>
            <w:tcBorders>
              <w:top w:val="nil"/>
              <w:left w:val="nil"/>
              <w:bottom w:val="nil"/>
              <w:right w:val="nil"/>
            </w:tcBorders>
          </w:tcPr>
          <w:p w:rsidR="00074F69" w:rsidRPr="00617241" w:rsidRDefault="00074F69" w:rsidP="00D64B56">
            <w:pPr>
              <w:pStyle w:val="berschrift6"/>
            </w:pPr>
            <w:r w:rsidRPr="00617241">
              <w:t>µ</w:t>
            </w:r>
            <w:proofErr w:type="spellStart"/>
            <w:r w:rsidRPr="00617241">
              <w:t>mol</w:t>
            </w:r>
            <w:proofErr w:type="spell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 xml:space="preserve"> 0.4-1.1</w:t>
            </w:r>
          </w:p>
        </w:tc>
        <w:tc>
          <w:tcPr>
            <w:tcW w:w="1526" w:type="dxa"/>
          </w:tcPr>
          <w:p w:rsidR="00074F69" w:rsidRPr="00617241" w:rsidRDefault="00074F69" w:rsidP="00D64B56">
            <w:pPr>
              <w:pStyle w:val="berschrift6"/>
            </w:pPr>
            <w:r w:rsidRPr="00617241">
              <w:t>0.75</w:t>
            </w:r>
          </w:p>
        </w:tc>
        <w:tc>
          <w:tcPr>
            <w:tcW w:w="2268" w:type="dxa"/>
          </w:tcPr>
          <w:p w:rsidR="00074F69" w:rsidRPr="00617241" w:rsidRDefault="00074F69" w:rsidP="00D64B56">
            <w:pPr>
              <w:pStyle w:val="berschrift6"/>
            </w:pPr>
            <w:r w:rsidRPr="00617241">
              <w:t>–</w:t>
            </w:r>
          </w:p>
        </w:tc>
      </w:tr>
      <w:tr w:rsidR="00074F69" w:rsidRPr="00617241" w:rsidTr="00D64B56">
        <w:trPr>
          <w:trHeight w:hRule="exact" w:val="227"/>
        </w:trPr>
        <w:tc>
          <w:tcPr>
            <w:tcW w:w="1358" w:type="dxa"/>
            <w:tcBorders>
              <w:top w:val="nil"/>
              <w:left w:val="nil"/>
              <w:bottom w:val="nil"/>
              <w:right w:val="nil"/>
            </w:tcBorders>
            <w:shd w:val="clear" w:color="auto" w:fill="auto"/>
            <w:noWrap/>
          </w:tcPr>
          <w:p w:rsidR="00074F69" w:rsidRPr="00617241" w:rsidRDefault="00074F69" w:rsidP="00D64B56">
            <w:pPr>
              <w:rPr>
                <w:rFonts w:cs="Calibri Light"/>
                <w:b/>
                <w:color w:val="000000" w:themeColor="text1"/>
                <w:sz w:val="18"/>
                <w:szCs w:val="18"/>
              </w:rPr>
            </w:pPr>
            <w:r w:rsidRPr="00617241">
              <w:rPr>
                <w:b/>
                <w:color w:val="000000" w:themeColor="text1"/>
                <w:sz w:val="18"/>
                <w:szCs w:val="18"/>
              </w:rPr>
              <w:t>Mo</w:t>
            </w:r>
          </w:p>
        </w:tc>
        <w:tc>
          <w:tcPr>
            <w:tcW w:w="2165" w:type="dxa"/>
            <w:tcBorders>
              <w:top w:val="nil"/>
              <w:left w:val="nil"/>
              <w:bottom w:val="nil"/>
              <w:right w:val="nil"/>
            </w:tcBorders>
          </w:tcPr>
          <w:p w:rsidR="00074F69" w:rsidRPr="00617241" w:rsidRDefault="00074F69" w:rsidP="00D64B56">
            <w:pPr>
              <w:pStyle w:val="berschrift6"/>
            </w:pPr>
            <w:r w:rsidRPr="00617241">
              <w:t>µ</w:t>
            </w:r>
            <w:proofErr w:type="spellStart"/>
            <w:r w:rsidRPr="00617241">
              <w:t>mol</w:t>
            </w:r>
            <w:proofErr w:type="spell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 xml:space="preserve"> 0.3-0.8</w:t>
            </w:r>
          </w:p>
        </w:tc>
        <w:tc>
          <w:tcPr>
            <w:tcW w:w="1526" w:type="dxa"/>
          </w:tcPr>
          <w:p w:rsidR="00074F69" w:rsidRPr="00617241" w:rsidRDefault="00074F69" w:rsidP="00D64B56">
            <w:pPr>
              <w:pStyle w:val="berschrift6"/>
            </w:pPr>
            <w:r w:rsidRPr="00617241">
              <w:t>0.5</w:t>
            </w:r>
          </w:p>
        </w:tc>
        <w:tc>
          <w:tcPr>
            <w:tcW w:w="2268" w:type="dxa"/>
          </w:tcPr>
          <w:p w:rsidR="00074F69" w:rsidRPr="00617241" w:rsidRDefault="00074F69" w:rsidP="00D64B56">
            <w:pPr>
              <w:pStyle w:val="berschrift6"/>
            </w:pPr>
            <w:r w:rsidRPr="00617241">
              <w:t>–</w:t>
            </w:r>
          </w:p>
        </w:tc>
      </w:tr>
      <w:tr w:rsidR="00074F69" w:rsidRPr="00617241" w:rsidTr="00D64B56">
        <w:trPr>
          <w:trHeight w:hRule="exact" w:val="227"/>
        </w:trPr>
        <w:tc>
          <w:tcPr>
            <w:tcW w:w="1358" w:type="dxa"/>
            <w:tcBorders>
              <w:top w:val="nil"/>
              <w:left w:val="nil"/>
              <w:bottom w:val="nil"/>
              <w:right w:val="nil"/>
            </w:tcBorders>
            <w:shd w:val="clear" w:color="auto" w:fill="auto"/>
            <w:noWrap/>
          </w:tcPr>
          <w:p w:rsidR="00074F69" w:rsidRPr="00617241" w:rsidRDefault="00074F69" w:rsidP="00D64B56">
            <w:pPr>
              <w:rPr>
                <w:rFonts w:cs="Calibri Light"/>
                <w:b/>
                <w:color w:val="000000" w:themeColor="text1"/>
                <w:sz w:val="18"/>
                <w:szCs w:val="18"/>
              </w:rPr>
            </w:pPr>
            <w:r w:rsidRPr="00617241">
              <w:rPr>
                <w:b/>
                <w:color w:val="000000" w:themeColor="text1"/>
                <w:sz w:val="18"/>
                <w:szCs w:val="18"/>
              </w:rPr>
              <w:t>Na</w:t>
            </w:r>
          </w:p>
        </w:tc>
        <w:tc>
          <w:tcPr>
            <w:tcW w:w="2165" w:type="dxa"/>
            <w:tcBorders>
              <w:top w:val="nil"/>
              <w:left w:val="nil"/>
              <w:bottom w:val="nil"/>
              <w:right w:val="nil"/>
            </w:tcBorders>
          </w:tcPr>
          <w:p w:rsidR="00074F69" w:rsidRPr="00617241" w:rsidRDefault="00074F69" w:rsidP="00D64B56">
            <w:pPr>
              <w:pStyle w:val="berschrift6"/>
            </w:pPr>
            <w:r w:rsidRPr="00617241">
              <w:t>µ</w:t>
            </w:r>
            <w:proofErr w:type="spellStart"/>
            <w:r w:rsidRPr="00617241">
              <w:t>mol</w:t>
            </w:r>
            <w:proofErr w:type="spellEnd"/>
            <w:r w:rsidRPr="00617241">
              <w:t xml:space="preserve"> L</w:t>
            </w:r>
            <w:r w:rsidRPr="00617241">
              <w:rPr>
                <w:vertAlign w:val="superscript"/>
              </w:rPr>
              <w:t>-1</w:t>
            </w:r>
          </w:p>
        </w:tc>
        <w:tc>
          <w:tcPr>
            <w:tcW w:w="1897" w:type="dxa"/>
            <w:tcBorders>
              <w:top w:val="nil"/>
              <w:left w:val="nil"/>
              <w:bottom w:val="nil"/>
              <w:right w:val="nil"/>
            </w:tcBorders>
          </w:tcPr>
          <w:p w:rsidR="00074F69" w:rsidRPr="00617241" w:rsidRDefault="00074F69" w:rsidP="00D64B56">
            <w:pPr>
              <w:pStyle w:val="berschrift6"/>
            </w:pPr>
            <w:r w:rsidRPr="00617241">
              <w:t>1000-12000</w:t>
            </w:r>
          </w:p>
        </w:tc>
        <w:tc>
          <w:tcPr>
            <w:tcW w:w="1526" w:type="dxa"/>
          </w:tcPr>
          <w:p w:rsidR="00074F69" w:rsidRPr="00617241" w:rsidRDefault="00074F69" w:rsidP="00D64B56">
            <w:pPr>
              <w:pStyle w:val="berschrift6"/>
            </w:pPr>
            <w:r w:rsidRPr="00617241">
              <w:t>&gt;12000</w:t>
            </w:r>
          </w:p>
        </w:tc>
        <w:tc>
          <w:tcPr>
            <w:tcW w:w="2268" w:type="dxa"/>
          </w:tcPr>
          <w:p w:rsidR="00074F69" w:rsidRPr="00617241" w:rsidRDefault="00074F69" w:rsidP="00D64B56">
            <w:pPr>
              <w:pStyle w:val="berschrift6"/>
            </w:pPr>
            <w:r w:rsidRPr="00617241">
              <w:t>–</w:t>
            </w:r>
          </w:p>
        </w:tc>
      </w:tr>
      <w:tr w:rsidR="00074F69" w:rsidRPr="00617241" w:rsidTr="00D64B56">
        <w:trPr>
          <w:trHeight w:hRule="exact" w:val="227"/>
        </w:trPr>
        <w:tc>
          <w:tcPr>
            <w:tcW w:w="1358" w:type="dxa"/>
            <w:tcBorders>
              <w:top w:val="nil"/>
              <w:left w:val="nil"/>
              <w:bottom w:val="nil"/>
              <w:right w:val="nil"/>
            </w:tcBorders>
            <w:shd w:val="clear" w:color="auto" w:fill="auto"/>
            <w:noWrap/>
          </w:tcPr>
          <w:p w:rsidR="00074F69" w:rsidRPr="00617241" w:rsidRDefault="00074F69" w:rsidP="00D64B56">
            <w:pPr>
              <w:rPr>
                <w:rFonts w:cs="Calibri Light"/>
                <w:b/>
                <w:color w:val="000000" w:themeColor="text1"/>
                <w:sz w:val="18"/>
                <w:szCs w:val="18"/>
              </w:rPr>
            </w:pPr>
            <w:r w:rsidRPr="00617241">
              <w:rPr>
                <w:rFonts w:cs="Calibri Light"/>
                <w:b/>
                <w:color w:val="000000" w:themeColor="text1"/>
                <w:sz w:val="18"/>
                <w:szCs w:val="18"/>
              </w:rPr>
              <w:t>EC ﻿</w:t>
            </w:r>
          </w:p>
        </w:tc>
        <w:tc>
          <w:tcPr>
            <w:tcW w:w="2165" w:type="dxa"/>
            <w:tcBorders>
              <w:top w:val="nil"/>
              <w:left w:val="nil"/>
              <w:bottom w:val="nil"/>
              <w:right w:val="nil"/>
            </w:tcBorders>
          </w:tcPr>
          <w:p w:rsidR="00074F69" w:rsidRPr="00617241" w:rsidRDefault="00074F69" w:rsidP="00D64B56">
            <w:pPr>
              <w:pStyle w:val="berschrift6"/>
            </w:pPr>
            <w:proofErr w:type="gramStart"/>
            <w:r w:rsidRPr="00617241">
              <w:t>dSm</w:t>
            </w:r>
            <w:r w:rsidRPr="00617241">
              <w:rPr>
                <w:vertAlign w:val="superscript"/>
              </w:rPr>
              <w:t>-1</w:t>
            </w:r>
            <w:proofErr w:type="gramEnd"/>
          </w:p>
        </w:tc>
        <w:tc>
          <w:tcPr>
            <w:tcW w:w="1897" w:type="dxa"/>
            <w:tcBorders>
              <w:top w:val="nil"/>
              <w:left w:val="nil"/>
              <w:bottom w:val="nil"/>
              <w:right w:val="nil"/>
            </w:tcBorders>
          </w:tcPr>
          <w:p w:rsidR="00074F69" w:rsidRPr="00617241" w:rsidRDefault="00074F69" w:rsidP="00D64B56">
            <w:pPr>
              <w:pStyle w:val="berschrift6"/>
            </w:pPr>
            <w:r w:rsidRPr="00617241">
              <w:t>2.5 – 4.0</w:t>
            </w:r>
          </w:p>
        </w:tc>
        <w:tc>
          <w:tcPr>
            <w:tcW w:w="1526" w:type="dxa"/>
          </w:tcPr>
          <w:p w:rsidR="00074F69" w:rsidRPr="00617241" w:rsidRDefault="00074F69" w:rsidP="00D64B56">
            <w:pPr>
              <w:pStyle w:val="berschrift6"/>
            </w:pPr>
            <w:r w:rsidRPr="00617241">
              <w:t>3.7</w:t>
            </w:r>
          </w:p>
        </w:tc>
        <w:tc>
          <w:tcPr>
            <w:tcW w:w="2268" w:type="dxa"/>
          </w:tcPr>
          <w:p w:rsidR="00074F69" w:rsidRPr="00617241" w:rsidRDefault="00074F69" w:rsidP="00D64B56">
            <w:pPr>
              <w:pStyle w:val="berschrift6"/>
            </w:pPr>
            <w:r w:rsidRPr="00617241">
              <w:t>–</w:t>
            </w:r>
          </w:p>
        </w:tc>
      </w:tr>
      <w:tr w:rsidR="00074F69" w:rsidRPr="00617241" w:rsidTr="00D64B56">
        <w:trPr>
          <w:trHeight w:hRule="exact" w:val="227"/>
        </w:trPr>
        <w:tc>
          <w:tcPr>
            <w:tcW w:w="1358" w:type="dxa"/>
            <w:tcBorders>
              <w:top w:val="nil"/>
              <w:left w:val="nil"/>
              <w:bottom w:val="single" w:sz="4" w:space="0" w:color="auto"/>
              <w:right w:val="nil"/>
            </w:tcBorders>
            <w:shd w:val="clear" w:color="auto" w:fill="auto"/>
            <w:noWrap/>
          </w:tcPr>
          <w:p w:rsidR="00074F69" w:rsidRPr="00617241" w:rsidRDefault="00074F69" w:rsidP="00D64B56">
            <w:pPr>
              <w:rPr>
                <w:rFonts w:cs="Calibri Light"/>
                <w:b/>
                <w:sz w:val="18"/>
                <w:szCs w:val="18"/>
              </w:rPr>
            </w:pPr>
            <w:r w:rsidRPr="00617241">
              <w:rPr>
                <w:rFonts w:cs="Calibri Light"/>
                <w:b/>
                <w:sz w:val="18"/>
                <w:szCs w:val="18"/>
              </w:rPr>
              <w:t>pH</w:t>
            </w:r>
          </w:p>
        </w:tc>
        <w:tc>
          <w:tcPr>
            <w:tcW w:w="2165" w:type="dxa"/>
            <w:tcBorders>
              <w:top w:val="nil"/>
              <w:left w:val="nil"/>
              <w:bottom w:val="single" w:sz="4" w:space="0" w:color="auto"/>
              <w:right w:val="nil"/>
            </w:tcBorders>
          </w:tcPr>
          <w:p w:rsidR="00074F69" w:rsidRPr="00617241" w:rsidRDefault="00074F69" w:rsidP="00D64B56">
            <w:pPr>
              <w:pStyle w:val="berschrift6"/>
            </w:pPr>
            <w:proofErr w:type="gramStart"/>
            <w:r w:rsidRPr="00617241">
              <w:t>pH</w:t>
            </w:r>
            <w:proofErr w:type="gramEnd"/>
          </w:p>
        </w:tc>
        <w:tc>
          <w:tcPr>
            <w:tcW w:w="1897" w:type="dxa"/>
            <w:tcBorders>
              <w:top w:val="nil"/>
              <w:left w:val="nil"/>
              <w:bottom w:val="single" w:sz="4" w:space="0" w:color="auto"/>
              <w:right w:val="nil"/>
            </w:tcBorders>
          </w:tcPr>
          <w:p w:rsidR="00074F69" w:rsidRPr="00617241" w:rsidRDefault="00074F69" w:rsidP="00D64B56">
            <w:pPr>
              <w:pStyle w:val="berschrift6"/>
            </w:pPr>
            <w:r w:rsidRPr="00617241">
              <w:t>5 – 6.5</w:t>
            </w:r>
          </w:p>
        </w:tc>
        <w:tc>
          <w:tcPr>
            <w:tcW w:w="1526" w:type="dxa"/>
          </w:tcPr>
          <w:p w:rsidR="00074F69" w:rsidRPr="00617241" w:rsidRDefault="00074F69" w:rsidP="00D64B56">
            <w:pPr>
              <w:pStyle w:val="berschrift6"/>
            </w:pPr>
            <w:r w:rsidRPr="00617241">
              <w:t>5.6</w:t>
            </w:r>
          </w:p>
        </w:tc>
        <w:tc>
          <w:tcPr>
            <w:tcW w:w="2268" w:type="dxa"/>
          </w:tcPr>
          <w:p w:rsidR="00074F69" w:rsidRPr="00617241" w:rsidRDefault="00074F69" w:rsidP="00D64B56">
            <w:pPr>
              <w:pStyle w:val="berschrift6"/>
            </w:pPr>
            <w:r w:rsidRPr="00617241">
              <w:t>–</w:t>
            </w:r>
          </w:p>
        </w:tc>
      </w:tr>
    </w:tbl>
    <w:p w:rsidR="00074F69" w:rsidRDefault="00074F69" w:rsidP="00074F69"/>
    <w:p w:rsidR="00074F69" w:rsidRDefault="00074F69" w:rsidP="00074F69"/>
    <w:p w:rsidR="00074F69" w:rsidRDefault="00074F69" w:rsidP="00074F69"/>
    <w:p w:rsidR="00074F69" w:rsidRPr="0059316A" w:rsidRDefault="00074F69" w:rsidP="00074F69"/>
    <w:p w:rsidR="00074F69" w:rsidRPr="00A43DE4" w:rsidRDefault="00074F69" w:rsidP="00074F69">
      <w:pPr>
        <w:pStyle w:val="Beschriftung"/>
        <w:rPr>
          <w:b/>
        </w:rPr>
      </w:pPr>
      <w:r w:rsidRPr="000D69FE">
        <w:rPr>
          <w:b/>
        </w:rPr>
        <w:t xml:space="preserve">Table </w:t>
      </w:r>
      <w:r>
        <w:rPr>
          <w:b/>
        </w:rPr>
        <w:t>10</w:t>
      </w:r>
      <w:r>
        <w:t xml:space="preserve"> </w:t>
      </w:r>
      <w:r w:rsidRPr="00AE4345">
        <w:rPr>
          <w:color w:val="2F5496" w:themeColor="accent5" w:themeShade="BF"/>
        </w:rPr>
        <w:t xml:space="preserve">Solubility analysis of Struvite, </w:t>
      </w:r>
      <w:proofErr w:type="spellStart"/>
      <w:r w:rsidRPr="00AE4345">
        <w:rPr>
          <w:color w:val="2F5496" w:themeColor="accent5" w:themeShade="BF"/>
        </w:rPr>
        <w:t>Vinasse</w:t>
      </w:r>
      <w:proofErr w:type="spellEnd"/>
      <w:r w:rsidRPr="00AE4345">
        <w:rPr>
          <w:color w:val="2F5496" w:themeColor="accent5" w:themeShade="BF"/>
        </w:rPr>
        <w:t xml:space="preserve">, Struvite &amp; </w:t>
      </w:r>
      <w:proofErr w:type="spellStart"/>
      <w:r w:rsidRPr="00AE4345">
        <w:rPr>
          <w:color w:val="2F5496" w:themeColor="accent5" w:themeShade="BF"/>
        </w:rPr>
        <w:t>Vinasse</w:t>
      </w:r>
      <w:proofErr w:type="spellEnd"/>
      <w:r w:rsidRPr="00AE4345">
        <w:rPr>
          <w:color w:val="2F5496" w:themeColor="accent5" w:themeShade="BF"/>
        </w:rPr>
        <w:t>, and S+V nutrient solution, measured on day 1 after mixing (1</w:t>
      </w:r>
      <w:r w:rsidRPr="00AE4345">
        <w:rPr>
          <w:color w:val="2F5496" w:themeColor="accent5" w:themeShade="BF"/>
          <w:vertAlign w:val="superscript"/>
        </w:rPr>
        <w:t>st</w:t>
      </w:r>
      <w:r w:rsidRPr="00AE4345">
        <w:rPr>
          <w:color w:val="2F5496" w:themeColor="accent5" w:themeShade="BF"/>
        </w:rPr>
        <w:t xml:space="preserve"> analysis) and 3 days later (2</w:t>
      </w:r>
      <w:r w:rsidRPr="00AE4345">
        <w:rPr>
          <w:color w:val="2F5496" w:themeColor="accent5" w:themeShade="BF"/>
          <w:vertAlign w:val="superscript"/>
        </w:rPr>
        <w:t>nd</w:t>
      </w:r>
      <w:r w:rsidRPr="00AE4345">
        <w:rPr>
          <w:color w:val="2F5496" w:themeColor="accent5" w:themeShade="BF"/>
        </w:rPr>
        <w:t xml:space="preserve"> analysis), (n=2).</w:t>
      </w:r>
    </w:p>
    <w:tbl>
      <w:tblPr>
        <w:tblW w:w="8789" w:type="dxa"/>
        <w:tblBorders>
          <w:top w:val="single" w:sz="4" w:space="0" w:color="auto"/>
          <w:bottom w:val="single" w:sz="4" w:space="0" w:color="auto"/>
        </w:tblBorders>
        <w:tblLook w:val="04A0" w:firstRow="1" w:lastRow="0" w:firstColumn="1" w:lastColumn="0" w:noHBand="0" w:noVBand="1"/>
      </w:tblPr>
      <w:tblGrid>
        <w:gridCol w:w="1655"/>
        <w:gridCol w:w="1013"/>
        <w:gridCol w:w="767"/>
        <w:gridCol w:w="769"/>
        <w:gridCol w:w="1015"/>
        <w:gridCol w:w="767"/>
        <w:gridCol w:w="769"/>
        <w:gridCol w:w="1013"/>
        <w:gridCol w:w="767"/>
        <w:gridCol w:w="746"/>
      </w:tblGrid>
      <w:tr w:rsidR="00074F69" w:rsidRPr="00467DFC" w:rsidTr="00D64B56">
        <w:trPr>
          <w:trHeight w:val="261"/>
        </w:trPr>
        <w:tc>
          <w:tcPr>
            <w:tcW w:w="1655" w:type="dxa"/>
            <w:tcBorders>
              <w:top w:val="single" w:sz="4" w:space="0" w:color="auto"/>
              <w:bottom w:val="nil"/>
            </w:tcBorders>
            <w:shd w:val="clear" w:color="auto" w:fill="auto"/>
            <w:noWrap/>
            <w:vAlign w:val="bottom"/>
            <w:hideMark/>
          </w:tcPr>
          <w:p w:rsidR="00074F69" w:rsidRPr="00467DFC" w:rsidRDefault="00074F69" w:rsidP="00D64B56">
            <w:pPr>
              <w:spacing w:line="240" w:lineRule="auto"/>
              <w:rPr>
                <w:rFonts w:asciiTheme="majorHAnsi" w:hAnsiTheme="majorHAnsi" w:cstheme="majorHAnsi"/>
                <w:sz w:val="18"/>
                <w:szCs w:val="18"/>
              </w:rPr>
            </w:pPr>
          </w:p>
        </w:tc>
        <w:tc>
          <w:tcPr>
            <w:tcW w:w="2549" w:type="dxa"/>
            <w:gridSpan w:val="3"/>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rPr>
              <w:t xml:space="preserve">P </w:t>
            </w:r>
            <w:r w:rsidRPr="00D20D47">
              <w:rPr>
                <w:rFonts w:asciiTheme="majorHAnsi" w:hAnsiTheme="majorHAnsi" w:cstheme="majorHAnsi"/>
                <w:color w:val="000000"/>
                <w:sz w:val="18"/>
                <w:szCs w:val="18"/>
              </w:rPr>
              <w:t xml:space="preserve">[mg </w:t>
            </w:r>
            <w:r w:rsidRPr="001F74A4">
              <w:rPr>
                <w:rFonts w:asciiTheme="majorHAnsi" w:hAnsiTheme="majorHAnsi" w:cstheme="majorHAnsi"/>
                <w:color w:val="000000"/>
                <w:sz w:val="18"/>
                <w:szCs w:val="18"/>
              </w:rPr>
              <w:t>L</w:t>
            </w:r>
            <w:r w:rsidRPr="00D20D47">
              <w:rPr>
                <w:rFonts w:asciiTheme="majorHAnsi" w:hAnsiTheme="majorHAnsi" w:cstheme="majorHAnsi"/>
                <w:color w:val="000000"/>
                <w:sz w:val="18"/>
                <w:szCs w:val="18"/>
                <w:vertAlign w:val="superscript"/>
              </w:rPr>
              <w:t>-1</w:t>
            </w:r>
            <w:r w:rsidRPr="00D20D47">
              <w:rPr>
                <w:rFonts w:asciiTheme="majorHAnsi" w:hAnsiTheme="majorHAnsi" w:cstheme="majorHAnsi"/>
                <w:color w:val="000000"/>
                <w:sz w:val="18"/>
                <w:szCs w:val="18"/>
              </w:rPr>
              <w:t>]</w:t>
            </w:r>
          </w:p>
        </w:tc>
        <w:tc>
          <w:tcPr>
            <w:tcW w:w="2551" w:type="dxa"/>
            <w:gridSpan w:val="3"/>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rPr>
              <w:t xml:space="preserve">K </w:t>
            </w:r>
            <w:r w:rsidRPr="00D20D47">
              <w:rPr>
                <w:rFonts w:asciiTheme="majorHAnsi" w:hAnsiTheme="majorHAnsi" w:cstheme="majorHAnsi"/>
                <w:color w:val="000000"/>
                <w:sz w:val="18"/>
                <w:szCs w:val="18"/>
              </w:rPr>
              <w:t xml:space="preserve">[mg </w:t>
            </w:r>
            <w:r w:rsidRPr="001F74A4">
              <w:rPr>
                <w:rFonts w:asciiTheme="majorHAnsi" w:hAnsiTheme="majorHAnsi" w:cstheme="majorHAnsi"/>
                <w:color w:val="000000"/>
                <w:sz w:val="18"/>
                <w:szCs w:val="18"/>
              </w:rPr>
              <w:t>L</w:t>
            </w:r>
            <w:r w:rsidRPr="00D20D47">
              <w:rPr>
                <w:rFonts w:asciiTheme="majorHAnsi" w:hAnsiTheme="majorHAnsi" w:cstheme="majorHAnsi"/>
                <w:color w:val="000000"/>
                <w:sz w:val="18"/>
                <w:szCs w:val="18"/>
                <w:vertAlign w:val="superscript"/>
              </w:rPr>
              <w:t>-1</w:t>
            </w:r>
            <w:r w:rsidRPr="00D20D47">
              <w:rPr>
                <w:rFonts w:asciiTheme="majorHAnsi" w:hAnsiTheme="majorHAnsi" w:cstheme="majorHAnsi"/>
                <w:color w:val="000000"/>
                <w:sz w:val="18"/>
                <w:szCs w:val="18"/>
              </w:rPr>
              <w:t>]</w:t>
            </w:r>
          </w:p>
        </w:tc>
        <w:tc>
          <w:tcPr>
            <w:tcW w:w="2034" w:type="dxa"/>
            <w:gridSpan w:val="3"/>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rPr>
              <w:t xml:space="preserve">Mg </w:t>
            </w:r>
            <w:r w:rsidRPr="00D20D47">
              <w:rPr>
                <w:rFonts w:asciiTheme="majorHAnsi" w:hAnsiTheme="majorHAnsi" w:cstheme="majorHAnsi"/>
                <w:color w:val="000000"/>
                <w:sz w:val="18"/>
                <w:szCs w:val="18"/>
              </w:rPr>
              <w:t xml:space="preserve">[mg </w:t>
            </w:r>
            <w:r w:rsidRPr="001F74A4">
              <w:rPr>
                <w:rFonts w:asciiTheme="majorHAnsi" w:hAnsiTheme="majorHAnsi" w:cstheme="majorHAnsi"/>
                <w:color w:val="000000"/>
                <w:sz w:val="18"/>
                <w:szCs w:val="18"/>
              </w:rPr>
              <w:t>L</w:t>
            </w:r>
            <w:r w:rsidRPr="00D20D47">
              <w:rPr>
                <w:rFonts w:asciiTheme="majorHAnsi" w:hAnsiTheme="majorHAnsi" w:cstheme="majorHAnsi"/>
                <w:color w:val="000000"/>
                <w:sz w:val="18"/>
                <w:szCs w:val="18"/>
                <w:vertAlign w:val="superscript"/>
              </w:rPr>
              <w:t>-1</w:t>
            </w:r>
            <w:r w:rsidRPr="00D20D47">
              <w:rPr>
                <w:rFonts w:asciiTheme="majorHAnsi" w:hAnsiTheme="majorHAnsi" w:cstheme="majorHAnsi"/>
                <w:color w:val="000000"/>
                <w:sz w:val="18"/>
                <w:szCs w:val="18"/>
              </w:rPr>
              <w:t>]</w:t>
            </w:r>
          </w:p>
        </w:tc>
      </w:tr>
      <w:tr w:rsidR="00074F69" w:rsidRPr="00467DFC" w:rsidTr="00D64B56">
        <w:trPr>
          <w:trHeight w:val="261"/>
        </w:trPr>
        <w:tc>
          <w:tcPr>
            <w:tcW w:w="1655" w:type="dxa"/>
            <w:tcBorders>
              <w:top w:val="nil"/>
              <w:bottom w:val="single" w:sz="4" w:space="0" w:color="auto"/>
            </w:tcBorders>
            <w:shd w:val="clear" w:color="auto" w:fill="auto"/>
            <w:noWrap/>
            <w:vAlign w:val="bottom"/>
            <w:hideMark/>
          </w:tcPr>
          <w:p w:rsidR="00074F69" w:rsidRPr="00467DFC" w:rsidRDefault="00074F69" w:rsidP="00D64B56">
            <w:pPr>
              <w:spacing w:line="240" w:lineRule="auto"/>
              <w:jc w:val="center"/>
              <w:rPr>
                <w:rFonts w:asciiTheme="majorHAnsi" w:hAnsiTheme="majorHAnsi" w:cstheme="majorHAnsi"/>
                <w:color w:val="000000"/>
                <w:sz w:val="18"/>
                <w:szCs w:val="18"/>
              </w:rPr>
            </w:pPr>
          </w:p>
        </w:tc>
        <w:tc>
          <w:tcPr>
            <w:tcW w:w="1013" w:type="dxa"/>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7"/>
                <w:szCs w:val="17"/>
              </w:rPr>
            </w:pPr>
            <w:r w:rsidRPr="00F705BF">
              <w:rPr>
                <w:rFonts w:asciiTheme="majorHAnsi" w:hAnsiTheme="majorHAnsi" w:cstheme="majorHAnsi"/>
                <w:color w:val="000000"/>
                <w:sz w:val="17"/>
                <w:szCs w:val="17"/>
              </w:rPr>
              <w:t>Theoretical values</w:t>
            </w:r>
          </w:p>
        </w:tc>
        <w:tc>
          <w:tcPr>
            <w:tcW w:w="767" w:type="dxa"/>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7"/>
                <w:szCs w:val="17"/>
              </w:rPr>
            </w:pPr>
            <w:r w:rsidRPr="00F705BF">
              <w:rPr>
                <w:rFonts w:asciiTheme="majorHAnsi" w:hAnsiTheme="majorHAnsi" w:cstheme="majorHAnsi"/>
                <w:color w:val="000000"/>
                <w:sz w:val="17"/>
                <w:szCs w:val="17"/>
              </w:rPr>
              <w:t>1st analysis</w:t>
            </w:r>
          </w:p>
        </w:tc>
        <w:tc>
          <w:tcPr>
            <w:tcW w:w="769" w:type="dxa"/>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7"/>
                <w:szCs w:val="17"/>
              </w:rPr>
            </w:pPr>
            <w:r w:rsidRPr="00F705BF">
              <w:rPr>
                <w:rFonts w:asciiTheme="majorHAnsi" w:hAnsiTheme="majorHAnsi" w:cstheme="majorHAnsi"/>
                <w:color w:val="000000"/>
                <w:sz w:val="17"/>
                <w:szCs w:val="17"/>
              </w:rPr>
              <w:t>2</w:t>
            </w:r>
            <w:r w:rsidRPr="00F705BF">
              <w:rPr>
                <w:rFonts w:asciiTheme="majorHAnsi" w:hAnsiTheme="majorHAnsi" w:cstheme="majorHAnsi"/>
                <w:color w:val="000000"/>
                <w:sz w:val="17"/>
                <w:szCs w:val="17"/>
                <w:vertAlign w:val="superscript"/>
              </w:rPr>
              <w:t>nd</w:t>
            </w:r>
            <w:r w:rsidRPr="00F705BF">
              <w:rPr>
                <w:rFonts w:asciiTheme="majorHAnsi" w:hAnsiTheme="majorHAnsi" w:cstheme="majorHAnsi"/>
                <w:color w:val="000000"/>
                <w:sz w:val="17"/>
                <w:szCs w:val="17"/>
              </w:rPr>
              <w:t xml:space="preserve"> analysis</w:t>
            </w:r>
          </w:p>
        </w:tc>
        <w:tc>
          <w:tcPr>
            <w:tcW w:w="1015" w:type="dxa"/>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7"/>
                <w:szCs w:val="17"/>
              </w:rPr>
            </w:pPr>
            <w:r w:rsidRPr="00F705BF">
              <w:rPr>
                <w:rFonts w:asciiTheme="majorHAnsi" w:hAnsiTheme="majorHAnsi" w:cstheme="majorHAnsi"/>
                <w:color w:val="000000"/>
                <w:sz w:val="17"/>
                <w:szCs w:val="17"/>
              </w:rPr>
              <w:t>Theoretical value</w:t>
            </w:r>
          </w:p>
        </w:tc>
        <w:tc>
          <w:tcPr>
            <w:tcW w:w="767" w:type="dxa"/>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7"/>
                <w:szCs w:val="17"/>
              </w:rPr>
            </w:pPr>
            <w:r w:rsidRPr="00F705BF">
              <w:rPr>
                <w:rFonts w:asciiTheme="majorHAnsi" w:hAnsiTheme="majorHAnsi" w:cstheme="majorHAnsi"/>
                <w:color w:val="000000"/>
                <w:sz w:val="17"/>
                <w:szCs w:val="17"/>
              </w:rPr>
              <w:t>1st analysis</w:t>
            </w:r>
          </w:p>
        </w:tc>
        <w:tc>
          <w:tcPr>
            <w:tcW w:w="769" w:type="dxa"/>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7"/>
                <w:szCs w:val="17"/>
              </w:rPr>
            </w:pPr>
            <w:r w:rsidRPr="00F705BF">
              <w:rPr>
                <w:rFonts w:asciiTheme="majorHAnsi" w:hAnsiTheme="majorHAnsi" w:cstheme="majorHAnsi"/>
                <w:color w:val="000000"/>
                <w:sz w:val="17"/>
                <w:szCs w:val="17"/>
              </w:rPr>
              <w:t>2</w:t>
            </w:r>
            <w:r w:rsidRPr="00F705BF">
              <w:rPr>
                <w:rFonts w:asciiTheme="majorHAnsi" w:hAnsiTheme="majorHAnsi" w:cstheme="majorHAnsi"/>
                <w:color w:val="000000"/>
                <w:sz w:val="17"/>
                <w:szCs w:val="17"/>
                <w:vertAlign w:val="superscript"/>
              </w:rPr>
              <w:t>nd</w:t>
            </w:r>
            <w:r w:rsidRPr="00F705BF">
              <w:rPr>
                <w:rFonts w:asciiTheme="majorHAnsi" w:hAnsiTheme="majorHAnsi" w:cstheme="majorHAnsi"/>
                <w:color w:val="000000"/>
                <w:sz w:val="17"/>
                <w:szCs w:val="17"/>
              </w:rPr>
              <w:t xml:space="preserve"> analysis</w:t>
            </w:r>
          </w:p>
        </w:tc>
        <w:tc>
          <w:tcPr>
            <w:tcW w:w="1013" w:type="dxa"/>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7"/>
                <w:szCs w:val="17"/>
              </w:rPr>
            </w:pPr>
            <w:r w:rsidRPr="00F705BF">
              <w:rPr>
                <w:rFonts w:asciiTheme="majorHAnsi" w:hAnsiTheme="majorHAnsi" w:cstheme="majorHAnsi"/>
                <w:color w:val="000000"/>
                <w:sz w:val="17"/>
                <w:szCs w:val="17"/>
              </w:rPr>
              <w:t>Theoretical values</w:t>
            </w:r>
          </w:p>
        </w:tc>
        <w:tc>
          <w:tcPr>
            <w:tcW w:w="767" w:type="dxa"/>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7"/>
                <w:szCs w:val="17"/>
              </w:rPr>
            </w:pPr>
            <w:r w:rsidRPr="00F705BF">
              <w:rPr>
                <w:rFonts w:asciiTheme="majorHAnsi" w:hAnsiTheme="majorHAnsi" w:cstheme="majorHAnsi"/>
                <w:color w:val="000000"/>
                <w:sz w:val="17"/>
                <w:szCs w:val="17"/>
              </w:rPr>
              <w:t>1st analysis</w:t>
            </w:r>
          </w:p>
        </w:tc>
        <w:tc>
          <w:tcPr>
            <w:tcW w:w="254" w:type="dxa"/>
            <w:tcBorders>
              <w:top w:val="single" w:sz="4" w:space="0" w:color="auto"/>
              <w:bottom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7"/>
                <w:szCs w:val="17"/>
              </w:rPr>
            </w:pPr>
            <w:r w:rsidRPr="00F705BF">
              <w:rPr>
                <w:rFonts w:asciiTheme="majorHAnsi" w:hAnsiTheme="majorHAnsi" w:cstheme="majorHAnsi"/>
                <w:color w:val="000000"/>
                <w:sz w:val="17"/>
                <w:szCs w:val="17"/>
              </w:rPr>
              <w:t>2</w:t>
            </w:r>
            <w:r w:rsidRPr="00F705BF">
              <w:rPr>
                <w:rFonts w:asciiTheme="majorHAnsi" w:hAnsiTheme="majorHAnsi" w:cstheme="majorHAnsi"/>
                <w:color w:val="000000"/>
                <w:sz w:val="17"/>
                <w:szCs w:val="17"/>
                <w:vertAlign w:val="superscript"/>
              </w:rPr>
              <w:t>nd</w:t>
            </w:r>
            <w:r w:rsidRPr="00F705BF">
              <w:rPr>
                <w:rFonts w:asciiTheme="majorHAnsi" w:hAnsiTheme="majorHAnsi" w:cstheme="majorHAnsi"/>
                <w:color w:val="000000"/>
                <w:sz w:val="17"/>
                <w:szCs w:val="17"/>
              </w:rPr>
              <w:t xml:space="preserve"> analysis</w:t>
            </w:r>
          </w:p>
        </w:tc>
      </w:tr>
      <w:tr w:rsidR="00074F69" w:rsidRPr="00467DFC" w:rsidTr="00D64B56">
        <w:trPr>
          <w:trHeight w:val="261"/>
        </w:trPr>
        <w:tc>
          <w:tcPr>
            <w:tcW w:w="1655" w:type="dxa"/>
            <w:tcBorders>
              <w:top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b/>
                <w:bCs/>
                <w:color w:val="000000"/>
                <w:sz w:val="18"/>
                <w:szCs w:val="18"/>
              </w:rPr>
            </w:pPr>
            <w:r w:rsidRPr="00F705BF">
              <w:rPr>
                <w:rFonts w:asciiTheme="majorHAnsi" w:hAnsiTheme="majorHAnsi" w:cstheme="majorHAnsi"/>
                <w:b/>
                <w:bCs/>
                <w:color w:val="000000"/>
                <w:sz w:val="18"/>
                <w:szCs w:val="18"/>
              </w:rPr>
              <w:t>S+V NS</w:t>
            </w:r>
          </w:p>
        </w:tc>
        <w:tc>
          <w:tcPr>
            <w:tcW w:w="1013" w:type="dxa"/>
            <w:tcBorders>
              <w:top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62.2</w:t>
            </w:r>
          </w:p>
        </w:tc>
        <w:tc>
          <w:tcPr>
            <w:tcW w:w="767" w:type="dxa"/>
            <w:tcBorders>
              <w:top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18.2</w:t>
            </w:r>
          </w:p>
        </w:tc>
        <w:tc>
          <w:tcPr>
            <w:tcW w:w="769" w:type="dxa"/>
            <w:tcBorders>
              <w:top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13.8</w:t>
            </w:r>
          </w:p>
        </w:tc>
        <w:tc>
          <w:tcPr>
            <w:tcW w:w="1015" w:type="dxa"/>
            <w:tcBorders>
              <w:top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317</w:t>
            </w:r>
          </w:p>
        </w:tc>
        <w:tc>
          <w:tcPr>
            <w:tcW w:w="767" w:type="dxa"/>
            <w:tcBorders>
              <w:top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207</w:t>
            </w:r>
          </w:p>
        </w:tc>
        <w:tc>
          <w:tcPr>
            <w:tcW w:w="769" w:type="dxa"/>
            <w:tcBorders>
              <w:top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151</w:t>
            </w:r>
          </w:p>
        </w:tc>
        <w:tc>
          <w:tcPr>
            <w:tcW w:w="1013" w:type="dxa"/>
            <w:tcBorders>
              <w:top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108</w:t>
            </w:r>
          </w:p>
        </w:tc>
        <w:tc>
          <w:tcPr>
            <w:tcW w:w="767" w:type="dxa"/>
            <w:tcBorders>
              <w:top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38.5</w:t>
            </w:r>
          </w:p>
        </w:tc>
        <w:tc>
          <w:tcPr>
            <w:tcW w:w="254" w:type="dxa"/>
            <w:tcBorders>
              <w:top w:val="single" w:sz="4" w:space="0" w:color="auto"/>
            </w:tcBorders>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43.8</w:t>
            </w:r>
          </w:p>
        </w:tc>
      </w:tr>
      <w:tr w:rsidR="00074F69" w:rsidRPr="00467DFC" w:rsidTr="00D64B56">
        <w:trPr>
          <w:trHeight w:val="261"/>
        </w:trPr>
        <w:tc>
          <w:tcPr>
            <w:tcW w:w="1655" w:type="dxa"/>
            <w:shd w:val="clear" w:color="auto" w:fill="auto"/>
            <w:noWrap/>
            <w:vAlign w:val="bottom"/>
            <w:hideMark/>
          </w:tcPr>
          <w:p w:rsidR="00074F69" w:rsidRPr="00F705BF" w:rsidRDefault="00074F69" w:rsidP="00D64B56">
            <w:pPr>
              <w:spacing w:line="240" w:lineRule="auto"/>
              <w:rPr>
                <w:rFonts w:asciiTheme="majorHAnsi" w:hAnsiTheme="majorHAnsi" w:cstheme="majorHAnsi"/>
                <w:b/>
                <w:bCs/>
                <w:color w:val="000000"/>
                <w:sz w:val="18"/>
                <w:szCs w:val="18"/>
              </w:rPr>
            </w:pPr>
            <w:r w:rsidRPr="00F705BF">
              <w:rPr>
                <w:rFonts w:asciiTheme="majorHAnsi" w:hAnsiTheme="majorHAnsi" w:cstheme="majorHAnsi"/>
                <w:b/>
                <w:bCs/>
                <w:color w:val="000000"/>
                <w:sz w:val="18"/>
                <w:szCs w:val="18"/>
              </w:rPr>
              <w:t xml:space="preserve">Struvite </w:t>
            </w:r>
          </w:p>
        </w:tc>
        <w:tc>
          <w:tcPr>
            <w:tcW w:w="1013"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62.2</w:t>
            </w:r>
          </w:p>
        </w:tc>
        <w:tc>
          <w:tcPr>
            <w:tcW w:w="767"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7.1</w:t>
            </w:r>
          </w:p>
        </w:tc>
        <w:tc>
          <w:tcPr>
            <w:tcW w:w="769"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9.0</w:t>
            </w:r>
          </w:p>
        </w:tc>
        <w:tc>
          <w:tcPr>
            <w:tcW w:w="1015"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5.1</w:t>
            </w:r>
          </w:p>
        </w:tc>
        <w:tc>
          <w:tcPr>
            <w:tcW w:w="767"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7.6</w:t>
            </w:r>
          </w:p>
        </w:tc>
        <w:tc>
          <w:tcPr>
            <w:tcW w:w="769"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7.8</w:t>
            </w:r>
          </w:p>
        </w:tc>
        <w:tc>
          <w:tcPr>
            <w:tcW w:w="1013"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108</w:t>
            </w:r>
          </w:p>
        </w:tc>
        <w:tc>
          <w:tcPr>
            <w:tcW w:w="767"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7.5</w:t>
            </w:r>
          </w:p>
        </w:tc>
        <w:tc>
          <w:tcPr>
            <w:tcW w:w="254"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9.0</w:t>
            </w:r>
          </w:p>
        </w:tc>
      </w:tr>
      <w:tr w:rsidR="00074F69" w:rsidRPr="00467DFC" w:rsidTr="00D64B56">
        <w:trPr>
          <w:trHeight w:val="261"/>
        </w:trPr>
        <w:tc>
          <w:tcPr>
            <w:tcW w:w="1655" w:type="dxa"/>
            <w:shd w:val="clear" w:color="auto" w:fill="auto"/>
            <w:noWrap/>
            <w:vAlign w:val="bottom"/>
            <w:hideMark/>
          </w:tcPr>
          <w:p w:rsidR="00074F69" w:rsidRPr="00F705BF" w:rsidRDefault="00074F69" w:rsidP="00D64B56">
            <w:pPr>
              <w:spacing w:line="240" w:lineRule="auto"/>
              <w:rPr>
                <w:rFonts w:asciiTheme="majorHAnsi" w:hAnsiTheme="majorHAnsi" w:cstheme="majorHAnsi"/>
                <w:b/>
                <w:bCs/>
                <w:color w:val="000000"/>
                <w:sz w:val="18"/>
                <w:szCs w:val="18"/>
              </w:rPr>
            </w:pPr>
            <w:proofErr w:type="spellStart"/>
            <w:r w:rsidRPr="00F705BF">
              <w:rPr>
                <w:rFonts w:asciiTheme="majorHAnsi" w:hAnsiTheme="majorHAnsi" w:cstheme="majorHAnsi"/>
                <w:b/>
                <w:bCs/>
                <w:color w:val="000000"/>
                <w:sz w:val="18"/>
                <w:szCs w:val="18"/>
              </w:rPr>
              <w:t>Vinasse</w:t>
            </w:r>
            <w:proofErr w:type="spellEnd"/>
            <w:r w:rsidRPr="00F705BF">
              <w:rPr>
                <w:rFonts w:asciiTheme="majorHAnsi" w:hAnsiTheme="majorHAnsi" w:cstheme="majorHAnsi"/>
                <w:b/>
                <w:bCs/>
                <w:color w:val="000000"/>
                <w:sz w:val="18"/>
                <w:szCs w:val="18"/>
              </w:rPr>
              <w:t xml:space="preserve"> </w:t>
            </w:r>
          </w:p>
        </w:tc>
        <w:tc>
          <w:tcPr>
            <w:tcW w:w="1013"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w:t>
            </w:r>
          </w:p>
        </w:tc>
        <w:tc>
          <w:tcPr>
            <w:tcW w:w="767"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0.9</w:t>
            </w:r>
          </w:p>
        </w:tc>
        <w:tc>
          <w:tcPr>
            <w:tcW w:w="769"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0.9</w:t>
            </w:r>
          </w:p>
        </w:tc>
        <w:tc>
          <w:tcPr>
            <w:tcW w:w="1015"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311</w:t>
            </w:r>
          </w:p>
        </w:tc>
        <w:tc>
          <w:tcPr>
            <w:tcW w:w="767"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321</w:t>
            </w:r>
          </w:p>
        </w:tc>
        <w:tc>
          <w:tcPr>
            <w:tcW w:w="769"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345</w:t>
            </w:r>
          </w:p>
        </w:tc>
        <w:tc>
          <w:tcPr>
            <w:tcW w:w="1013"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53.9</w:t>
            </w:r>
          </w:p>
        </w:tc>
        <w:tc>
          <w:tcPr>
            <w:tcW w:w="767"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1.1</w:t>
            </w:r>
          </w:p>
        </w:tc>
        <w:tc>
          <w:tcPr>
            <w:tcW w:w="254"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1.1</w:t>
            </w:r>
          </w:p>
        </w:tc>
      </w:tr>
      <w:tr w:rsidR="00074F69" w:rsidRPr="00467DFC" w:rsidTr="00D64B56">
        <w:trPr>
          <w:trHeight w:val="261"/>
        </w:trPr>
        <w:tc>
          <w:tcPr>
            <w:tcW w:w="1655" w:type="dxa"/>
            <w:shd w:val="clear" w:color="auto" w:fill="auto"/>
            <w:noWrap/>
            <w:vAlign w:val="bottom"/>
            <w:hideMark/>
          </w:tcPr>
          <w:p w:rsidR="00074F69" w:rsidRPr="00F705BF" w:rsidRDefault="00074F69" w:rsidP="00D64B56">
            <w:pPr>
              <w:spacing w:line="240" w:lineRule="auto"/>
              <w:rPr>
                <w:rFonts w:asciiTheme="majorHAnsi" w:hAnsiTheme="majorHAnsi" w:cstheme="majorHAnsi"/>
                <w:b/>
                <w:bCs/>
                <w:color w:val="000000"/>
                <w:sz w:val="18"/>
                <w:szCs w:val="18"/>
              </w:rPr>
            </w:pPr>
            <w:r w:rsidRPr="00F705BF">
              <w:rPr>
                <w:rFonts w:asciiTheme="majorHAnsi" w:hAnsiTheme="majorHAnsi" w:cstheme="majorHAnsi"/>
                <w:b/>
                <w:bCs/>
                <w:color w:val="000000"/>
                <w:sz w:val="18"/>
                <w:szCs w:val="18"/>
              </w:rPr>
              <w:t xml:space="preserve">Struvite &amp; </w:t>
            </w:r>
            <w:proofErr w:type="spellStart"/>
            <w:r w:rsidRPr="00F705BF">
              <w:rPr>
                <w:rFonts w:asciiTheme="majorHAnsi" w:hAnsiTheme="majorHAnsi" w:cstheme="majorHAnsi"/>
                <w:b/>
                <w:bCs/>
                <w:color w:val="000000"/>
                <w:sz w:val="18"/>
                <w:szCs w:val="18"/>
              </w:rPr>
              <w:t>Vinasse</w:t>
            </w:r>
            <w:proofErr w:type="spellEnd"/>
          </w:p>
        </w:tc>
        <w:tc>
          <w:tcPr>
            <w:tcW w:w="1013"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62.2</w:t>
            </w:r>
          </w:p>
        </w:tc>
        <w:tc>
          <w:tcPr>
            <w:tcW w:w="767"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3.8</w:t>
            </w:r>
          </w:p>
        </w:tc>
        <w:tc>
          <w:tcPr>
            <w:tcW w:w="769"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6.1</w:t>
            </w:r>
          </w:p>
        </w:tc>
        <w:tc>
          <w:tcPr>
            <w:tcW w:w="1015"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317</w:t>
            </w:r>
          </w:p>
        </w:tc>
        <w:tc>
          <w:tcPr>
            <w:tcW w:w="767"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304</w:t>
            </w:r>
          </w:p>
        </w:tc>
        <w:tc>
          <w:tcPr>
            <w:tcW w:w="769"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Pr>
                <w:rFonts w:asciiTheme="majorHAnsi" w:hAnsiTheme="majorHAnsi" w:cstheme="majorHAnsi"/>
                <w:color w:val="000000"/>
                <w:sz w:val="18"/>
                <w:szCs w:val="18"/>
              </w:rPr>
              <w:t>321</w:t>
            </w:r>
          </w:p>
        </w:tc>
        <w:tc>
          <w:tcPr>
            <w:tcW w:w="1013"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w:t>
            </w:r>
          </w:p>
        </w:tc>
        <w:tc>
          <w:tcPr>
            <w:tcW w:w="767"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6.1</w:t>
            </w:r>
          </w:p>
        </w:tc>
        <w:tc>
          <w:tcPr>
            <w:tcW w:w="254" w:type="dxa"/>
            <w:shd w:val="clear" w:color="auto" w:fill="auto"/>
            <w:noWrap/>
            <w:vAlign w:val="bottom"/>
            <w:hideMark/>
          </w:tcPr>
          <w:p w:rsidR="00074F69" w:rsidRPr="00F705BF" w:rsidRDefault="00074F69" w:rsidP="00D64B56">
            <w:pPr>
              <w:spacing w:line="240" w:lineRule="auto"/>
              <w:rPr>
                <w:rFonts w:asciiTheme="majorHAnsi" w:hAnsiTheme="majorHAnsi" w:cstheme="majorHAnsi"/>
                <w:color w:val="000000"/>
                <w:sz w:val="18"/>
                <w:szCs w:val="18"/>
              </w:rPr>
            </w:pPr>
            <w:r w:rsidRPr="00F705BF">
              <w:rPr>
                <w:rFonts w:asciiTheme="majorHAnsi" w:hAnsiTheme="majorHAnsi" w:cstheme="majorHAnsi"/>
                <w:color w:val="000000"/>
                <w:sz w:val="18"/>
                <w:szCs w:val="18"/>
              </w:rPr>
              <w:t>9.6</w:t>
            </w:r>
          </w:p>
        </w:tc>
      </w:tr>
    </w:tbl>
    <w:p w:rsidR="00074F69" w:rsidRDefault="00074F69" w:rsidP="00074F69">
      <w:pPr>
        <w:keepNext/>
        <w:spacing w:line="240" w:lineRule="auto"/>
        <w:rPr>
          <w:rFonts w:cs="Calibri Light"/>
          <w:noProof/>
          <w:szCs w:val="22"/>
          <w:lang w:val="en-US" w:eastAsia="en-US"/>
        </w:rPr>
      </w:pPr>
    </w:p>
    <w:p w:rsidR="00074F69" w:rsidRDefault="00074F69" w:rsidP="00074F69">
      <w:pPr>
        <w:keepNext/>
        <w:spacing w:line="240" w:lineRule="auto"/>
        <w:rPr>
          <w:rStyle w:val="berschrift4Zchn"/>
        </w:rPr>
      </w:pPr>
      <w:r>
        <w:rPr>
          <w:rFonts w:eastAsiaTheme="majorEastAsia" w:cstheme="majorBidi"/>
          <w:bCs/>
          <w:iCs/>
          <w:noProof/>
          <w:sz w:val="18"/>
          <w:lang w:val="de-DE" w:eastAsia="de-DE"/>
        </w:rPr>
        <w:drawing>
          <wp:inline distT="0" distB="0" distL="0" distR="0" wp14:anchorId="40196E86" wp14:editId="2AB1F395">
            <wp:extent cx="5812403" cy="521208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5_PH_EC_2.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15314" cy="5214690"/>
                    </a:xfrm>
                    <a:prstGeom prst="rect">
                      <a:avLst/>
                    </a:prstGeom>
                  </pic:spPr>
                </pic:pic>
              </a:graphicData>
            </a:graphic>
          </wp:inline>
        </w:drawing>
      </w:r>
    </w:p>
    <w:p w:rsidR="00074F69" w:rsidRPr="00617241" w:rsidRDefault="00074F69" w:rsidP="00074F69">
      <w:pPr>
        <w:pStyle w:val="Beschriftung"/>
      </w:pPr>
      <w:r w:rsidRPr="004F5414">
        <w:rPr>
          <w:rStyle w:val="berschrift4Zchn"/>
          <w:b/>
          <w:bCs/>
        </w:rPr>
        <w:t>Figure 5</w:t>
      </w:r>
      <w:r w:rsidRPr="00617241">
        <w:rPr>
          <w:rStyle w:val="berschrift4Zchn"/>
        </w:rPr>
        <w:t xml:space="preserve"> Average values for pH and EC</w:t>
      </w:r>
      <w:r>
        <w:rPr>
          <w:rStyle w:val="berschrift4Zchn"/>
        </w:rPr>
        <w:t xml:space="preserve"> </w:t>
      </w:r>
      <w:proofErr w:type="spellStart"/>
      <w:r>
        <w:rPr>
          <w:rStyle w:val="berschrift4Zchn"/>
        </w:rPr>
        <w:t>dS</w:t>
      </w:r>
      <w:proofErr w:type="spellEnd"/>
      <w:r>
        <w:rPr>
          <w:rStyle w:val="berschrift4Zchn"/>
        </w:rPr>
        <w:t xml:space="preserve"> m</w:t>
      </w:r>
      <w:r w:rsidRPr="00FB1CC8">
        <w:rPr>
          <w:rStyle w:val="berschrift4Zchn"/>
          <w:vertAlign w:val="superscript"/>
        </w:rPr>
        <w:t>-1</w:t>
      </w:r>
      <w:r w:rsidRPr="00617241">
        <w:rPr>
          <w:rStyle w:val="berschrift4Zchn"/>
        </w:rPr>
        <w:t xml:space="preserve"> for the duration of the experiment monitored biweekly and adjusted as necessary for ideal growth conditions for hydroponic greenhouse cultivation of tomatoes, as described by </w:t>
      </w:r>
      <w:r w:rsidRPr="00617241">
        <w:rPr>
          <w:rStyle w:val="berschrift4Zchn"/>
        </w:rPr>
        <w:fldChar w:fldCharType="begin" w:fldLock="1"/>
      </w:r>
      <w:r>
        <w:rPr>
          <w:rStyle w:val="berschrift4Zchn"/>
        </w:rPr>
        <w:instrText>ADDIN CSL_CITATION {"citationItems":[{"id":"ITEM-1","itemData":{"author":[{"dropping-particle":"","family":"Kreij, C., Voogt, W., Van den Bos, A.L. and Baas","given":"R.","non-dropping-particle":"De","parse-names":false,"suffix":""}],"container-title":"Proefstation voor Bloemisterij en Glasgroente, Naaldwijk/Aalsmeer","id":"ITEM-1","issued":{"date-parts":[["1997"]]},"number-of-pages":"21pp","title":"Voedingsoplossingen gesloten teeltsystemen, Tomaat.","type":"report","volume":"Brochure V"},"uris":["http://www.mendeley.com/documents/?uuid=d74ddd75-fbe6-4473-b8de-c07444542166"]}],"mendeley":{"formattedCitation":"(De Kreij, C., Voogt, W., Van den Bos, A.L. and Baas 1997)","manualFormatting":"(De Kreij et al., 1997)","plainTextFormattedCitation":"(De Kreij, C., Voogt, W., Van den Bos, A.L. and Baas 1997)","previouslyFormattedCitation":"(De Kreij, C., Voogt, W., Van den Bos, A.L. and Baas 1997)"},"properties":{"noteIndex":0},"schema":"https://github.com/citation-style-language/schema/raw/master/csl-citation.json"}</w:instrText>
      </w:r>
      <w:r w:rsidRPr="00617241">
        <w:rPr>
          <w:rStyle w:val="berschrift4Zchn"/>
        </w:rPr>
        <w:fldChar w:fldCharType="separate"/>
      </w:r>
      <w:r w:rsidRPr="00617241">
        <w:rPr>
          <w:rStyle w:val="berschrift4Zchn"/>
          <w:noProof/>
        </w:rPr>
        <w:t>(De Kreij et al., 1997)</w:t>
      </w:r>
      <w:r w:rsidRPr="00617241">
        <w:rPr>
          <w:rStyle w:val="berschrift4Zchn"/>
        </w:rPr>
        <w:fldChar w:fldCharType="end"/>
      </w:r>
      <w:r>
        <w:rPr>
          <w:rStyle w:val="berschrift4Zchn"/>
        </w:rPr>
        <w:t>.</w:t>
      </w:r>
    </w:p>
    <w:p w:rsidR="00074F69" w:rsidRDefault="00074F69" w:rsidP="00074F69">
      <w:pPr>
        <w:pStyle w:val="Beschriftung"/>
        <w:rPr>
          <w:rFonts w:cs="Calibri Light"/>
          <w:b/>
          <w:szCs w:val="22"/>
        </w:rPr>
      </w:pPr>
      <w:r>
        <w:rPr>
          <w:rFonts w:cs="Calibri Light"/>
          <w:b/>
          <w:szCs w:val="22"/>
        </w:rPr>
        <w:br w:type="page"/>
      </w:r>
    </w:p>
    <w:p w:rsidR="00074F69" w:rsidRPr="00DF0A93" w:rsidRDefault="00074F69" w:rsidP="00074F69">
      <w:pPr>
        <w:pStyle w:val="berschrift2"/>
      </w:pPr>
      <w:r w:rsidRPr="00DF0A93">
        <w:lastRenderedPageBreak/>
        <w:t>Appendix C – Climatic conditions</w:t>
      </w:r>
    </w:p>
    <w:p w:rsidR="00074F69" w:rsidRPr="005F2AE4" w:rsidRDefault="00074F69" w:rsidP="00074F69">
      <w:pPr>
        <w:jc w:val="center"/>
        <w:rPr>
          <w:rFonts w:cs="Calibri Light"/>
          <w:b/>
          <w:bCs/>
          <w:sz w:val="28"/>
          <w:szCs w:val="28"/>
        </w:rPr>
      </w:pPr>
    </w:p>
    <w:p w:rsidR="00074F69" w:rsidRDefault="00074F69" w:rsidP="00AE4345">
      <w:pPr>
        <w:keepNext/>
        <w:jc w:val="center"/>
      </w:pPr>
      <w:r>
        <w:rPr>
          <w:noProof/>
          <w:lang w:val="de-DE" w:eastAsia="de-DE"/>
        </w:rPr>
        <w:drawing>
          <wp:inline distT="0" distB="0" distL="0" distR="0" wp14:anchorId="07DA59FF" wp14:editId="5EBB4E52">
            <wp:extent cx="5844209" cy="57791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6_Temp_PAR_2.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47690" cy="5782577"/>
                    </a:xfrm>
                    <a:prstGeom prst="rect">
                      <a:avLst/>
                    </a:prstGeom>
                  </pic:spPr>
                </pic:pic>
              </a:graphicData>
            </a:graphic>
          </wp:inline>
        </w:drawing>
      </w:r>
    </w:p>
    <w:p w:rsidR="00074F69" w:rsidRDefault="00074F69" w:rsidP="00AE4345">
      <w:pPr>
        <w:pStyle w:val="Beschriftung"/>
        <w:jc w:val="center"/>
        <w:rPr>
          <w:rFonts w:cs="Calibri Light"/>
          <w:b/>
          <w:szCs w:val="22"/>
        </w:rPr>
      </w:pPr>
      <w:r w:rsidRPr="004F5414">
        <w:rPr>
          <w:b/>
        </w:rPr>
        <w:t>Figure 6</w:t>
      </w:r>
      <w:r>
        <w:t xml:space="preserve"> Average internal temperature and Photosynthetic active radiation (PAR) for the duration of experimental cultivation for both greenhouse cabins.</w:t>
      </w:r>
    </w:p>
    <w:p w:rsidR="00074F69" w:rsidRDefault="00074F69" w:rsidP="00074F69">
      <w:pPr>
        <w:rPr>
          <w:rFonts w:cs="Calibri Light"/>
          <w:b/>
          <w:bCs/>
          <w:szCs w:val="22"/>
        </w:rPr>
      </w:pPr>
    </w:p>
    <w:p w:rsidR="00074F69" w:rsidRDefault="00074F69" w:rsidP="00AE4345">
      <w:pPr>
        <w:keepNext/>
        <w:jc w:val="center"/>
      </w:pPr>
      <w:r>
        <w:rPr>
          <w:noProof/>
          <w:lang w:val="de-DE" w:eastAsia="de-DE"/>
        </w:rPr>
        <w:lastRenderedPageBreak/>
        <w:drawing>
          <wp:inline distT="0" distB="0" distL="0" distR="0" wp14:anchorId="52B892F4" wp14:editId="0DEA7B74">
            <wp:extent cx="5772647" cy="48602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7_Hmidity_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72647" cy="4860290"/>
                    </a:xfrm>
                    <a:prstGeom prst="rect">
                      <a:avLst/>
                    </a:prstGeom>
                  </pic:spPr>
                </pic:pic>
              </a:graphicData>
            </a:graphic>
          </wp:inline>
        </w:drawing>
      </w:r>
    </w:p>
    <w:p w:rsidR="00074F69" w:rsidRDefault="00074F69" w:rsidP="00AE4345">
      <w:pPr>
        <w:pStyle w:val="Beschriftung"/>
        <w:jc w:val="center"/>
      </w:pPr>
      <w:r w:rsidRPr="004F5414">
        <w:rPr>
          <w:b/>
        </w:rPr>
        <w:t>Figure 7</w:t>
      </w:r>
      <w:r>
        <w:t xml:space="preserve"> Average internal relative humidity (%) for the duration of experimental cultivation (17.04.2019 – 11.04.2019) for both greenhouse cabin.</w:t>
      </w:r>
    </w:p>
    <w:p w:rsidR="00074F69" w:rsidRPr="008140C1" w:rsidRDefault="00074F69" w:rsidP="00074F69"/>
    <w:p w:rsidR="00074F69" w:rsidRDefault="00074F69" w:rsidP="00074F69">
      <w:pPr>
        <w:rPr>
          <w:rFonts w:cs="Calibri Light"/>
          <w:b/>
          <w:bCs/>
          <w:szCs w:val="22"/>
        </w:rPr>
      </w:pPr>
    </w:p>
    <w:p w:rsidR="00074F69" w:rsidRDefault="00074F69" w:rsidP="00074F69">
      <w:pPr>
        <w:rPr>
          <w:rFonts w:cs="Calibri Light"/>
          <w:b/>
          <w:bCs/>
          <w:szCs w:val="22"/>
        </w:rPr>
      </w:pPr>
    </w:p>
    <w:p w:rsidR="00074F69" w:rsidRDefault="00074F69" w:rsidP="00074F69">
      <w:pPr>
        <w:rPr>
          <w:rFonts w:cs="Calibri Light"/>
          <w:b/>
          <w:bCs/>
          <w:szCs w:val="22"/>
        </w:rPr>
      </w:pPr>
    </w:p>
    <w:p w:rsidR="00074F69" w:rsidRDefault="00074F69" w:rsidP="00074F69">
      <w:pPr>
        <w:rPr>
          <w:rFonts w:cs="Calibri Light"/>
          <w:b/>
          <w:bCs/>
          <w:szCs w:val="22"/>
        </w:rPr>
      </w:pPr>
    </w:p>
    <w:p w:rsidR="00074F69" w:rsidRDefault="00074F69" w:rsidP="00074F69">
      <w:pPr>
        <w:rPr>
          <w:rFonts w:cs="Calibri Light"/>
          <w:b/>
          <w:bCs/>
          <w:szCs w:val="22"/>
        </w:rPr>
      </w:pPr>
    </w:p>
    <w:p w:rsidR="00074F69" w:rsidRDefault="00074F69" w:rsidP="00074F69">
      <w:pPr>
        <w:rPr>
          <w:rFonts w:cs="Calibri Light"/>
          <w:b/>
          <w:bCs/>
          <w:szCs w:val="22"/>
        </w:rPr>
      </w:pPr>
    </w:p>
    <w:p w:rsidR="00074F69" w:rsidRDefault="00074F69" w:rsidP="00074F69">
      <w:pPr>
        <w:rPr>
          <w:rFonts w:cs="Calibri Light"/>
          <w:b/>
          <w:bCs/>
          <w:szCs w:val="22"/>
        </w:rPr>
      </w:pPr>
    </w:p>
    <w:p w:rsidR="00074F69" w:rsidRDefault="00074F69" w:rsidP="00074F69">
      <w:pPr>
        <w:rPr>
          <w:rFonts w:cs="Calibri Light"/>
          <w:b/>
          <w:bCs/>
          <w:szCs w:val="22"/>
        </w:rPr>
      </w:pPr>
    </w:p>
    <w:p w:rsidR="00074F69" w:rsidRDefault="00074F69" w:rsidP="00074F69">
      <w:pPr>
        <w:rPr>
          <w:rFonts w:cs="Calibri Light"/>
          <w:b/>
          <w:bCs/>
          <w:szCs w:val="22"/>
        </w:rPr>
      </w:pPr>
    </w:p>
    <w:p w:rsidR="00074F69" w:rsidRDefault="00074F69" w:rsidP="00074F69">
      <w:pPr>
        <w:rPr>
          <w:rFonts w:cs="Calibri Light"/>
          <w:b/>
          <w:bCs/>
          <w:szCs w:val="22"/>
        </w:rPr>
      </w:pPr>
    </w:p>
    <w:p w:rsidR="00074F69" w:rsidRDefault="00074F69" w:rsidP="00074F69">
      <w:pPr>
        <w:rPr>
          <w:rFonts w:cs="Calibri Light"/>
          <w:b/>
          <w:bCs/>
          <w:szCs w:val="22"/>
        </w:rPr>
      </w:pPr>
    </w:p>
    <w:p w:rsidR="00074F69" w:rsidRPr="001731AD" w:rsidRDefault="00074F69" w:rsidP="00074F69">
      <w:pPr>
        <w:keepNext/>
        <w:spacing w:line="240" w:lineRule="auto"/>
        <w:rPr>
          <w:rFonts w:cs="Calibri Light"/>
          <w:b/>
          <w:szCs w:val="22"/>
        </w:rPr>
      </w:pPr>
      <w:r>
        <w:rPr>
          <w:rFonts w:cs="Calibri Light"/>
          <w:b/>
          <w:szCs w:val="22"/>
        </w:rPr>
        <w:br w:type="page"/>
      </w:r>
    </w:p>
    <w:p w:rsidR="00074F69" w:rsidRPr="00AE4345" w:rsidRDefault="00074F69" w:rsidP="00074F69">
      <w:pPr>
        <w:pStyle w:val="berschrift2"/>
        <w:rPr>
          <w:color w:val="538135" w:themeColor="accent6" w:themeShade="BF"/>
        </w:rPr>
      </w:pPr>
      <w:r w:rsidRPr="00AE4345">
        <w:rPr>
          <w:color w:val="538135" w:themeColor="accent6" w:themeShade="BF"/>
        </w:rPr>
        <w:lastRenderedPageBreak/>
        <w:t>Appendix D – GHG Emissions</w:t>
      </w:r>
    </w:p>
    <w:p w:rsidR="00074F69" w:rsidRPr="00AE4345" w:rsidRDefault="00074F69" w:rsidP="00074F69">
      <w:pPr>
        <w:keepNext/>
        <w:spacing w:line="240" w:lineRule="auto"/>
        <w:rPr>
          <w:color w:val="538135" w:themeColor="accent6" w:themeShade="BF"/>
        </w:rPr>
      </w:pPr>
      <w:r w:rsidRPr="00AE4345">
        <w:rPr>
          <w:noProof/>
          <w:color w:val="538135" w:themeColor="accent6" w:themeShade="BF"/>
          <w:lang w:val="de-DE" w:eastAsia="de-DE"/>
        </w:rPr>
        <mc:AlternateContent>
          <mc:Choice Requires="wps">
            <w:drawing>
              <wp:anchor distT="0" distB="0" distL="114300" distR="114300" simplePos="0" relativeHeight="251660288" behindDoc="1" locked="0" layoutInCell="1" allowOverlap="1" wp14:anchorId="778EB853" wp14:editId="39424848">
                <wp:simplePos x="0" y="0"/>
                <wp:positionH relativeFrom="column">
                  <wp:posOffset>-23882</wp:posOffset>
                </wp:positionH>
                <wp:positionV relativeFrom="paragraph">
                  <wp:posOffset>4259994</wp:posOffset>
                </wp:positionV>
                <wp:extent cx="5943600" cy="635"/>
                <wp:effectExtent l="0" t="0" r="0" b="12065"/>
                <wp:wrapTight wrapText="bothSides">
                  <wp:wrapPolygon edited="0">
                    <wp:start x="0" y="0"/>
                    <wp:lineTo x="0" y="0"/>
                    <wp:lineTo x="21554" y="0"/>
                    <wp:lineTo x="21554"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rsidR="00074F69" w:rsidRPr="00AE4345" w:rsidRDefault="00074F69" w:rsidP="00074F69">
                            <w:pPr>
                              <w:pStyle w:val="berschrift4"/>
                              <w:rPr>
                                <w:color w:val="538135" w:themeColor="accent6" w:themeShade="BF"/>
                              </w:rPr>
                            </w:pPr>
                            <w:r w:rsidRPr="00AE4345">
                              <w:rPr>
                                <w:b/>
                                <w:color w:val="538135" w:themeColor="accent6" w:themeShade="BF"/>
                              </w:rPr>
                              <w:t>Figure 8</w:t>
                            </w:r>
                            <w:r w:rsidRPr="00AE4345">
                              <w:rPr>
                                <w:color w:val="538135" w:themeColor="accent6" w:themeShade="BF"/>
                              </w:rPr>
                              <w:t xml:space="preserve"> CO</w:t>
                            </w:r>
                            <w:r w:rsidRPr="00AE4345">
                              <w:rPr>
                                <w:color w:val="538135" w:themeColor="accent6" w:themeShade="BF"/>
                                <w:vertAlign w:val="subscript"/>
                              </w:rPr>
                              <w:t>2</w:t>
                            </w:r>
                            <w:r w:rsidRPr="00AE4345">
                              <w:rPr>
                                <w:color w:val="538135" w:themeColor="accent6" w:themeShade="BF"/>
                              </w:rPr>
                              <w:t xml:space="preserve"> fluxes during the experiment, expressed as mean daily CO</w:t>
                            </w:r>
                            <w:r w:rsidRPr="00AE4345">
                              <w:rPr>
                                <w:color w:val="538135" w:themeColor="accent6" w:themeShade="BF"/>
                                <w:vertAlign w:val="subscript"/>
                              </w:rPr>
                              <w:t>2</w:t>
                            </w:r>
                            <w:r w:rsidRPr="00AE4345">
                              <w:rPr>
                                <w:color w:val="538135" w:themeColor="accent6" w:themeShade="BF"/>
                              </w:rPr>
                              <w:t xml:space="preserve"> emissions for the different fertilizer treatments (n = 3) over eight gas sampling measurements.</w:t>
                            </w:r>
                          </w:p>
                          <w:p w:rsidR="00074F69" w:rsidRPr="00A60606" w:rsidRDefault="00074F69" w:rsidP="00074F69">
                            <w:pPr>
                              <w:pStyle w:val="berschrift4"/>
                              <w:rPr>
                                <w:rFonts w:eastAsia="Times New Roman" w:cs="Calibri Light"/>
                                <w:b/>
                                <w:sz w:val="22"/>
                                <w:szCs w:val="22"/>
                              </w:rPr>
                            </w:pPr>
                            <w:r w:rsidRPr="00AE4345">
                              <w:rPr>
                                <w:color w:val="538135" w:themeColor="accent6" w:themeShade="BF"/>
                              </w:rPr>
                              <w:t xml:space="preserve">NPK = mineral control; CRO = ‘Crop’ treatment; S+V = Struvite &amp; </w:t>
                            </w:r>
                            <w:proofErr w:type="spellStart"/>
                            <w:r w:rsidRPr="00AE4345">
                              <w:rPr>
                                <w:color w:val="538135" w:themeColor="accent6" w:themeShade="BF"/>
                              </w:rPr>
                              <w:t>Vinasse</w:t>
                            </w:r>
                            <w:proofErr w:type="spellEnd"/>
                            <w:r w:rsidRPr="00AE4345">
                              <w:rPr>
                                <w:color w:val="538135" w:themeColor="accent6" w:themeShade="BF"/>
                              </w:rPr>
                              <w:t xml:space="preserve"> treatment; AUR = ‘</w:t>
                            </w:r>
                            <w:proofErr w:type="spellStart"/>
                            <w:r w:rsidRPr="00AE4345">
                              <w:rPr>
                                <w:color w:val="538135" w:themeColor="accent6" w:themeShade="BF"/>
                              </w:rPr>
                              <w:t>Aurin</w:t>
                            </w:r>
                            <w:proofErr w:type="spellEnd"/>
                            <w:r w:rsidRPr="00AE4345">
                              <w:rPr>
                                <w:color w:val="538135" w:themeColor="accent6" w:themeShade="BF"/>
                              </w:rPr>
                              <w:t>’ treatment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78EB853" id="_x0000_t202" coordsize="21600,21600" o:spt="202" path="m,l,21600r21600,l21600,xe">
                <v:stroke joinstyle="miter"/>
                <v:path gradientshapeok="t" o:connecttype="rect"/>
              </v:shapetype>
              <v:shape id="Text Box 6" o:spid="_x0000_s1026" type="#_x0000_t202" style="position:absolute;margin-left:-1.9pt;margin-top:335.45pt;width:468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" stroked="f">
                <v:textbox style="mso-fit-shape-to-text:t" inset="0,0,0,0">
                  <w:txbxContent>
                    <w:p w:rsidR="00074F69" w:rsidRPr="00AE4345" w:rsidRDefault="00074F69" w:rsidP="00074F69">
                      <w:pPr>
                        <w:pStyle w:val="berschrift4"/>
                        <w:rPr>
                          <w:color w:val="538135" w:themeColor="accent6" w:themeShade="BF"/>
                        </w:rPr>
                      </w:pPr>
                      <w:r w:rsidRPr="00AE4345">
                        <w:rPr>
                          <w:b/>
                          <w:color w:val="538135" w:themeColor="accent6" w:themeShade="BF"/>
                        </w:rPr>
                        <w:t>Figure 8</w:t>
                      </w:r>
                      <w:r w:rsidRPr="00AE4345">
                        <w:rPr>
                          <w:color w:val="538135" w:themeColor="accent6" w:themeShade="BF"/>
                        </w:rPr>
                        <w:t xml:space="preserve"> CO</w:t>
                      </w:r>
                      <w:r w:rsidRPr="00AE4345">
                        <w:rPr>
                          <w:color w:val="538135" w:themeColor="accent6" w:themeShade="BF"/>
                          <w:vertAlign w:val="subscript"/>
                        </w:rPr>
                        <w:t>2</w:t>
                      </w:r>
                      <w:r w:rsidRPr="00AE4345">
                        <w:rPr>
                          <w:color w:val="538135" w:themeColor="accent6" w:themeShade="BF"/>
                        </w:rPr>
                        <w:t xml:space="preserve"> fluxes during the experiment, expressed as mean daily CO</w:t>
                      </w:r>
                      <w:r w:rsidRPr="00AE4345">
                        <w:rPr>
                          <w:color w:val="538135" w:themeColor="accent6" w:themeShade="BF"/>
                          <w:vertAlign w:val="subscript"/>
                        </w:rPr>
                        <w:t>2</w:t>
                      </w:r>
                      <w:r w:rsidRPr="00AE4345">
                        <w:rPr>
                          <w:color w:val="538135" w:themeColor="accent6" w:themeShade="BF"/>
                        </w:rPr>
                        <w:t xml:space="preserve"> emissions for the different fertilizer treatments (n = 3) over eight gas sampling measurements.</w:t>
                      </w:r>
                    </w:p>
                    <w:p w:rsidR="00074F69" w:rsidRPr="00A60606" w:rsidRDefault="00074F69" w:rsidP="00074F69">
                      <w:pPr>
                        <w:pStyle w:val="berschrift4"/>
                        <w:rPr>
                          <w:rFonts w:eastAsia="Times New Roman" w:cs="Calibri Light"/>
                          <w:b/>
                          <w:sz w:val="22"/>
                          <w:szCs w:val="22"/>
                        </w:rPr>
                      </w:pPr>
                      <w:r w:rsidRPr="00AE4345">
                        <w:rPr>
                          <w:color w:val="538135" w:themeColor="accent6" w:themeShade="BF"/>
                        </w:rPr>
                        <w:t xml:space="preserve">NPK = mineral control; CRO = ‘Crop’ treatment; S+V = Struvite &amp; </w:t>
                      </w:r>
                      <w:proofErr w:type="spellStart"/>
                      <w:r w:rsidRPr="00AE4345">
                        <w:rPr>
                          <w:color w:val="538135" w:themeColor="accent6" w:themeShade="BF"/>
                        </w:rPr>
                        <w:t>Vinasse</w:t>
                      </w:r>
                      <w:proofErr w:type="spellEnd"/>
                      <w:r w:rsidRPr="00AE4345">
                        <w:rPr>
                          <w:color w:val="538135" w:themeColor="accent6" w:themeShade="BF"/>
                        </w:rPr>
                        <w:t xml:space="preserve"> treatment; AUR = ‘</w:t>
                      </w:r>
                      <w:proofErr w:type="spellStart"/>
                      <w:r w:rsidRPr="00AE4345">
                        <w:rPr>
                          <w:color w:val="538135" w:themeColor="accent6" w:themeShade="BF"/>
                        </w:rPr>
                        <w:t>Aurin</w:t>
                      </w:r>
                      <w:proofErr w:type="spellEnd"/>
                      <w:r w:rsidRPr="00AE4345">
                        <w:rPr>
                          <w:color w:val="538135" w:themeColor="accent6" w:themeShade="BF"/>
                        </w:rPr>
                        <w:t>’ treatment</w:t>
                      </w:r>
                    </w:p>
                  </w:txbxContent>
                </v:textbox>
                <w10:wrap type="tight"/>
              </v:shape>
            </w:pict>
          </mc:Fallback>
        </mc:AlternateContent>
      </w:r>
      <w:r w:rsidRPr="00AE4345">
        <w:rPr>
          <w:rFonts w:eastAsiaTheme="majorEastAsia" w:cs="Calibri Light"/>
          <w:b/>
          <w:bCs/>
          <w:iCs/>
          <w:noProof/>
          <w:color w:val="538135" w:themeColor="accent6" w:themeShade="BF"/>
          <w:sz w:val="18"/>
          <w:szCs w:val="22"/>
          <w:lang w:val="de-DE" w:eastAsia="de-DE"/>
        </w:rPr>
        <w:drawing>
          <wp:anchor distT="0" distB="0" distL="114300" distR="114300" simplePos="0" relativeHeight="251659264" behindDoc="1" locked="0" layoutInCell="1" allowOverlap="1" wp14:anchorId="3EDBBD03" wp14:editId="0EEEE12D">
            <wp:simplePos x="0" y="0"/>
            <wp:positionH relativeFrom="column">
              <wp:posOffset>-23882</wp:posOffset>
            </wp:positionH>
            <wp:positionV relativeFrom="paragraph">
              <wp:posOffset>251874</wp:posOffset>
            </wp:positionV>
            <wp:extent cx="5943600" cy="3950970"/>
            <wp:effectExtent l="19050" t="19050" r="19050" b="11430"/>
            <wp:wrapTight wrapText="bothSides">
              <wp:wrapPolygon edited="0">
                <wp:start x="-69" y="-104"/>
                <wp:lineTo x="-69" y="21558"/>
                <wp:lineTo x="21600" y="21558"/>
                <wp:lineTo x="21600" y="-104"/>
                <wp:lineTo x="-69" y="-104"/>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2-emissions.png"/>
                    <pic:cNvPicPr/>
                  </pic:nvPicPr>
                  <pic:blipFill>
                    <a:blip r:embed="rId7">
                      <a:extLst>
                        <a:ext uri="{28A0092B-C50C-407E-A947-70E740481C1C}">
                          <a14:useLocalDpi xmlns:a14="http://schemas.microsoft.com/office/drawing/2010/main" val="0"/>
                        </a:ext>
                      </a:extLst>
                    </a:blip>
                    <a:stretch>
                      <a:fillRect/>
                    </a:stretch>
                  </pic:blipFill>
                  <pic:spPr>
                    <a:xfrm>
                      <a:off x="0" y="0"/>
                      <a:ext cx="5943600" cy="3950970"/>
                    </a:xfrm>
                    <a:prstGeom prst="rect">
                      <a:avLst/>
                    </a:prstGeom>
                    <a:solidFill>
                      <a:schemeClr val="bg1"/>
                    </a:solidFill>
                    <a:ln>
                      <a:solidFill>
                        <a:schemeClr val="tx1"/>
                      </a:solidFill>
                    </a:ln>
                  </pic:spPr>
                </pic:pic>
              </a:graphicData>
            </a:graphic>
            <wp14:sizeRelH relativeFrom="page">
              <wp14:pctWidth>0</wp14:pctWidth>
            </wp14:sizeRelH>
            <wp14:sizeRelV relativeFrom="page">
              <wp14:pctHeight>0</wp14:pctHeight>
            </wp14:sizeRelV>
          </wp:anchor>
        </w:drawing>
      </w:r>
      <w:r w:rsidRPr="00AE4345">
        <w:rPr>
          <w:b/>
          <w:color w:val="538135" w:themeColor="accent6" w:themeShade="BF"/>
          <w:sz w:val="28"/>
          <w:szCs w:val="28"/>
        </w:rPr>
        <w:br w:type="page"/>
      </w:r>
    </w:p>
    <w:p w:rsidR="00074F69" w:rsidRPr="005F2AE4" w:rsidRDefault="00074F69" w:rsidP="00074F69">
      <w:pPr>
        <w:pStyle w:val="berschrift2"/>
      </w:pPr>
      <w:r w:rsidRPr="005F2AE4">
        <w:lastRenderedPageBreak/>
        <w:t xml:space="preserve">Appendix </w:t>
      </w:r>
      <w:r>
        <w:t>E</w:t>
      </w:r>
      <w:r w:rsidRPr="005F2AE4">
        <w:t xml:space="preserve"> – Equipment</w:t>
      </w:r>
      <w:r>
        <w:t xml:space="preserve"> and Experiment</w:t>
      </w:r>
    </w:p>
    <w:p w:rsidR="00074F69" w:rsidRDefault="00074F69" w:rsidP="00AE4345">
      <w:pPr>
        <w:pStyle w:val="Beschriftung"/>
        <w:jc w:val="center"/>
      </w:pPr>
      <w:r>
        <w:rPr>
          <w:noProof/>
          <w:lang w:val="de-DE" w:eastAsia="de-DE"/>
        </w:rPr>
        <w:drawing>
          <wp:inline distT="0" distB="0" distL="0" distR="0" wp14:anchorId="7D4140F4" wp14:editId="4B65C707">
            <wp:extent cx="3848100" cy="43884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s_chamber.jpg"/>
                    <pic:cNvPicPr/>
                  </pic:nvPicPr>
                  <pic:blipFill rotWithShape="1">
                    <a:blip r:embed="rId8">
                      <a:extLst>
                        <a:ext uri="{28A0092B-C50C-407E-A947-70E740481C1C}">
                          <a14:useLocalDpi xmlns:a14="http://schemas.microsoft.com/office/drawing/2010/main" val="0"/>
                        </a:ext>
                      </a:extLst>
                    </a:blip>
                    <a:srcRect t="16494" r="2407"/>
                    <a:stretch/>
                  </pic:blipFill>
                  <pic:spPr bwMode="auto">
                    <a:xfrm>
                      <a:off x="0" y="0"/>
                      <a:ext cx="3861268" cy="4403502"/>
                    </a:xfrm>
                    <a:prstGeom prst="rect">
                      <a:avLst/>
                    </a:prstGeom>
                    <a:ln>
                      <a:noFill/>
                    </a:ln>
                    <a:extLst>
                      <a:ext uri="{53640926-AAD7-44D8-BBD7-CCE9431645EC}">
                        <a14:shadowObscured xmlns:a14="http://schemas.microsoft.com/office/drawing/2010/main"/>
                      </a:ext>
                    </a:extLst>
                  </pic:spPr>
                </pic:pic>
              </a:graphicData>
            </a:graphic>
          </wp:inline>
        </w:drawing>
      </w:r>
    </w:p>
    <w:p w:rsidR="00074F69" w:rsidRPr="00DF0A93" w:rsidRDefault="00074F69" w:rsidP="00AE4345">
      <w:pPr>
        <w:pStyle w:val="Beschriftung"/>
        <w:jc w:val="center"/>
      </w:pPr>
      <w:r w:rsidRPr="00DF0A93">
        <w:rPr>
          <w:b/>
        </w:rPr>
        <w:t>Figure 9</w:t>
      </w:r>
      <w:r w:rsidRPr="00DF0A93">
        <w:t xml:space="preserve"> Gas flux chamber set-up.</w:t>
      </w:r>
    </w:p>
    <w:p w:rsidR="00074F69" w:rsidRPr="00F52E83" w:rsidRDefault="00074F69" w:rsidP="00AE4345">
      <w:pPr>
        <w:jc w:val="center"/>
      </w:pPr>
    </w:p>
    <w:p w:rsidR="00074F69" w:rsidRDefault="00074F69" w:rsidP="00AE4345">
      <w:pPr>
        <w:keepNext/>
        <w:jc w:val="center"/>
      </w:pPr>
      <w:r>
        <w:rPr>
          <w:noProof/>
          <w:lang w:val="de-DE" w:eastAsia="de-DE"/>
        </w:rPr>
        <w:drawing>
          <wp:inline distT="0" distB="0" distL="0" distR="0" wp14:anchorId="1A913116" wp14:editId="4F14CECA">
            <wp:extent cx="4995333" cy="2809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s_chamber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96624" cy="2810601"/>
                    </a:xfrm>
                    <a:prstGeom prst="rect">
                      <a:avLst/>
                    </a:prstGeom>
                  </pic:spPr>
                </pic:pic>
              </a:graphicData>
            </a:graphic>
          </wp:inline>
        </w:drawing>
      </w:r>
    </w:p>
    <w:p w:rsidR="00074F69" w:rsidRPr="001652B8" w:rsidRDefault="00074F69" w:rsidP="00AE4345">
      <w:pPr>
        <w:pStyle w:val="Beschriftung"/>
        <w:jc w:val="center"/>
      </w:pPr>
      <w:r w:rsidRPr="004F5414">
        <w:rPr>
          <w:b/>
        </w:rPr>
        <w:t xml:space="preserve">Figure </w:t>
      </w:r>
      <w:r>
        <w:rPr>
          <w:b/>
        </w:rPr>
        <w:t>10</w:t>
      </w:r>
      <w:r>
        <w:t xml:space="preserve"> Gas flux chamber set up without foil covering.</w:t>
      </w:r>
    </w:p>
    <w:p w:rsidR="00074F69" w:rsidRDefault="00074F69" w:rsidP="00074F69"/>
    <w:p w:rsidR="00074F69" w:rsidRDefault="00074F69" w:rsidP="00074F69"/>
    <w:p w:rsidR="00074F69" w:rsidRDefault="00074F69" w:rsidP="00074F69"/>
    <w:p w:rsidR="00074F69" w:rsidRDefault="00074F69" w:rsidP="00074F69">
      <w:r w:rsidRPr="000205D2">
        <w:rPr>
          <w:noProof/>
          <w:lang w:val="de-DE" w:eastAsia="de-DE"/>
        </w:rPr>
        <w:drawing>
          <wp:inline distT="0" distB="0" distL="0" distR="0" wp14:anchorId="6C4E0541" wp14:editId="082C81B5">
            <wp:extent cx="4128000" cy="3096000"/>
            <wp:effectExtent l="0" t="0" r="6350" b="9525"/>
            <wp:docPr id="8" name="Grafik 8" descr="C:\Users\user\Desktop\Hydro\fotos\20190423_092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ydro\fotos\20190423_0921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28000" cy="3096000"/>
                    </a:xfrm>
                    <a:prstGeom prst="rect">
                      <a:avLst/>
                    </a:prstGeom>
                    <a:noFill/>
                    <a:ln>
                      <a:noFill/>
                    </a:ln>
                  </pic:spPr>
                </pic:pic>
              </a:graphicData>
            </a:graphic>
          </wp:inline>
        </w:drawing>
      </w:r>
      <w:r w:rsidRPr="00CC0608">
        <w:rPr>
          <w:noProof/>
          <w:lang w:val="de-DE" w:eastAsia="de-DE"/>
        </w:rPr>
        <w:drawing>
          <wp:inline distT="0" distB="0" distL="0" distR="0" wp14:anchorId="2E78B03B" wp14:editId="670D991A">
            <wp:extent cx="1750566" cy="3096000"/>
            <wp:effectExtent l="0" t="0" r="2540" b="0"/>
            <wp:docPr id="11" name="Grafik 11" descr="C:\Users\user\Desktop\Hydro\fotos\IMAG2577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Hydro\fotos\IMAG2577 - Kopi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566" cy="3096000"/>
                    </a:xfrm>
                    <a:prstGeom prst="rect">
                      <a:avLst/>
                    </a:prstGeom>
                    <a:noFill/>
                    <a:ln>
                      <a:noFill/>
                    </a:ln>
                  </pic:spPr>
                </pic:pic>
              </a:graphicData>
            </a:graphic>
          </wp:inline>
        </w:drawing>
      </w:r>
    </w:p>
    <w:p w:rsidR="00074F69" w:rsidRPr="00AE4345" w:rsidRDefault="00074F69" w:rsidP="00074F69">
      <w:pPr>
        <w:pStyle w:val="Beschriftung"/>
        <w:rPr>
          <w:color w:val="538135" w:themeColor="accent6" w:themeShade="BF"/>
        </w:rPr>
      </w:pPr>
      <w:r w:rsidRPr="00AE4345">
        <w:rPr>
          <w:b/>
          <w:color w:val="538135" w:themeColor="accent6" w:themeShade="BF"/>
        </w:rPr>
        <w:t xml:space="preserve">Figure 11 </w:t>
      </w:r>
      <w:r w:rsidRPr="00AE4345">
        <w:rPr>
          <w:i/>
          <w:color w:val="538135" w:themeColor="accent6" w:themeShade="BF"/>
        </w:rPr>
        <w:t>Left:</w:t>
      </w:r>
      <w:r w:rsidRPr="00AE4345">
        <w:rPr>
          <w:color w:val="538135" w:themeColor="accent6" w:themeShade="BF"/>
        </w:rPr>
        <w:t xml:space="preserve"> Experimental set-up in one of the greenhouse cabins with 8 NFT troughs. </w:t>
      </w:r>
      <w:r w:rsidRPr="00AE4345">
        <w:rPr>
          <w:i/>
          <w:color w:val="538135" w:themeColor="accent6" w:themeShade="BF"/>
        </w:rPr>
        <w:t>Right</w:t>
      </w:r>
      <w:r w:rsidRPr="00AE4345">
        <w:rPr>
          <w:color w:val="538135" w:themeColor="accent6" w:themeShade="BF"/>
        </w:rPr>
        <w:t>: transplanting of tomato plants.</w:t>
      </w:r>
    </w:p>
    <w:p w:rsidR="00074F69" w:rsidRDefault="00074F69" w:rsidP="00074F69"/>
    <w:p w:rsidR="00074F69" w:rsidRDefault="00074F69" w:rsidP="00AE4345">
      <w:pPr>
        <w:jc w:val="center"/>
      </w:pPr>
      <w:r w:rsidRPr="001731AD">
        <w:rPr>
          <w:noProof/>
          <w:lang w:val="de-DE" w:eastAsia="de-DE"/>
        </w:rPr>
        <w:drawing>
          <wp:inline distT="0" distB="0" distL="0" distR="0" wp14:anchorId="0FB77A34" wp14:editId="0CD7C4C2">
            <wp:extent cx="3621934" cy="2037338"/>
            <wp:effectExtent l="0" t="7937" r="9207" b="9208"/>
            <wp:docPr id="10" name="Grafik 10" descr="C:\Users\user\Desktop\Hydro\fotos\20190625_154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ydro\fotos\20190625_15495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624647" cy="2038864"/>
                    </a:xfrm>
                    <a:prstGeom prst="rect">
                      <a:avLst/>
                    </a:prstGeom>
                    <a:noFill/>
                    <a:ln>
                      <a:noFill/>
                    </a:ln>
                  </pic:spPr>
                </pic:pic>
              </a:graphicData>
            </a:graphic>
          </wp:inline>
        </w:drawing>
      </w:r>
    </w:p>
    <w:p w:rsidR="00074F69" w:rsidRPr="00AE4345" w:rsidRDefault="00074F69" w:rsidP="00AE4345">
      <w:pPr>
        <w:pStyle w:val="Beschriftung"/>
        <w:jc w:val="center"/>
        <w:rPr>
          <w:color w:val="538135" w:themeColor="accent6" w:themeShade="BF"/>
        </w:rPr>
      </w:pPr>
      <w:r w:rsidRPr="00AE4345">
        <w:rPr>
          <w:b/>
          <w:color w:val="538135" w:themeColor="accent6" w:themeShade="BF"/>
        </w:rPr>
        <w:t>Figure 12</w:t>
      </w:r>
      <w:r w:rsidRPr="00AE4345">
        <w:rPr>
          <w:color w:val="538135" w:themeColor="accent6" w:themeShade="BF"/>
        </w:rPr>
        <w:t xml:space="preserve"> AUR treatment with blossom-end-rot affected tomato fruit</w:t>
      </w:r>
    </w:p>
    <w:p w:rsidR="00074F69" w:rsidRDefault="00074F69" w:rsidP="00074F69"/>
    <w:p w:rsidR="00074F69" w:rsidRDefault="00074F69" w:rsidP="00074F69"/>
    <w:p w:rsidR="00074F69" w:rsidRDefault="00074F69" w:rsidP="00074F69"/>
    <w:p w:rsidR="00074F69" w:rsidRPr="00AE4345" w:rsidRDefault="00074F69" w:rsidP="00074F69">
      <w:pPr>
        <w:pStyle w:val="berschrift2"/>
        <w:rPr>
          <w:color w:val="538135" w:themeColor="accent6" w:themeShade="BF"/>
        </w:rPr>
      </w:pPr>
      <w:r w:rsidRPr="00AE4345">
        <w:rPr>
          <w:color w:val="538135" w:themeColor="accent6" w:themeShade="BF"/>
        </w:rPr>
        <w:lastRenderedPageBreak/>
        <w:t>Appendix F – Fertilizers tested</w:t>
      </w:r>
    </w:p>
    <w:p w:rsidR="00074F69" w:rsidRDefault="00074F69" w:rsidP="00074F69">
      <w:pPr>
        <w:jc w:val="both"/>
      </w:pPr>
    </w:p>
    <w:p w:rsidR="00074F69" w:rsidRPr="008B6E7E" w:rsidRDefault="00074F69" w:rsidP="00074F69">
      <w:pPr>
        <w:jc w:val="both"/>
        <w:rPr>
          <w:color w:val="70AD47" w:themeColor="accent6"/>
          <w:lang w:val="en-US"/>
        </w:rPr>
      </w:pPr>
      <w:r w:rsidRPr="008B6E7E">
        <w:rPr>
          <w:b/>
          <w:color w:val="70AD47" w:themeColor="accent6"/>
          <w:lang w:val="en-US"/>
        </w:rPr>
        <w:t xml:space="preserve">The </w:t>
      </w:r>
      <w:r>
        <w:rPr>
          <w:b/>
          <w:color w:val="70AD47" w:themeColor="accent6"/>
          <w:lang w:val="en-US"/>
        </w:rPr>
        <w:t>novel RF and NUF</w:t>
      </w:r>
      <w:r w:rsidRPr="008B6E7E">
        <w:rPr>
          <w:b/>
          <w:color w:val="70AD47" w:themeColor="accent6"/>
          <w:lang w:val="en-US"/>
        </w:rPr>
        <w:t xml:space="preserve"> product </w:t>
      </w:r>
      <w:r>
        <w:rPr>
          <w:b/>
          <w:color w:val="70AD47" w:themeColor="accent6"/>
          <w:lang w:val="en-US"/>
        </w:rPr>
        <w:t>‘</w:t>
      </w:r>
      <w:r w:rsidRPr="008B6E7E">
        <w:rPr>
          <w:b/>
          <w:color w:val="70AD47" w:themeColor="accent6"/>
          <w:lang w:val="en-US"/>
        </w:rPr>
        <w:t>Crop</w:t>
      </w:r>
      <w:r>
        <w:rPr>
          <w:b/>
          <w:color w:val="70AD47" w:themeColor="accent6"/>
          <w:lang w:val="en-US"/>
        </w:rPr>
        <w:t>’</w:t>
      </w:r>
      <w:r w:rsidRPr="008B6E7E">
        <w:rPr>
          <w:color w:val="70AD47" w:themeColor="accent6"/>
          <w:lang w:val="en-US"/>
        </w:rPr>
        <w:t xml:space="preserve">, was provided by </w:t>
      </w:r>
      <w:r w:rsidRPr="008B6E7E">
        <w:rPr>
          <w:rFonts w:eastAsia="Calibri"/>
          <w:color w:val="70AD47" w:themeColor="accent6"/>
          <w:lang w:val="en-US"/>
        </w:rPr>
        <w:t xml:space="preserve">the project </w:t>
      </w:r>
      <w:r w:rsidRPr="008B6E7E">
        <w:rPr>
          <w:rFonts w:eastAsia="Calibri"/>
          <w:color w:val="70AD47" w:themeColor="accent6"/>
          <w:u w:val="single"/>
          <w:lang w:val="en-US"/>
        </w:rPr>
        <w:t>C</w:t>
      </w:r>
      <w:r w:rsidRPr="008B6E7E">
        <w:rPr>
          <w:rFonts w:eastAsia="Calibri"/>
          <w:color w:val="70AD47" w:themeColor="accent6"/>
          <w:lang w:val="en-US"/>
        </w:rPr>
        <w:t xml:space="preserve">ombined </w:t>
      </w:r>
      <w:r w:rsidRPr="008B6E7E">
        <w:rPr>
          <w:rFonts w:eastAsia="Calibri"/>
          <w:color w:val="70AD47" w:themeColor="accent6"/>
          <w:u w:val="single"/>
          <w:lang w:val="en-US"/>
        </w:rPr>
        <w:t>R</w:t>
      </w:r>
      <w:r w:rsidRPr="008B6E7E">
        <w:rPr>
          <w:rFonts w:eastAsia="Calibri"/>
          <w:color w:val="70AD47" w:themeColor="accent6"/>
          <w:lang w:val="en-US"/>
        </w:rPr>
        <w:t xml:space="preserve">egenerative </w:t>
      </w:r>
      <w:r w:rsidRPr="008B6E7E">
        <w:rPr>
          <w:rFonts w:eastAsia="Calibri"/>
          <w:color w:val="70AD47" w:themeColor="accent6"/>
          <w:u w:val="single"/>
          <w:lang w:val="en-US"/>
        </w:rPr>
        <w:t>O</w:t>
      </w:r>
      <w:r w:rsidRPr="008B6E7E">
        <w:rPr>
          <w:rFonts w:eastAsia="Calibri"/>
          <w:color w:val="70AD47" w:themeColor="accent6"/>
          <w:lang w:val="en-US"/>
        </w:rPr>
        <w:t xml:space="preserve">rganic Food </w:t>
      </w:r>
      <w:r w:rsidRPr="008B6E7E">
        <w:rPr>
          <w:rFonts w:eastAsia="Calibri"/>
          <w:color w:val="70AD47" w:themeColor="accent6"/>
          <w:u w:val="single"/>
          <w:lang w:val="en-US"/>
        </w:rPr>
        <w:t>P</w:t>
      </w:r>
      <w:r w:rsidRPr="008B6E7E">
        <w:rPr>
          <w:rFonts w:eastAsia="Calibri"/>
          <w:color w:val="70AD47" w:themeColor="accent6"/>
          <w:lang w:val="en-US"/>
        </w:rPr>
        <w:t>roduction (C.R.O.P.) of the Institute of Aerospace Medicine (</w:t>
      </w:r>
      <w:r w:rsidRPr="008B6E7E">
        <w:rPr>
          <w:rFonts w:eastAsia="Calibri"/>
          <w:i/>
          <w:color w:val="70AD47" w:themeColor="accent6"/>
          <w:lang w:val="en-US"/>
        </w:rPr>
        <w:t xml:space="preserve">Deutsche </w:t>
      </w:r>
      <w:proofErr w:type="spellStart"/>
      <w:r w:rsidRPr="008B6E7E">
        <w:rPr>
          <w:rFonts w:eastAsia="Calibri"/>
          <w:i/>
          <w:color w:val="70AD47" w:themeColor="accent6"/>
          <w:lang w:val="en-US"/>
        </w:rPr>
        <w:t>Zentrum</w:t>
      </w:r>
      <w:proofErr w:type="spellEnd"/>
      <w:r w:rsidRPr="008B6E7E">
        <w:rPr>
          <w:rFonts w:eastAsia="Calibri"/>
          <w:i/>
          <w:color w:val="70AD47" w:themeColor="accent6"/>
          <w:lang w:val="en-US"/>
        </w:rPr>
        <w:t xml:space="preserve"> </w:t>
      </w:r>
      <w:proofErr w:type="spellStart"/>
      <w:r w:rsidRPr="008B6E7E">
        <w:rPr>
          <w:rFonts w:eastAsia="Calibri"/>
          <w:i/>
          <w:color w:val="70AD47" w:themeColor="accent6"/>
          <w:lang w:val="en-US"/>
        </w:rPr>
        <w:t>für</w:t>
      </w:r>
      <w:proofErr w:type="spellEnd"/>
      <w:r w:rsidRPr="008B6E7E">
        <w:rPr>
          <w:rFonts w:eastAsia="Calibri"/>
          <w:i/>
          <w:color w:val="70AD47" w:themeColor="accent6"/>
          <w:lang w:val="en-US"/>
        </w:rPr>
        <w:t xml:space="preserve"> </w:t>
      </w:r>
      <w:proofErr w:type="spellStart"/>
      <w:r w:rsidRPr="008B6E7E">
        <w:rPr>
          <w:rFonts w:eastAsia="Calibri"/>
          <w:i/>
          <w:color w:val="70AD47" w:themeColor="accent6"/>
          <w:lang w:val="en-US"/>
        </w:rPr>
        <w:t>Luft</w:t>
      </w:r>
      <w:proofErr w:type="spellEnd"/>
      <w:r w:rsidRPr="008B6E7E">
        <w:rPr>
          <w:rFonts w:eastAsia="Calibri"/>
          <w:i/>
          <w:color w:val="70AD47" w:themeColor="accent6"/>
          <w:lang w:val="en-US"/>
        </w:rPr>
        <w:t xml:space="preserve">- und </w:t>
      </w:r>
      <w:proofErr w:type="spellStart"/>
      <w:r w:rsidRPr="008B6E7E">
        <w:rPr>
          <w:rFonts w:eastAsia="Calibri"/>
          <w:i/>
          <w:color w:val="70AD47" w:themeColor="accent6"/>
          <w:lang w:val="en-US"/>
        </w:rPr>
        <w:t>Raumfahrt</w:t>
      </w:r>
      <w:proofErr w:type="spellEnd"/>
      <w:r w:rsidRPr="008B6E7E">
        <w:rPr>
          <w:rFonts w:eastAsia="Calibri"/>
          <w:i/>
          <w:color w:val="70AD47" w:themeColor="accent6"/>
          <w:lang w:val="en-US"/>
        </w:rPr>
        <w:t xml:space="preserve"> e.V.</w:t>
      </w:r>
      <w:r w:rsidRPr="008B6E7E">
        <w:rPr>
          <w:rFonts w:eastAsia="Calibri"/>
          <w:color w:val="70AD47" w:themeColor="accent6"/>
          <w:lang w:val="en-US"/>
        </w:rPr>
        <w:t xml:space="preserve">, DLR) in Cologne, Germany. C.R.O.P. aims at engineering a process to capture nutrients from solid and liquid organic wastes to be re-used in soilless cultivation systems in extended spaceflights or extra-terrestrial living (DLR 2019). Therefore, microbial trickling filters are used to degrade and </w:t>
      </w:r>
      <w:r w:rsidRPr="008B6E7E">
        <w:rPr>
          <w:color w:val="70AD47" w:themeColor="accent6"/>
          <w:lang w:val="en-US"/>
        </w:rPr>
        <w:t xml:space="preserve">mineralize the organic </w:t>
      </w:r>
      <w:r w:rsidRPr="008B6E7E">
        <w:rPr>
          <w:rFonts w:eastAsia="Calibri"/>
          <w:color w:val="70AD47" w:themeColor="accent6"/>
          <w:lang w:val="en-US"/>
        </w:rPr>
        <w:t>matter</w:t>
      </w:r>
      <w:r w:rsidRPr="008B6E7E">
        <w:rPr>
          <w:color w:val="70AD47" w:themeColor="accent6"/>
          <w:lang w:val="en-US"/>
        </w:rPr>
        <w:t xml:space="preserve"> into inorganic plant nutrients. </w:t>
      </w:r>
      <w:r w:rsidRPr="008B6E7E">
        <w:rPr>
          <w:rFonts w:eastAsia="Calibri"/>
          <w:color w:val="70AD47" w:themeColor="accent6"/>
          <w:lang w:val="en-US"/>
        </w:rPr>
        <w:t xml:space="preserve">The C.R.O.P. process, </w:t>
      </w:r>
      <w:r w:rsidRPr="008B6E7E">
        <w:rPr>
          <w:color w:val="70AD47" w:themeColor="accent6"/>
          <w:lang w:val="en-US"/>
        </w:rPr>
        <w:t xml:space="preserve">as described in detail by </w:t>
      </w:r>
      <w:r w:rsidRPr="008B6E7E">
        <w:rPr>
          <w:color w:val="70AD47" w:themeColor="accent6"/>
        </w:rPr>
        <w:fldChar w:fldCharType="begin" w:fldLock="1"/>
      </w:r>
      <w:r w:rsidRPr="008B6E7E">
        <w:rPr>
          <w:color w:val="70AD47" w:themeColor="accent6"/>
          <w:lang w:val="en-US"/>
        </w:rPr>
        <w:instrText>ADDIN CSL_CITATION {"citationItems":[{"id":"ITEM-1","itemData":{"DOI":"10.1016/j.lssr.2018.04.003","ISSN":"22145532","abstract":"Planetary habitation requires technology to maintain natural microbial processes, which make nutrients from biowaste available for plant cultivation. This study describes a 646 day experiment, in which trickling filters were monitored for their ability to mineralize nitrogen when loaded with artificial urine solutions of different concentrations (40, 60, 80 and 100% v/v). Former studies have indicated that increasing urine concentrations slow nitrogen conversion rates and induce growing instability. In the current experiment, nitrogen conversion rates, measured as nitrate production/day, did not differ between concentration levels and increasing instability was not observed. Instead, the buffering capacity of the mussel shells added as buffer system (</w:instrText>
      </w:r>
      <w:r w:rsidRPr="008B6E7E">
        <w:rPr>
          <w:rFonts w:ascii="Cambria Math" w:hAnsi="Cambria Math" w:cs="Cambria Math"/>
          <w:color w:val="70AD47" w:themeColor="accent6"/>
          <w:lang w:val="en-US"/>
        </w:rPr>
        <w:instrText>∼</w:instrText>
      </w:r>
      <w:r w:rsidRPr="008B6E7E">
        <w:rPr>
          <w:color w:val="70AD47" w:themeColor="accent6"/>
          <w:lang w:val="en-US"/>
        </w:rPr>
        <w:instrText>75% calcium carbonate) increased with increasing concentrations of synthetic urine possibly due to the higher phosphate content. The intensified precipitation of calcium phosphates seems to promote carbonate dissolution leading to improved buffering. For space applications, the precipitation of calcium phosphates is not desirable as for the phosphate to be available to the plants the precipitate must be treated with hazardous substances. With regard to terrestrial agriculture the process-integrated phosphate precipitation is a possibility to separate the macronutrients nitrogen and phosphate without addition of other chemicals. Thus, the described process offers a simple and cost-effective approach to fertilizer production from biogenic residues like slurry.","author":[{"dropping-particle":"","family":"Bornemann","given":"Gerhild","non-dropping-particle":"","parse-names":false,"suffix":""},{"dropping-particle":"","family":"Waßer","given":"Kai","non-dropping-particle":"","parse-names":false,"suffix":""},{"dropping-particle":"","family":"Hauslage","given":"Jens","non-dropping-particle":"","parse-names":false,"suffix":""}],"container-title":"Life Sciences in Space Research","id":"ITEM-1","issue":"April","issued":{"date-parts":[["2018"]]},"page":"12-20","publisher":"Elsevier","title":"The influence of nitrogen concentration and precipitation on fertilizer production from urine using a trickling filter","type":"article-journal","volume":"18"},"uris":["http://www.mendeley.com/documents/?uuid=2e024f15-5769-4376-adea-3947f7c29740"]}],"mendeley":{"formattedCitation":"(Bornemann et al. 2018)","manualFormatting":"Bornemann et al. (2018)","plainTextFormattedCitation":"(Bornemann et al. 2018)","previouslyFormattedCitation":"(Bornemann et al. 2018)"},"properties":{"noteIndex":0},"schema":"https://github.com/citation-style-language/schema/raw/master/csl-citation.json"}</w:instrText>
      </w:r>
      <w:r w:rsidRPr="008B6E7E">
        <w:rPr>
          <w:color w:val="70AD47" w:themeColor="accent6"/>
        </w:rPr>
        <w:fldChar w:fldCharType="separate"/>
      </w:r>
      <w:r w:rsidRPr="008B6E7E">
        <w:rPr>
          <w:noProof/>
          <w:color w:val="70AD47" w:themeColor="accent6"/>
          <w:lang w:val="en-US"/>
        </w:rPr>
        <w:t>Bornemann et al. (2018)</w:t>
      </w:r>
      <w:r w:rsidRPr="008B6E7E">
        <w:rPr>
          <w:color w:val="70AD47" w:themeColor="accent6"/>
        </w:rPr>
        <w:fldChar w:fldCharType="end"/>
      </w:r>
      <w:r w:rsidRPr="008B6E7E">
        <w:rPr>
          <w:color w:val="70AD47" w:themeColor="accent6"/>
          <w:lang w:val="en-US"/>
        </w:rPr>
        <w:t xml:space="preserve">, </w:t>
      </w:r>
      <w:r w:rsidRPr="008B6E7E">
        <w:rPr>
          <w:rFonts w:eastAsia="Calibri"/>
          <w:color w:val="70AD47" w:themeColor="accent6"/>
          <w:lang w:val="en-US"/>
        </w:rPr>
        <w:t xml:space="preserve">is a fully biological process based on a fixed-bed </w:t>
      </w:r>
      <w:proofErr w:type="spellStart"/>
      <w:r w:rsidRPr="008B6E7E">
        <w:rPr>
          <w:rFonts w:eastAsia="Calibri"/>
          <w:color w:val="70AD47" w:themeColor="accent6"/>
          <w:lang w:val="en-US"/>
        </w:rPr>
        <w:t>biofiltration</w:t>
      </w:r>
      <w:proofErr w:type="spellEnd"/>
      <w:r w:rsidRPr="008B6E7E">
        <w:rPr>
          <w:rFonts w:eastAsia="Calibri"/>
          <w:color w:val="70AD47" w:themeColor="accent6"/>
          <w:lang w:val="en-US"/>
        </w:rPr>
        <w:t xml:space="preserve"> unit for urine degradation by nitrification (Figure 11)</w:t>
      </w:r>
      <w:r w:rsidRPr="008B6E7E">
        <w:rPr>
          <w:color w:val="70AD47" w:themeColor="accent6"/>
          <w:lang w:val="en-US"/>
        </w:rPr>
        <w:t xml:space="preserve">. Mussel-shells are added to increase the buffering capacity of the solution. This </w:t>
      </w:r>
      <w:r w:rsidRPr="008B6E7E">
        <w:rPr>
          <w:rFonts w:eastAsia="Calibri"/>
          <w:color w:val="70AD47" w:themeColor="accent6"/>
          <w:lang w:val="en-US"/>
        </w:rPr>
        <w:t>buffered system allows that up to 100 % of the N contained in the soil is captured as NO</w:t>
      </w:r>
      <w:r w:rsidRPr="008B6E7E">
        <w:rPr>
          <w:rFonts w:eastAsia="Calibri"/>
          <w:color w:val="70AD47" w:themeColor="accent6"/>
          <w:vertAlign w:val="subscript"/>
          <w:lang w:val="en-US"/>
        </w:rPr>
        <w:t>3</w:t>
      </w:r>
      <w:r w:rsidRPr="008B6E7E">
        <w:rPr>
          <w:rFonts w:eastAsia="Calibri"/>
          <w:color w:val="70AD47" w:themeColor="accent6"/>
          <w:vertAlign w:val="superscript"/>
          <w:lang w:val="en-US"/>
        </w:rPr>
        <w:t>-</w:t>
      </w:r>
      <w:r w:rsidRPr="008B6E7E">
        <w:rPr>
          <w:rFonts w:eastAsia="Calibri"/>
          <w:color w:val="70AD47" w:themeColor="accent6"/>
          <w:lang w:val="en-US"/>
        </w:rPr>
        <w:t xml:space="preserve">-N in the product. </w:t>
      </w:r>
    </w:p>
    <w:p w:rsidR="00074F69" w:rsidRDefault="00074F69" w:rsidP="00074F69">
      <w:pPr>
        <w:rPr>
          <w:lang w:val="en-US"/>
        </w:rPr>
      </w:pPr>
      <w:r w:rsidRPr="00764A11">
        <w:rPr>
          <w:noProof/>
          <w:lang w:val="de-DE" w:eastAsia="de-DE"/>
        </w:rPr>
        <w:drawing>
          <wp:inline distT="0" distB="0" distL="0" distR="0" wp14:anchorId="4CA3EBDE" wp14:editId="479C6FA0">
            <wp:extent cx="2342219" cy="3240000"/>
            <wp:effectExtent l="0" t="0" r="0"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2219" cy="3240000"/>
                    </a:xfrm>
                    <a:prstGeom prst="rect">
                      <a:avLst/>
                    </a:prstGeom>
                    <a:noFill/>
                    <a:ln>
                      <a:noFill/>
                    </a:ln>
                    <a:effectLst/>
                    <a:extLst/>
                  </pic:spPr>
                </pic:pic>
              </a:graphicData>
            </a:graphic>
          </wp:inline>
        </w:drawing>
      </w:r>
      <w:r w:rsidRPr="00317998">
        <w:rPr>
          <w:noProof/>
          <w:lang w:val="de-DE" w:eastAsia="de-DE"/>
        </w:rPr>
        <w:drawing>
          <wp:inline distT="0" distB="0" distL="0" distR="0" wp14:anchorId="57732E02" wp14:editId="78B8D73E">
            <wp:extent cx="2907028" cy="3240000"/>
            <wp:effectExtent l="0" t="0" r="8255" b="0"/>
            <wp:docPr id="7171" name="Picture 3" descr="D:\04_Bilder\CROP\Img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descr="D:\04_Bilder\CROP\Img271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332" r="55238" b="18195"/>
                    <a:stretch/>
                  </pic:blipFill>
                  <pic:spPr bwMode="auto">
                    <a:xfrm>
                      <a:off x="0" y="0"/>
                      <a:ext cx="2907028" cy="3240000"/>
                    </a:xfrm>
                    <a:prstGeom prst="rect">
                      <a:avLst/>
                    </a:prstGeom>
                    <a:noFill/>
                    <a:extLst/>
                  </pic:spPr>
                </pic:pic>
              </a:graphicData>
            </a:graphic>
          </wp:inline>
        </w:drawing>
      </w:r>
    </w:p>
    <w:p w:rsidR="00074F69" w:rsidRPr="00AE4345" w:rsidRDefault="00074F69" w:rsidP="00074F69">
      <w:pPr>
        <w:pStyle w:val="Beschriftung"/>
        <w:rPr>
          <w:color w:val="538135" w:themeColor="accent6" w:themeShade="BF"/>
        </w:rPr>
      </w:pPr>
      <w:r w:rsidRPr="00AE4345">
        <w:rPr>
          <w:b/>
          <w:color w:val="538135" w:themeColor="accent6" w:themeShade="BF"/>
        </w:rPr>
        <w:t xml:space="preserve">Figure 13: </w:t>
      </w:r>
      <w:r w:rsidRPr="00AE4345">
        <w:rPr>
          <w:i/>
          <w:color w:val="538135" w:themeColor="accent6" w:themeShade="BF"/>
        </w:rPr>
        <w:t>Left</w:t>
      </w:r>
      <w:r w:rsidRPr="00AE4345">
        <w:rPr>
          <w:color w:val="538135" w:themeColor="accent6" w:themeShade="BF"/>
        </w:rPr>
        <w:t xml:space="preserve">: Schematic representation of a C.R.O.P. filter unit of </w:t>
      </w:r>
      <w:r w:rsidRPr="00AE4345">
        <w:rPr>
          <w:color w:val="538135" w:themeColor="accent6" w:themeShade="BF"/>
        </w:rPr>
        <w:fldChar w:fldCharType="begin" w:fldLock="1"/>
      </w:r>
      <w:r w:rsidRPr="00AE4345">
        <w:rPr>
          <w:color w:val="538135" w:themeColor="accent6" w:themeShade="BF"/>
        </w:rPr>
        <w:instrText>ADDIN CSL_CITATION {"citationItems":[{"id":"ITEM-1","itemData":{"DOI":"10.1016/j.lssr.2018.04.003","ISSN":"22145532","abstract":"Planetary habitation requires technology to maintain natural microbial processes, which make nutrients from biowaste available for plant cultivation. This study describes a 646 day experiment, in which trickling filters were monitored for their ability to mineralize nitrogen when loaded with artificial urine solutions of different concentrations (40, 60, 80 and 100% v/v). Former studies have indicated that increasing urine concentrations slow nitrogen conversion rates and induce growing instability. In the current experiment, nitrogen conversion rates, measured as nitrate production/day, did not differ between concentration levels and increasing instability was not observed. Instead, the buffering capacity of the mussel shells added as buffer system (</w:instrText>
      </w:r>
      <w:r w:rsidRPr="00AE4345">
        <w:rPr>
          <w:rFonts w:ascii="Cambria Math" w:hAnsi="Cambria Math" w:cs="Cambria Math"/>
          <w:color w:val="538135" w:themeColor="accent6" w:themeShade="BF"/>
        </w:rPr>
        <w:instrText>∼</w:instrText>
      </w:r>
      <w:r w:rsidRPr="00AE4345">
        <w:rPr>
          <w:color w:val="538135" w:themeColor="accent6" w:themeShade="BF"/>
        </w:rPr>
        <w:instrText>75% calcium carbonate) increased with increasing concentrations of synthetic urine possibly due to the higher phosphate content. The intensified precipitation of calcium phosphates seems to promote carbonate dissolution leading to improved buffering. For space applications, the precipitation of calcium phosphates is not desirable as for the phosphate to be available to the plants the precipitate must be treated with hazardous substances. With regard to terrestrial agriculture the process-integrated phosphate precipitation is a possibility to separate the macronutrients nitrogen and phosphate without addition of other chemicals. Thus, the described process offers a simple and cost-effective approach to fertilizer production from biogenic residues like slurry.","author":[{"dropping-particle":"","family":"Bornemann","given":"Gerhild","non-dropping-particle":"","parse-names":false,"suffix":""},{"dropping-particle":"","family":"Waßer","given":"Kai","non-dropping-particle":"","parse-names":false,"suffix":""},{"dropping-particle":"","family":"Hauslage","given":"Jens","non-dropping-particle":"","parse-names":false,"suffix":""}],"container-title":"Life Sciences in Space Research","id":"ITEM-1","issue":"April","issued":{"date-parts":[["2018"]]},"page":"12-20","publisher":"Elsevier","title":"The influence of nitrogen concentration and precipitation on fertilizer production from urine using a trickling filter","type":"article-journal","volume":"18"},"uris":["http://www.mendeley.com/documents/?uuid=2e024f15-5769-4376-adea-3947f7c29740"]}],"mendeley":{"formattedCitation":"(Bornemann et al. 2018)","manualFormatting":"Bornemann et al. (2018)","plainTextFormattedCitation":"(Bornemann et al. 2018)","previouslyFormattedCitation":"(Bornemann et al. 2018)"},"properties":{"noteIndex":0},"schema":"https://github.com/citation-style-language/schema/raw/master/csl-citation.json"}</w:instrText>
      </w:r>
      <w:r w:rsidRPr="00AE4345">
        <w:rPr>
          <w:color w:val="538135" w:themeColor="accent6" w:themeShade="BF"/>
        </w:rPr>
        <w:fldChar w:fldCharType="separate"/>
      </w:r>
      <w:r w:rsidRPr="00AE4345">
        <w:rPr>
          <w:noProof/>
          <w:color w:val="538135" w:themeColor="accent6" w:themeShade="BF"/>
        </w:rPr>
        <w:t>Bornemann et al. (2018)</w:t>
      </w:r>
      <w:r w:rsidRPr="00AE4345">
        <w:rPr>
          <w:color w:val="538135" w:themeColor="accent6" w:themeShade="BF"/>
        </w:rPr>
        <w:fldChar w:fldCharType="end"/>
      </w:r>
      <w:r w:rsidRPr="00AE4345">
        <w:rPr>
          <w:color w:val="538135" w:themeColor="accent6" w:themeShade="BF"/>
        </w:rPr>
        <w:t xml:space="preserve"> with dimensions given as internal dimensions [mm]; d=diameter; </w:t>
      </w:r>
      <w:r w:rsidRPr="00AE4345">
        <w:rPr>
          <w:i/>
          <w:color w:val="538135" w:themeColor="accent6" w:themeShade="BF"/>
        </w:rPr>
        <w:t>Right</w:t>
      </w:r>
      <w:r w:rsidRPr="00AE4345">
        <w:rPr>
          <w:color w:val="538135" w:themeColor="accent6" w:themeShade="BF"/>
        </w:rPr>
        <w:t xml:space="preserve">: picture of a C.R.O.P. trickling filter by </w:t>
      </w:r>
      <w:proofErr w:type="spellStart"/>
      <w:r w:rsidRPr="00AE4345">
        <w:rPr>
          <w:color w:val="538135" w:themeColor="accent6" w:themeShade="BF"/>
        </w:rPr>
        <w:t>Gerhild</w:t>
      </w:r>
      <w:proofErr w:type="spellEnd"/>
      <w:r w:rsidRPr="00AE4345">
        <w:rPr>
          <w:color w:val="538135" w:themeColor="accent6" w:themeShade="BF"/>
        </w:rPr>
        <w:t xml:space="preserve"> </w:t>
      </w:r>
      <w:proofErr w:type="spellStart"/>
      <w:r w:rsidRPr="00AE4345">
        <w:rPr>
          <w:color w:val="538135" w:themeColor="accent6" w:themeShade="BF"/>
        </w:rPr>
        <w:t>Bornemann</w:t>
      </w:r>
      <w:proofErr w:type="spellEnd"/>
      <w:r w:rsidRPr="00AE4345">
        <w:rPr>
          <w:color w:val="538135" w:themeColor="accent6" w:themeShade="BF"/>
        </w:rPr>
        <w:t>, DLR, 2018.</w:t>
      </w:r>
    </w:p>
    <w:p w:rsidR="00074F69" w:rsidRPr="00AE4345" w:rsidRDefault="00074F69" w:rsidP="00074F69">
      <w:pPr>
        <w:pStyle w:val="Beschriftung"/>
        <w:rPr>
          <w:rFonts w:eastAsia="Calibri"/>
          <w:color w:val="538135" w:themeColor="accent6" w:themeShade="BF"/>
        </w:rPr>
      </w:pPr>
    </w:p>
    <w:p w:rsidR="00074F69" w:rsidRPr="00AE4345" w:rsidRDefault="00074F69" w:rsidP="00074F69">
      <w:pPr>
        <w:jc w:val="both"/>
        <w:rPr>
          <w:color w:val="538135" w:themeColor="accent6" w:themeShade="BF"/>
          <w:lang w:val="en-US"/>
        </w:rPr>
      </w:pPr>
      <w:r w:rsidRPr="00AE4345">
        <w:rPr>
          <w:rFonts w:eastAsia="Calibri"/>
          <w:color w:val="538135" w:themeColor="accent6" w:themeShade="BF"/>
          <w:lang w:val="en-US"/>
        </w:rPr>
        <w:t xml:space="preserve">When we received ‘Crop’ from DRL, the C.R.O.P. process was still tested with synthetic urine. </w:t>
      </w:r>
      <w:r w:rsidRPr="00AE4345">
        <w:rPr>
          <w:color w:val="538135" w:themeColor="accent6" w:themeShade="BF"/>
          <w:lang w:val="en-US"/>
        </w:rPr>
        <w:t xml:space="preserve">The synthetic urine used to produce ‘Crop’ is based on the recipe of </w:t>
      </w:r>
      <w:r w:rsidRPr="00AE4345">
        <w:rPr>
          <w:color w:val="538135" w:themeColor="accent6" w:themeShade="BF"/>
          <w:lang w:val="en-US"/>
        </w:rPr>
        <w:fldChar w:fldCharType="begin" w:fldLock="1"/>
      </w:r>
      <w:r w:rsidRPr="00AE4345">
        <w:rPr>
          <w:color w:val="538135" w:themeColor="accent6" w:themeShade="BF"/>
          <w:lang w:val="en-US"/>
        </w:rPr>
        <w:instrText>ADDIN CSL_CITATION {"citationItems":[{"id":"ITEM-1","itemData":{"author":[{"dropping-particle":"","family":"Gordon","given":"R.","non-dropping-particle":"","parse-names":false,"suffix":""}],"container-title":"Medical Publishers, Chicago.","id":"ITEM-1","issued":{"date-parts":[["1982"]]},"title":"Essentials of Human Physiology","type":"article-journal"},"uris":["http://www.mendeley.com/documents/?uuid=1a149464-8d43-4c4e-bb3f-a54f9c655763"]}],"mendeley":{"formattedCitation":"(Gordon 1982)","manualFormatting":"Gordon (1982)","plainTextFormattedCitation":"(Gordon 1982)","previouslyFormattedCitation":"(Gordon 1982)"},"properties":{"noteIndex":0},"schema":"https://github.com/citation-style-language/schema/raw/master/csl-citation.json"}</w:instrText>
      </w:r>
      <w:r w:rsidRPr="00AE4345">
        <w:rPr>
          <w:color w:val="538135" w:themeColor="accent6" w:themeShade="BF"/>
          <w:lang w:val="en-US"/>
        </w:rPr>
        <w:fldChar w:fldCharType="separate"/>
      </w:r>
      <w:r w:rsidRPr="00AE4345">
        <w:rPr>
          <w:noProof/>
          <w:color w:val="538135" w:themeColor="accent6" w:themeShade="BF"/>
          <w:lang w:val="en-US"/>
        </w:rPr>
        <w:t>Gordon (1982)</w:t>
      </w:r>
      <w:r w:rsidRPr="00AE4345">
        <w:rPr>
          <w:color w:val="538135" w:themeColor="accent6" w:themeShade="BF"/>
          <w:lang w:val="en-US"/>
        </w:rPr>
        <w:fldChar w:fldCharType="end"/>
      </w:r>
      <w:r w:rsidRPr="00AE4345">
        <w:rPr>
          <w:color w:val="538135" w:themeColor="accent6" w:themeShade="BF"/>
          <w:lang w:val="en-US"/>
        </w:rPr>
        <w:t xml:space="preserve"> as presented by </w:t>
      </w:r>
      <w:r w:rsidRPr="00AE4345">
        <w:rPr>
          <w:color w:val="538135" w:themeColor="accent6" w:themeShade="BF"/>
          <w:lang w:val="en-US"/>
        </w:rPr>
        <w:fldChar w:fldCharType="begin" w:fldLock="1"/>
      </w:r>
      <w:r w:rsidRPr="00AE4345">
        <w:rPr>
          <w:color w:val="538135" w:themeColor="accent6" w:themeShade="BF"/>
          <w:lang w:val="en-US"/>
        </w:rPr>
        <w:instrText>ADDIN CSL_CITATION {"citationItems":[{"id":"ITEM-1","itemData":{"author":[{"dropping-particle":"","family":"Feng","given":"D. L.","non-dropping-particle":"","parse-names":false,"suffix":""},{"dropping-particle":"","family":"Wu","given":"Z. C.","non-dropping-particle":"","parse-names":false,"suffix":""}],"container-title":"Journal of Zhejiang University Science B","id":"ITEM-1","issue":"34-37","issued":{"date-parts":[["2006"]]},"title":"Culture of Spirulina platensis in human urine for biomass production and O2 evolution","type":"article-journal","volume":"7"},"uris":["http://www.mendeley.com/documents/?uuid=59719612-81c1-40f1-b4cf-ee5039283221"]}],"mendeley":{"formattedCitation":"(Feng and Wu 2006)","manualFormatting":"Feng &amp; Wu (2006)","plainTextFormattedCitation":"(Feng and Wu 2006)","previouslyFormattedCitation":"(Feng and Wu 2006)"},"properties":{"noteIndex":0},"schema":"https://github.com/citation-style-language/schema/raw/master/csl-citation.json"}</w:instrText>
      </w:r>
      <w:r w:rsidRPr="00AE4345">
        <w:rPr>
          <w:color w:val="538135" w:themeColor="accent6" w:themeShade="BF"/>
          <w:lang w:val="en-US"/>
        </w:rPr>
        <w:fldChar w:fldCharType="separate"/>
      </w:r>
      <w:r w:rsidRPr="00AE4345">
        <w:rPr>
          <w:noProof/>
          <w:color w:val="538135" w:themeColor="accent6" w:themeShade="BF"/>
          <w:lang w:val="en-US"/>
        </w:rPr>
        <w:t>Feng &amp; Wu (2006)</w:t>
      </w:r>
      <w:r w:rsidRPr="00AE4345">
        <w:rPr>
          <w:color w:val="538135" w:themeColor="accent6" w:themeShade="BF"/>
          <w:lang w:val="en-US"/>
        </w:rPr>
        <w:fldChar w:fldCharType="end"/>
      </w:r>
      <w:r w:rsidRPr="00AE4345">
        <w:rPr>
          <w:color w:val="538135" w:themeColor="accent6" w:themeShade="BF"/>
          <w:lang w:val="en-US"/>
        </w:rPr>
        <w:t>. In sum, 1000 ml of synthetic urine contain 0.5 g CaCl</w:t>
      </w:r>
      <w:r w:rsidRPr="00AE4345">
        <w:rPr>
          <w:color w:val="538135" w:themeColor="accent6" w:themeShade="BF"/>
          <w:vertAlign w:val="subscript"/>
          <w:lang w:val="en-US"/>
        </w:rPr>
        <w:t>2</w:t>
      </w:r>
      <w:r w:rsidRPr="00AE4345">
        <w:rPr>
          <w:color w:val="538135" w:themeColor="accent6" w:themeShade="BF"/>
          <w:lang w:val="en-US"/>
        </w:rPr>
        <w:t>·2H2O, 4.12 g K</w:t>
      </w:r>
      <w:r w:rsidRPr="00AE4345">
        <w:rPr>
          <w:color w:val="538135" w:themeColor="accent6" w:themeShade="BF"/>
          <w:vertAlign w:val="subscript"/>
          <w:lang w:val="en-US"/>
        </w:rPr>
        <w:t>2</w:t>
      </w:r>
      <w:r w:rsidRPr="00AE4345">
        <w:rPr>
          <w:color w:val="538135" w:themeColor="accent6" w:themeShade="BF"/>
          <w:lang w:val="en-US"/>
        </w:rPr>
        <w:t>HPO</w:t>
      </w:r>
      <w:r w:rsidRPr="00AE4345">
        <w:rPr>
          <w:color w:val="538135" w:themeColor="accent6" w:themeShade="BF"/>
          <w:vertAlign w:val="subscript"/>
          <w:lang w:val="en-US"/>
        </w:rPr>
        <w:t>4</w:t>
      </w:r>
      <w:r w:rsidRPr="00AE4345">
        <w:rPr>
          <w:color w:val="538135" w:themeColor="accent6" w:themeShade="BF"/>
          <w:lang w:val="en-US"/>
        </w:rPr>
        <w:t>, 0.47 g MgCl</w:t>
      </w:r>
      <w:r w:rsidRPr="00AE4345">
        <w:rPr>
          <w:color w:val="538135" w:themeColor="accent6" w:themeShade="BF"/>
          <w:vertAlign w:val="subscript"/>
          <w:lang w:val="en-US"/>
        </w:rPr>
        <w:t>2</w:t>
      </w:r>
      <w:r w:rsidRPr="00AE4345">
        <w:rPr>
          <w:color w:val="538135" w:themeColor="accent6" w:themeShade="BF"/>
          <w:lang w:val="en-US"/>
        </w:rPr>
        <w:t>·H</w:t>
      </w:r>
      <w:r w:rsidRPr="00AE4345">
        <w:rPr>
          <w:color w:val="538135" w:themeColor="accent6" w:themeShade="BF"/>
          <w:vertAlign w:val="subscript"/>
          <w:lang w:val="en-US"/>
        </w:rPr>
        <w:t>2</w:t>
      </w:r>
      <w:r w:rsidRPr="00AE4345">
        <w:rPr>
          <w:color w:val="538135" w:themeColor="accent6" w:themeShade="BF"/>
          <w:lang w:val="en-US"/>
        </w:rPr>
        <w:t xml:space="preserve">O, 0.29 g </w:t>
      </w:r>
      <w:proofErr w:type="spellStart"/>
      <w:r w:rsidRPr="00AE4345">
        <w:rPr>
          <w:color w:val="538135" w:themeColor="accent6" w:themeShade="BF"/>
          <w:lang w:val="en-US"/>
        </w:rPr>
        <w:t>KCl</w:t>
      </w:r>
      <w:proofErr w:type="spellEnd"/>
      <w:r w:rsidRPr="00AE4345">
        <w:rPr>
          <w:color w:val="538135" w:themeColor="accent6" w:themeShade="BF"/>
          <w:lang w:val="en-US"/>
        </w:rPr>
        <w:t xml:space="preserve">, 4.83 g </w:t>
      </w:r>
      <w:proofErr w:type="spellStart"/>
      <w:r w:rsidRPr="00AE4345">
        <w:rPr>
          <w:color w:val="538135" w:themeColor="accent6" w:themeShade="BF"/>
          <w:lang w:val="en-US"/>
        </w:rPr>
        <w:t>NaCl</w:t>
      </w:r>
      <w:proofErr w:type="spellEnd"/>
      <w:r w:rsidRPr="00AE4345">
        <w:rPr>
          <w:color w:val="538135" w:themeColor="accent6" w:themeShade="BF"/>
          <w:lang w:val="en-US"/>
        </w:rPr>
        <w:t>, 1.55 g NH</w:t>
      </w:r>
      <w:r w:rsidRPr="00AE4345">
        <w:rPr>
          <w:color w:val="538135" w:themeColor="accent6" w:themeShade="BF"/>
          <w:vertAlign w:val="subscript"/>
          <w:lang w:val="en-US"/>
        </w:rPr>
        <w:t>4</w:t>
      </w:r>
      <w:r w:rsidRPr="00AE4345">
        <w:rPr>
          <w:color w:val="538135" w:themeColor="accent6" w:themeShade="BF"/>
          <w:lang w:val="en-US"/>
        </w:rPr>
        <w:t>Cl, 2.37 g Na</w:t>
      </w:r>
      <w:r w:rsidRPr="00AE4345">
        <w:rPr>
          <w:color w:val="538135" w:themeColor="accent6" w:themeShade="BF"/>
          <w:vertAlign w:val="subscript"/>
          <w:lang w:val="en-US"/>
        </w:rPr>
        <w:t>2</w:t>
      </w:r>
      <w:r w:rsidRPr="00AE4345">
        <w:rPr>
          <w:color w:val="538135" w:themeColor="accent6" w:themeShade="BF"/>
          <w:lang w:val="en-US"/>
        </w:rPr>
        <w:t>SO</w:t>
      </w:r>
      <w:r w:rsidRPr="00AE4345">
        <w:rPr>
          <w:color w:val="538135" w:themeColor="accent6" w:themeShade="BF"/>
          <w:vertAlign w:val="subscript"/>
          <w:lang w:val="en-US"/>
        </w:rPr>
        <w:t>4</w:t>
      </w:r>
      <w:r w:rsidRPr="00AE4345">
        <w:rPr>
          <w:color w:val="538135" w:themeColor="accent6" w:themeShade="BF"/>
          <w:lang w:val="en-US"/>
        </w:rPr>
        <w:t>, 13.34 g urea, 1.0 g creatinine and 0.65 g sodium citrate (pH 6.8). After processing ‘Crop’ has a NH</w:t>
      </w:r>
      <w:r w:rsidRPr="00AE4345">
        <w:rPr>
          <w:color w:val="538135" w:themeColor="accent6" w:themeShade="BF"/>
          <w:vertAlign w:val="subscript"/>
          <w:lang w:val="en-US"/>
        </w:rPr>
        <w:t>4</w:t>
      </w:r>
      <w:r w:rsidRPr="00AE4345">
        <w:rPr>
          <w:color w:val="538135" w:themeColor="accent6" w:themeShade="BF"/>
          <w:vertAlign w:val="superscript"/>
          <w:lang w:val="en-US"/>
        </w:rPr>
        <w:t>+</w:t>
      </w:r>
      <w:r w:rsidRPr="00AE4345">
        <w:rPr>
          <w:color w:val="538135" w:themeColor="accent6" w:themeShade="BF"/>
          <w:lang w:val="en-US"/>
        </w:rPr>
        <w:t>: NO</w:t>
      </w:r>
      <w:r w:rsidRPr="00AE4345">
        <w:rPr>
          <w:color w:val="538135" w:themeColor="accent6" w:themeShade="BF"/>
          <w:vertAlign w:val="subscript"/>
          <w:lang w:val="en-US"/>
        </w:rPr>
        <w:t>3</w:t>
      </w:r>
      <w:r w:rsidRPr="00AE4345">
        <w:rPr>
          <w:color w:val="538135" w:themeColor="accent6" w:themeShade="BF"/>
          <w:vertAlign w:val="superscript"/>
          <w:lang w:val="en-US"/>
        </w:rPr>
        <w:t>-</w:t>
      </w:r>
      <w:r w:rsidRPr="00AE4345">
        <w:rPr>
          <w:color w:val="538135" w:themeColor="accent6" w:themeShade="BF"/>
          <w:lang w:val="en-US"/>
        </w:rPr>
        <w:t xml:space="preserve"> ratio of 1:2 (Table 1 main text). Due to the addition of mussel-shells, ‘Crop’ has a high Ca content (ibid).</w:t>
      </w:r>
    </w:p>
    <w:p w:rsidR="00074F69" w:rsidRDefault="00074F69" w:rsidP="00074F69">
      <w:pPr>
        <w:rPr>
          <w:lang w:val="en-US"/>
        </w:rPr>
      </w:pPr>
    </w:p>
    <w:p w:rsidR="00074F69" w:rsidRDefault="00074F69" w:rsidP="00AE4345">
      <w:pPr>
        <w:jc w:val="both"/>
        <w:rPr>
          <w:color w:val="538135" w:themeColor="accent6" w:themeShade="BF"/>
          <w:lang w:val="en-US"/>
        </w:rPr>
      </w:pPr>
      <w:r w:rsidRPr="00AE4345">
        <w:rPr>
          <w:b/>
          <w:color w:val="538135" w:themeColor="accent6" w:themeShade="BF"/>
          <w:lang w:val="en-US"/>
        </w:rPr>
        <w:lastRenderedPageBreak/>
        <w:t>The novel RF and NUF product</w:t>
      </w:r>
      <w:r w:rsidRPr="00AE4345">
        <w:rPr>
          <w:rFonts w:eastAsia="Calibri"/>
          <w:color w:val="538135" w:themeColor="accent6" w:themeShade="BF"/>
          <w:lang w:val="en-US"/>
        </w:rPr>
        <w:t xml:space="preserve"> ‘</w:t>
      </w:r>
      <w:proofErr w:type="spellStart"/>
      <w:r w:rsidRPr="00AE4345">
        <w:rPr>
          <w:rFonts w:eastAsia="Calibri"/>
          <w:color w:val="538135" w:themeColor="accent6" w:themeShade="BF"/>
          <w:lang w:val="en-US"/>
        </w:rPr>
        <w:t>Aurin</w:t>
      </w:r>
      <w:proofErr w:type="spellEnd"/>
      <w:r w:rsidRPr="00AE4345">
        <w:rPr>
          <w:rFonts w:eastAsia="Calibri"/>
          <w:color w:val="538135" w:themeColor="accent6" w:themeShade="BF"/>
          <w:lang w:val="en-US"/>
        </w:rPr>
        <w:t>’ The Swiss Federal Institute of Aquatic Science and Technology (Eawag) developed a process and technology for processing human urine aiming at efficient and safe nutrient recycling (</w:t>
      </w:r>
      <w:proofErr w:type="spellStart"/>
      <w:r w:rsidRPr="00AE4345">
        <w:rPr>
          <w:noProof/>
          <w:color w:val="538135" w:themeColor="accent6" w:themeShade="BF"/>
          <w:lang w:val="en-US"/>
        </w:rPr>
        <w:t>Fumasoli</w:t>
      </w:r>
      <w:proofErr w:type="spellEnd"/>
      <w:r w:rsidRPr="00AE4345">
        <w:rPr>
          <w:noProof/>
          <w:color w:val="538135" w:themeColor="accent6" w:themeShade="BF"/>
          <w:lang w:val="en-US"/>
        </w:rPr>
        <w:t xml:space="preserve"> et al. 2016)</w:t>
      </w:r>
      <w:r w:rsidRPr="00AE4345">
        <w:rPr>
          <w:rFonts w:eastAsia="Calibri"/>
          <w:color w:val="538135" w:themeColor="accent6" w:themeShade="BF"/>
          <w:lang w:val="en-US"/>
        </w:rPr>
        <w:t xml:space="preserve">. In 2016, the company </w:t>
      </w:r>
      <w:proofErr w:type="spellStart"/>
      <w:r w:rsidRPr="00AE4345">
        <w:rPr>
          <w:rFonts w:eastAsia="Calibri"/>
          <w:color w:val="538135" w:themeColor="accent6" w:themeShade="BF"/>
          <w:lang w:val="en-US"/>
        </w:rPr>
        <w:t>Vuna</w:t>
      </w:r>
      <w:proofErr w:type="spellEnd"/>
      <w:r w:rsidRPr="00AE4345">
        <w:rPr>
          <w:rFonts w:eastAsia="Calibri"/>
          <w:color w:val="538135" w:themeColor="accent6" w:themeShade="BF"/>
          <w:lang w:val="en-US"/>
        </w:rPr>
        <w:t xml:space="preserve"> Ltd was founded based on the outcomes of </w:t>
      </w:r>
      <w:proofErr w:type="spellStart"/>
      <w:r w:rsidRPr="00AE4345">
        <w:rPr>
          <w:rFonts w:eastAsia="Calibri"/>
          <w:color w:val="538135" w:themeColor="accent6" w:themeShade="BF"/>
          <w:lang w:val="en-US"/>
        </w:rPr>
        <w:t>Eawag’s</w:t>
      </w:r>
      <w:proofErr w:type="spellEnd"/>
      <w:r w:rsidRPr="00AE4345">
        <w:rPr>
          <w:rFonts w:eastAsia="Calibri"/>
          <w:color w:val="538135" w:themeColor="accent6" w:themeShade="BF"/>
          <w:lang w:val="en-US"/>
        </w:rPr>
        <w:t xml:space="preserve"> research on urine processing. In the </w:t>
      </w:r>
      <w:proofErr w:type="spellStart"/>
      <w:r w:rsidRPr="00AE4345">
        <w:rPr>
          <w:rFonts w:eastAsia="Calibri"/>
          <w:color w:val="538135" w:themeColor="accent6" w:themeShade="BF"/>
          <w:lang w:val="en-US"/>
        </w:rPr>
        <w:t>Vuna</w:t>
      </w:r>
      <w:proofErr w:type="spellEnd"/>
      <w:r w:rsidRPr="00AE4345">
        <w:rPr>
          <w:rFonts w:eastAsia="Calibri"/>
          <w:color w:val="538135" w:themeColor="accent6" w:themeShade="BF"/>
          <w:lang w:val="en-US"/>
        </w:rPr>
        <w:t xml:space="preserve"> process, source-separated human urine is firstly </w:t>
      </w:r>
      <w:proofErr w:type="spellStart"/>
      <w:r w:rsidRPr="00AE4345">
        <w:rPr>
          <w:rFonts w:eastAsia="Calibri"/>
          <w:color w:val="538135" w:themeColor="accent6" w:themeShade="BF"/>
          <w:lang w:val="en-US"/>
        </w:rPr>
        <w:t>stabilised</w:t>
      </w:r>
      <w:proofErr w:type="spellEnd"/>
      <w:r w:rsidRPr="00AE4345">
        <w:rPr>
          <w:rFonts w:eastAsia="Calibri"/>
          <w:color w:val="538135" w:themeColor="accent6" w:themeShade="BF"/>
          <w:lang w:val="en-US"/>
        </w:rPr>
        <w:t xml:space="preserve"> by nitrification, i.e. the biological transformation of </w:t>
      </w:r>
      <w:r w:rsidRPr="00AE4345">
        <w:rPr>
          <w:color w:val="538135" w:themeColor="accent6" w:themeShade="BF"/>
          <w:szCs w:val="22"/>
          <w:lang w:val="en-US"/>
        </w:rPr>
        <w:t>NH</w:t>
      </w:r>
      <w:r w:rsidRPr="00AE4345">
        <w:rPr>
          <w:color w:val="538135" w:themeColor="accent6" w:themeShade="BF"/>
          <w:sz w:val="13"/>
          <w:szCs w:val="13"/>
          <w:vertAlign w:val="subscript"/>
          <w:lang w:val="en-US"/>
        </w:rPr>
        <w:t>4</w:t>
      </w:r>
      <w:r w:rsidRPr="00AE4345">
        <w:rPr>
          <w:color w:val="538135" w:themeColor="accent6" w:themeShade="BF"/>
          <w:sz w:val="13"/>
          <w:szCs w:val="13"/>
          <w:vertAlign w:val="superscript"/>
          <w:lang w:val="en-US"/>
        </w:rPr>
        <w:t>+</w:t>
      </w:r>
      <w:r w:rsidRPr="00AE4345">
        <w:rPr>
          <w:color w:val="538135" w:themeColor="accent6" w:themeShade="BF"/>
          <w:lang w:val="en-US"/>
        </w:rPr>
        <w:t xml:space="preserve"> </w:t>
      </w:r>
      <w:r w:rsidRPr="00AE4345">
        <w:rPr>
          <w:rFonts w:eastAsia="Calibri"/>
          <w:color w:val="538135" w:themeColor="accent6" w:themeShade="BF"/>
          <w:lang w:val="en-US"/>
        </w:rPr>
        <w:t xml:space="preserve">into </w:t>
      </w:r>
      <w:r w:rsidRPr="00AE4345">
        <w:rPr>
          <w:color w:val="538135" w:themeColor="accent6" w:themeShade="BF"/>
          <w:szCs w:val="22"/>
          <w:lang w:val="en-US"/>
        </w:rPr>
        <w:t>NO</w:t>
      </w:r>
      <w:r w:rsidRPr="00AE4345">
        <w:rPr>
          <w:color w:val="538135" w:themeColor="accent6" w:themeShade="BF"/>
          <w:sz w:val="13"/>
          <w:szCs w:val="13"/>
          <w:vertAlign w:val="subscript"/>
          <w:lang w:val="en-US"/>
        </w:rPr>
        <w:t>3</w:t>
      </w:r>
      <w:r w:rsidRPr="00AE4345">
        <w:rPr>
          <w:color w:val="538135" w:themeColor="accent6" w:themeShade="BF"/>
          <w:sz w:val="13"/>
          <w:szCs w:val="13"/>
          <w:vertAlign w:val="superscript"/>
          <w:lang w:val="en-US"/>
        </w:rPr>
        <w:t>-</w:t>
      </w:r>
      <w:r w:rsidRPr="00AE4345">
        <w:rPr>
          <w:rFonts w:eastAsia="Calibri"/>
          <w:color w:val="538135" w:themeColor="accent6" w:themeShade="BF"/>
          <w:lang w:val="en-US"/>
        </w:rPr>
        <w:t>. Afterwards the nitrified urine is purified by treating it with an activated carbon filter that safely eliminates all pharmaceuticals and hormones. Then, through vaporization, the solution is distilled to remove pathogens, reduce the liquid volume and increase the overall nutrient concentration of the liquid fertilizer. The liquid NUF product ‘</w:t>
      </w:r>
      <w:proofErr w:type="spellStart"/>
      <w:r w:rsidRPr="00AE4345">
        <w:rPr>
          <w:rFonts w:eastAsia="Calibri"/>
          <w:color w:val="538135" w:themeColor="accent6" w:themeShade="BF"/>
          <w:lang w:val="en-US"/>
        </w:rPr>
        <w:t>Aurin</w:t>
      </w:r>
      <w:proofErr w:type="spellEnd"/>
      <w:r w:rsidRPr="00AE4345">
        <w:rPr>
          <w:rFonts w:eastAsia="Calibri"/>
          <w:color w:val="538135" w:themeColor="accent6" w:themeShade="BF"/>
          <w:lang w:val="en-US"/>
        </w:rPr>
        <w:t>’ is licensed for horticultural use in Switzerland and Liechtenstein, including fertilization of ornamentals and vegetables (</w:t>
      </w:r>
      <w:proofErr w:type="spellStart"/>
      <w:r w:rsidRPr="00AE4345">
        <w:rPr>
          <w:rFonts w:eastAsia="Calibri"/>
          <w:color w:val="538135" w:themeColor="accent6" w:themeShade="BF"/>
          <w:lang w:val="en-US"/>
        </w:rPr>
        <w:t>Vuna</w:t>
      </w:r>
      <w:proofErr w:type="spellEnd"/>
      <w:r w:rsidRPr="00AE4345">
        <w:rPr>
          <w:rFonts w:eastAsia="Calibri"/>
          <w:color w:val="538135" w:themeColor="accent6" w:themeShade="BF"/>
          <w:lang w:val="en-US"/>
        </w:rPr>
        <w:t xml:space="preserve"> GmbH 2019). Due to distillation, </w:t>
      </w:r>
      <w:r w:rsidRPr="00AE4345">
        <w:rPr>
          <w:color w:val="538135" w:themeColor="accent6" w:themeShade="BF"/>
          <w:lang w:val="en-US"/>
        </w:rPr>
        <w:t>the</w:t>
      </w:r>
      <w:r w:rsidRPr="00AE4345">
        <w:rPr>
          <w:rFonts w:eastAsia="Calibri"/>
          <w:color w:val="538135" w:themeColor="accent6" w:themeShade="BF"/>
          <w:lang w:val="en-US"/>
        </w:rPr>
        <w:t xml:space="preserve"> concentration </w:t>
      </w:r>
      <w:r w:rsidRPr="00AE4345">
        <w:rPr>
          <w:color w:val="538135" w:themeColor="accent6" w:themeShade="BF"/>
          <w:lang w:val="en-US"/>
        </w:rPr>
        <w:t>of</w:t>
      </w:r>
      <w:r w:rsidRPr="00AE4345">
        <w:rPr>
          <w:rFonts w:eastAsia="Calibri"/>
          <w:color w:val="538135" w:themeColor="accent6" w:themeShade="BF"/>
          <w:lang w:val="en-US"/>
        </w:rPr>
        <w:t xml:space="preserve"> the ‘</w:t>
      </w:r>
      <w:proofErr w:type="spellStart"/>
      <w:r w:rsidRPr="00AE4345">
        <w:rPr>
          <w:rFonts w:eastAsia="Calibri"/>
          <w:color w:val="538135" w:themeColor="accent6" w:themeShade="BF"/>
          <w:lang w:val="en-US"/>
        </w:rPr>
        <w:t>Aurin</w:t>
      </w:r>
      <w:proofErr w:type="spellEnd"/>
      <w:r w:rsidRPr="00AE4345">
        <w:rPr>
          <w:rFonts w:eastAsia="Calibri"/>
          <w:color w:val="538135" w:themeColor="accent6" w:themeShade="BF"/>
          <w:lang w:val="en-US"/>
        </w:rPr>
        <w:t xml:space="preserve">’ RF is about 10 fold higher </w:t>
      </w:r>
      <w:r w:rsidRPr="00AE4345">
        <w:rPr>
          <w:color w:val="538135" w:themeColor="accent6" w:themeShade="BF"/>
          <w:lang w:val="en-US"/>
        </w:rPr>
        <w:t>than</w:t>
      </w:r>
      <w:r w:rsidRPr="00AE4345">
        <w:rPr>
          <w:rFonts w:eastAsia="Calibri"/>
          <w:color w:val="538135" w:themeColor="accent6" w:themeShade="BF"/>
          <w:lang w:val="en-US"/>
        </w:rPr>
        <w:t xml:space="preserve"> the ‘Crop’ RF, </w:t>
      </w:r>
      <w:r w:rsidRPr="00AE4345">
        <w:rPr>
          <w:color w:val="538135" w:themeColor="accent6" w:themeShade="BF"/>
          <w:lang w:val="en-US"/>
        </w:rPr>
        <w:t>resulting in a</w:t>
      </w:r>
      <w:r w:rsidRPr="00AE4345">
        <w:rPr>
          <w:rFonts w:eastAsia="Calibri"/>
          <w:color w:val="538135" w:themeColor="accent6" w:themeShade="BF"/>
          <w:lang w:val="en-US"/>
        </w:rPr>
        <w:t xml:space="preserve"> NH</w:t>
      </w:r>
      <w:r w:rsidRPr="00AE4345">
        <w:rPr>
          <w:rFonts w:eastAsia="Calibri"/>
          <w:color w:val="538135" w:themeColor="accent6" w:themeShade="BF"/>
          <w:vertAlign w:val="subscript"/>
          <w:lang w:val="en-US"/>
        </w:rPr>
        <w:t>4</w:t>
      </w:r>
      <w:r w:rsidRPr="00AE4345">
        <w:rPr>
          <w:rFonts w:eastAsia="Calibri"/>
          <w:color w:val="538135" w:themeColor="accent6" w:themeShade="BF"/>
          <w:vertAlign w:val="superscript"/>
          <w:lang w:val="en-US"/>
        </w:rPr>
        <w:t>+</w:t>
      </w:r>
      <w:r w:rsidRPr="00AE4345">
        <w:rPr>
          <w:rFonts w:eastAsia="Calibri"/>
          <w:color w:val="538135" w:themeColor="accent6" w:themeShade="BF"/>
          <w:lang w:val="en-US"/>
        </w:rPr>
        <w:t>: NO</w:t>
      </w:r>
      <w:r w:rsidRPr="00AE4345">
        <w:rPr>
          <w:rFonts w:eastAsia="Calibri"/>
          <w:color w:val="538135" w:themeColor="accent6" w:themeShade="BF"/>
          <w:vertAlign w:val="subscript"/>
          <w:lang w:val="en-US"/>
        </w:rPr>
        <w:t>3</w:t>
      </w:r>
      <w:r w:rsidRPr="00AE4345">
        <w:rPr>
          <w:rFonts w:eastAsia="Calibri"/>
          <w:color w:val="538135" w:themeColor="accent6" w:themeShade="BF"/>
          <w:vertAlign w:val="superscript"/>
          <w:lang w:val="en-US"/>
        </w:rPr>
        <w:t>-</w:t>
      </w:r>
      <w:r w:rsidRPr="00AE4345">
        <w:rPr>
          <w:rFonts w:eastAsia="Calibri"/>
          <w:color w:val="538135" w:themeColor="accent6" w:themeShade="BF"/>
          <w:lang w:val="en-US"/>
        </w:rPr>
        <w:t xml:space="preserve"> ratio of 1:1</w:t>
      </w:r>
      <w:r w:rsidRPr="00AE4345">
        <w:rPr>
          <w:color w:val="538135" w:themeColor="accent6" w:themeShade="BF"/>
          <w:lang w:val="en-US"/>
        </w:rPr>
        <w:t xml:space="preserve"> (Table 1 main text).</w:t>
      </w:r>
    </w:p>
    <w:p w:rsidR="00AE4345" w:rsidRPr="00AE4345" w:rsidRDefault="00AE4345" w:rsidP="00AE4345">
      <w:pPr>
        <w:jc w:val="both"/>
        <w:rPr>
          <w:color w:val="538135" w:themeColor="accent6" w:themeShade="BF"/>
          <w:lang w:val="en-US"/>
        </w:rPr>
      </w:pPr>
    </w:p>
    <w:p w:rsidR="00074F69" w:rsidRDefault="00074F69" w:rsidP="00AE4345">
      <w:pPr>
        <w:jc w:val="center"/>
        <w:rPr>
          <w:lang w:val="en-US"/>
        </w:rPr>
      </w:pPr>
      <w:bookmarkStart w:id="1" w:name="_GoBack"/>
      <w:r w:rsidRPr="00921038">
        <w:rPr>
          <w:noProof/>
          <w:lang w:val="de-DE" w:eastAsia="de-DE"/>
        </w:rPr>
        <w:drawing>
          <wp:inline distT="0" distB="0" distL="0" distR="0" wp14:anchorId="66266187" wp14:editId="6978698F">
            <wp:extent cx="5731510" cy="3584429"/>
            <wp:effectExtent l="0" t="0" r="2540" b="0"/>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090" t="17630" r="10894" b="5314"/>
                    <a:stretch/>
                  </pic:blipFill>
                  <pic:spPr bwMode="auto">
                    <a:xfrm>
                      <a:off x="0" y="0"/>
                      <a:ext cx="5731510" cy="3584429"/>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p w:rsidR="00074F69" w:rsidRPr="00AE4345" w:rsidRDefault="00074F69" w:rsidP="00AE4345">
      <w:pPr>
        <w:pStyle w:val="Beschriftung"/>
        <w:jc w:val="center"/>
        <w:rPr>
          <w:color w:val="538135" w:themeColor="accent6" w:themeShade="BF"/>
        </w:rPr>
      </w:pPr>
      <w:r w:rsidRPr="00AE4345">
        <w:rPr>
          <w:b/>
          <w:color w:val="538135" w:themeColor="accent6" w:themeShade="BF"/>
        </w:rPr>
        <w:t xml:space="preserve">Figure 14: </w:t>
      </w:r>
      <w:r w:rsidRPr="00AE4345">
        <w:rPr>
          <w:color w:val="538135" w:themeColor="accent6" w:themeShade="BF"/>
        </w:rPr>
        <w:t xml:space="preserve">The </w:t>
      </w:r>
      <w:proofErr w:type="spellStart"/>
      <w:r w:rsidRPr="00AE4345">
        <w:rPr>
          <w:color w:val="538135" w:themeColor="accent6" w:themeShade="BF"/>
        </w:rPr>
        <w:t>Vuna</w:t>
      </w:r>
      <w:proofErr w:type="spellEnd"/>
      <w:r w:rsidRPr="00AE4345">
        <w:rPr>
          <w:color w:val="538135" w:themeColor="accent6" w:themeShade="BF"/>
        </w:rPr>
        <w:t xml:space="preserve"> process to produce the NUF product ‘</w:t>
      </w:r>
      <w:proofErr w:type="spellStart"/>
      <w:r w:rsidRPr="00AE4345">
        <w:rPr>
          <w:color w:val="538135" w:themeColor="accent6" w:themeShade="BF"/>
        </w:rPr>
        <w:t>Aurin</w:t>
      </w:r>
      <w:proofErr w:type="spellEnd"/>
      <w:r w:rsidRPr="00AE4345">
        <w:rPr>
          <w:color w:val="538135" w:themeColor="accent6" w:themeShade="BF"/>
        </w:rPr>
        <w:t xml:space="preserve">’ (source: </w:t>
      </w:r>
      <w:hyperlink r:id="rId16" w:history="1">
        <w:r w:rsidRPr="00AE4345">
          <w:rPr>
            <w:color w:val="538135" w:themeColor="accent6" w:themeShade="BF"/>
          </w:rPr>
          <w:t>http://vuna.ch/content/verfahren_E.png</w:t>
        </w:r>
      </w:hyperlink>
      <w:r w:rsidRPr="00AE4345">
        <w:rPr>
          <w:color w:val="538135" w:themeColor="accent6" w:themeShade="BF"/>
        </w:rPr>
        <w:t>).</w:t>
      </w:r>
    </w:p>
    <w:p w:rsidR="000D133D" w:rsidRDefault="002E33D5"/>
    <w:sectPr w:rsidR="000D133D" w:rsidSect="006954FA">
      <w:pgSz w:w="12240" w:h="15840"/>
      <w:pgMar w:top="1080" w:right="1440" w:bottom="1170" w:left="1440" w:header="720" w:footer="720" w:gutter="0"/>
      <w:lnNumType w:countBy="1" w:restart="continuous"/>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69"/>
    <w:rsid w:val="00074F69"/>
    <w:rsid w:val="002E33D5"/>
    <w:rsid w:val="003537C5"/>
    <w:rsid w:val="00913051"/>
    <w:rsid w:val="00AE4345"/>
    <w:rsid w:val="00C901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6023EF-AA3F-45B0-A6E3-BA998977E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74F69"/>
    <w:pPr>
      <w:spacing w:after="0" w:line="360" w:lineRule="auto"/>
    </w:pPr>
    <w:rPr>
      <w:rFonts w:ascii="Calibri Light" w:eastAsia="Times New Roman" w:hAnsi="Calibri Light" w:cs="Times New Roman"/>
      <w:szCs w:val="24"/>
      <w:lang w:val="en-GB" w:eastAsia="zh-CN"/>
    </w:rPr>
  </w:style>
  <w:style w:type="paragraph" w:styleId="berschrift1">
    <w:name w:val="heading 1"/>
    <w:basedOn w:val="Standard"/>
    <w:next w:val="Standard"/>
    <w:link w:val="berschrift1Zchn"/>
    <w:uiPriority w:val="9"/>
    <w:qFormat/>
    <w:rsid w:val="00074F69"/>
    <w:pPr>
      <w:spacing w:before="480"/>
      <w:contextualSpacing/>
      <w:outlineLvl w:val="0"/>
    </w:pPr>
    <w:rPr>
      <w:rFonts w:eastAsiaTheme="majorEastAsia" w:cstheme="majorBidi"/>
      <w:b/>
      <w:bCs/>
      <w:sz w:val="26"/>
      <w:szCs w:val="28"/>
    </w:rPr>
  </w:style>
  <w:style w:type="paragraph" w:styleId="berschrift2">
    <w:name w:val="heading 2"/>
    <w:basedOn w:val="Standard"/>
    <w:next w:val="Standard"/>
    <w:link w:val="berschrift2Zchn"/>
    <w:uiPriority w:val="9"/>
    <w:unhideWhenUsed/>
    <w:qFormat/>
    <w:rsid w:val="00074F69"/>
    <w:pPr>
      <w:spacing w:before="200"/>
      <w:jc w:val="center"/>
      <w:outlineLvl w:val="1"/>
    </w:pPr>
    <w:rPr>
      <w:rFonts w:eastAsiaTheme="majorEastAsia" w:cstheme="majorBidi"/>
      <w:b/>
      <w:bCs/>
      <w:sz w:val="28"/>
      <w:szCs w:val="26"/>
    </w:rPr>
  </w:style>
  <w:style w:type="paragraph" w:styleId="berschrift4">
    <w:name w:val="heading 4"/>
    <w:aliases w:val="TABLE Caption"/>
    <w:basedOn w:val="Standard"/>
    <w:next w:val="Standard"/>
    <w:link w:val="berschrift4Zchn"/>
    <w:uiPriority w:val="9"/>
    <w:unhideWhenUsed/>
    <w:qFormat/>
    <w:rsid w:val="00074F69"/>
    <w:pPr>
      <w:spacing w:line="240" w:lineRule="auto"/>
      <w:outlineLvl w:val="3"/>
    </w:pPr>
    <w:rPr>
      <w:rFonts w:eastAsiaTheme="majorEastAsia" w:cstheme="majorBidi"/>
      <w:bCs/>
      <w:iCs/>
      <w:sz w:val="18"/>
    </w:rPr>
  </w:style>
  <w:style w:type="paragraph" w:styleId="berschrift6">
    <w:name w:val="heading 6"/>
    <w:aliases w:val="Table/figure"/>
    <w:basedOn w:val="Standard"/>
    <w:next w:val="Standard"/>
    <w:link w:val="berschrift6Zchn"/>
    <w:uiPriority w:val="9"/>
    <w:unhideWhenUsed/>
    <w:qFormat/>
    <w:rsid w:val="00074F69"/>
    <w:pPr>
      <w:spacing w:line="240" w:lineRule="auto"/>
      <w:outlineLvl w:val="5"/>
    </w:pPr>
    <w:rPr>
      <w:rFonts w:eastAsiaTheme="majorEastAsia" w:cstheme="majorBidi"/>
      <w:bCs/>
      <w:iCs/>
      <w:color w:val="000000" w:themeColor="text1"/>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74F69"/>
    <w:rPr>
      <w:rFonts w:ascii="Calibri Light" w:eastAsiaTheme="majorEastAsia" w:hAnsi="Calibri Light" w:cstheme="majorBidi"/>
      <w:b/>
      <w:bCs/>
      <w:sz w:val="26"/>
      <w:szCs w:val="28"/>
      <w:lang w:val="en-GB" w:eastAsia="zh-CN"/>
    </w:rPr>
  </w:style>
  <w:style w:type="character" w:customStyle="1" w:styleId="berschrift2Zchn">
    <w:name w:val="Überschrift 2 Zchn"/>
    <w:basedOn w:val="Absatz-Standardschriftart"/>
    <w:link w:val="berschrift2"/>
    <w:uiPriority w:val="9"/>
    <w:rsid w:val="00074F69"/>
    <w:rPr>
      <w:rFonts w:ascii="Calibri Light" w:eastAsiaTheme="majorEastAsia" w:hAnsi="Calibri Light" w:cstheme="majorBidi"/>
      <w:b/>
      <w:bCs/>
      <w:sz w:val="28"/>
      <w:szCs w:val="26"/>
      <w:lang w:val="en-GB" w:eastAsia="zh-CN"/>
    </w:rPr>
  </w:style>
  <w:style w:type="character" w:customStyle="1" w:styleId="berschrift4Zchn">
    <w:name w:val="Überschrift 4 Zchn"/>
    <w:aliases w:val="TABLE Caption Zchn"/>
    <w:basedOn w:val="Absatz-Standardschriftart"/>
    <w:link w:val="berschrift4"/>
    <w:uiPriority w:val="9"/>
    <w:rsid w:val="00074F69"/>
    <w:rPr>
      <w:rFonts w:ascii="Calibri Light" w:eastAsiaTheme="majorEastAsia" w:hAnsi="Calibri Light" w:cstheme="majorBidi"/>
      <w:bCs/>
      <w:iCs/>
      <w:sz w:val="18"/>
      <w:szCs w:val="24"/>
      <w:lang w:val="en-GB" w:eastAsia="zh-CN"/>
    </w:rPr>
  </w:style>
  <w:style w:type="character" w:customStyle="1" w:styleId="berschrift6Zchn">
    <w:name w:val="Überschrift 6 Zchn"/>
    <w:aliases w:val="Table/figure Zchn"/>
    <w:basedOn w:val="Absatz-Standardschriftart"/>
    <w:link w:val="berschrift6"/>
    <w:uiPriority w:val="9"/>
    <w:rsid w:val="00074F69"/>
    <w:rPr>
      <w:rFonts w:ascii="Calibri Light" w:eastAsiaTheme="majorEastAsia" w:hAnsi="Calibri Light" w:cstheme="majorBidi"/>
      <w:bCs/>
      <w:iCs/>
      <w:color w:val="000000" w:themeColor="text1"/>
      <w:sz w:val="18"/>
      <w:szCs w:val="24"/>
      <w:lang w:val="en-GB" w:eastAsia="zh-CN"/>
    </w:rPr>
  </w:style>
  <w:style w:type="paragraph" w:styleId="Beschriftung">
    <w:name w:val="caption"/>
    <w:aliases w:val="Beschriftung Table /Figure"/>
    <w:basedOn w:val="Standard"/>
    <w:next w:val="Standard"/>
    <w:uiPriority w:val="35"/>
    <w:unhideWhenUsed/>
    <w:qFormat/>
    <w:rsid w:val="00074F69"/>
    <w:pPr>
      <w:spacing w:line="240" w:lineRule="auto"/>
    </w:pPr>
    <w:rPr>
      <w:bCs/>
      <w:sz w:val="18"/>
      <w:szCs w:val="18"/>
    </w:rPr>
  </w:style>
  <w:style w:type="character" w:styleId="Zeilennummer">
    <w:name w:val="line number"/>
    <w:basedOn w:val="Absatz-Standardschriftart"/>
    <w:uiPriority w:val="99"/>
    <w:semiHidden/>
    <w:unhideWhenUsed/>
    <w:rsid w:val="00074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vuna.ch/content/verfahren_E.png" TargetMode="External"/><Relationship Id="rId1" Type="http://schemas.openxmlformats.org/officeDocument/2006/relationships/styles" Target="styles.xml"/><Relationship Id="rId6" Type="http://schemas.openxmlformats.org/officeDocument/2006/relationships/image" Target="media/image3.tif"/><Relationship Id="rId11" Type="http://schemas.openxmlformats.org/officeDocument/2006/relationships/image" Target="media/image8.jpeg"/><Relationship Id="rId5" Type="http://schemas.openxmlformats.org/officeDocument/2006/relationships/image" Target="media/image2.tif"/><Relationship Id="rId15" Type="http://schemas.openxmlformats.org/officeDocument/2006/relationships/image" Target="media/image12.png"/><Relationship Id="rId10" Type="http://schemas.openxmlformats.org/officeDocument/2006/relationships/image" Target="media/image7.jpeg"/><Relationship Id="rId4" Type="http://schemas.openxmlformats.org/officeDocument/2006/relationships/image" Target="media/image1.tif"/><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2379</Words>
  <Characters>14993</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Leibniz-Institut für Gemüse- und Zierpflanzenbau</Company>
  <LinksUpToDate>false</LinksUpToDate>
  <CharactersWithSpaces>17338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Krause, Ariane</dc:creator>
  <cp:keywords/>
  <dc:description/>
  <cp:lastModifiedBy>Krause, Ariane</cp:lastModifiedBy>
  <cp:revision>3</cp:revision>
  <dcterms:created xsi:type="dcterms:W3CDTF">2020-07-02T17:08:00Z</dcterms:created>
  <dcterms:modified xsi:type="dcterms:W3CDTF">2020-07-03T06:13:00Z</dcterms:modified>
</cp:coreProperties>
</file>