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012" w:rsidRDefault="00C63012" w:rsidP="00C63012">
      <w:pPr>
        <w:rPr>
          <w:b/>
          <w:u w:val="single"/>
          <w:lang w:val="en-US"/>
        </w:rPr>
      </w:pPr>
      <w:r w:rsidRPr="00CA3406">
        <w:rPr>
          <w:b/>
          <w:u w:val="single"/>
          <w:lang w:val="en-US"/>
        </w:rPr>
        <w:t>Supplementary material</w:t>
      </w:r>
    </w:p>
    <w:p w:rsidR="00C63012" w:rsidRPr="00FE714B" w:rsidRDefault="00C63012" w:rsidP="00C63012">
      <w:pPr>
        <w:pStyle w:val="Caption"/>
        <w:ind w:right="992"/>
        <w:rPr>
          <w:b w:val="0"/>
          <w:i w:val="0"/>
          <w:sz w:val="24"/>
        </w:rPr>
      </w:pPr>
      <w:r w:rsidRPr="00FE714B">
        <w:rPr>
          <w:i w:val="0"/>
          <w:sz w:val="24"/>
        </w:rPr>
        <w:t xml:space="preserve">Table </w:t>
      </w:r>
      <w:r w:rsidRPr="00FE714B">
        <w:rPr>
          <w:i w:val="0"/>
          <w:sz w:val="24"/>
        </w:rPr>
        <w:fldChar w:fldCharType="begin"/>
      </w:r>
      <w:r w:rsidRPr="00FE714B">
        <w:rPr>
          <w:i w:val="0"/>
          <w:sz w:val="24"/>
        </w:rPr>
        <w:instrText xml:space="preserve"> SEQ Table \* ARABIC </w:instrText>
      </w:r>
      <w:r w:rsidRPr="00FE714B">
        <w:rPr>
          <w:i w:val="0"/>
          <w:sz w:val="24"/>
        </w:rPr>
        <w:fldChar w:fldCharType="separate"/>
      </w:r>
      <w:r w:rsidRPr="00FE714B">
        <w:rPr>
          <w:i w:val="0"/>
          <w:sz w:val="24"/>
        </w:rPr>
        <w:t>1</w:t>
      </w:r>
      <w:r w:rsidRPr="00FE714B">
        <w:rPr>
          <w:i w:val="0"/>
          <w:sz w:val="24"/>
        </w:rPr>
        <w:fldChar w:fldCharType="end"/>
      </w:r>
      <w:r>
        <w:rPr>
          <w:i w:val="0"/>
          <w:sz w:val="24"/>
        </w:rPr>
        <w:t>, SM</w:t>
      </w:r>
      <w:r w:rsidRPr="00FE714B">
        <w:rPr>
          <w:b w:val="0"/>
          <w:i w:val="0"/>
          <w:sz w:val="24"/>
        </w:rPr>
        <w:t xml:space="preserve">: </w:t>
      </w:r>
      <w:r w:rsidRPr="00BB6F67">
        <w:rPr>
          <w:b w:val="0"/>
          <w:i w:val="0"/>
          <w:sz w:val="24"/>
        </w:rPr>
        <w:t>Details of MRM transitions, cone voltage, and collision energy used for quantification an</w:t>
      </w:r>
      <w:r>
        <w:rPr>
          <w:b w:val="0"/>
          <w:i w:val="0"/>
          <w:sz w:val="24"/>
        </w:rPr>
        <w:t>d qualification of PFOS isomers</w:t>
      </w:r>
    </w:p>
    <w:tbl>
      <w:tblPr>
        <w:tblStyle w:val="GridTable1Light"/>
        <w:tblW w:w="9143" w:type="dxa"/>
        <w:tblLook w:val="04A0" w:firstRow="1" w:lastRow="0" w:firstColumn="1" w:lastColumn="0" w:noHBand="0" w:noVBand="1"/>
      </w:tblPr>
      <w:tblGrid>
        <w:gridCol w:w="2515"/>
        <w:gridCol w:w="1890"/>
        <w:gridCol w:w="2318"/>
        <w:gridCol w:w="1210"/>
        <w:gridCol w:w="1210"/>
      </w:tblGrid>
      <w:tr w:rsidR="00C63012" w:rsidTr="00954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40" w:lineRule="auto"/>
              <w:jc w:val="center"/>
              <w:rPr>
                <w:b w:val="0"/>
                <w:color w:val="000000"/>
                <w:lang w:eastAsia="en-CA"/>
              </w:rPr>
            </w:pPr>
            <w:r>
              <w:rPr>
                <w:bCs w:val="0"/>
                <w:color w:val="000000"/>
                <w:lang w:eastAsia="en-CA"/>
              </w:rPr>
              <w:t>PFOS isomers /</w:t>
            </w:r>
          </w:p>
          <w:p w:rsidR="00C63012" w:rsidRDefault="00C63012" w:rsidP="00954B8D">
            <w:pPr>
              <w:spacing w:line="240" w:lineRule="auto"/>
              <w:jc w:val="center"/>
            </w:pPr>
            <w:r>
              <w:rPr>
                <w:bCs w:val="0"/>
                <w:color w:val="000000"/>
                <w:lang w:eastAsia="en-CA"/>
              </w:rPr>
              <w:t>co-eluted isomers</w:t>
            </w:r>
          </w:p>
        </w:tc>
        <w:tc>
          <w:tcPr>
            <w:tcW w:w="18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 w:val="0"/>
                <w:color w:val="000000"/>
                <w:lang w:val="en-US" w:eastAsia="en-CA"/>
              </w:rPr>
              <w:t>parent</w:t>
            </w:r>
          </w:p>
        </w:tc>
        <w:tc>
          <w:tcPr>
            <w:tcW w:w="23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5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 w:val="0"/>
                <w:color w:val="000000"/>
                <w:lang w:val="en-US" w:eastAsia="en-CA"/>
              </w:rPr>
              <w:t>Daughters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US" w:eastAsia="en-CA"/>
              </w:rPr>
            </w:pPr>
            <w:r>
              <w:rPr>
                <w:bCs w:val="0"/>
                <w:color w:val="000000"/>
                <w:lang w:eastAsia="en-CA"/>
              </w:rPr>
              <w:t xml:space="preserve">Cone </w:t>
            </w:r>
            <w:r>
              <w:rPr>
                <w:bCs w:val="0"/>
                <w:color w:val="000000"/>
                <w:lang w:val="en-US" w:eastAsia="en-CA"/>
              </w:rPr>
              <w:t>(V)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eastAsia="en-CA"/>
              </w:rPr>
            </w:pPr>
            <w:r>
              <w:rPr>
                <w:bCs w:val="0"/>
                <w:color w:val="000000"/>
                <w:lang w:eastAsia="en-CA"/>
              </w:rPr>
              <w:t>Collision (V)</w:t>
            </w:r>
          </w:p>
        </w:tc>
      </w:tr>
      <w:tr w:rsidR="00C63012" w:rsidTr="00954B8D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rPr>
                <w:bCs w:val="0"/>
                <w:color w:val="000000"/>
                <w:lang w:eastAsia="en-CA"/>
              </w:rPr>
            </w:pPr>
          </w:p>
        </w:tc>
        <w:tc>
          <w:tcPr>
            <w:tcW w:w="18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lang w:eastAsia="en-CA"/>
              </w:rPr>
            </w:pPr>
            <w:r>
              <w:rPr>
                <w:b/>
                <w:bCs/>
                <w:color w:val="000000"/>
                <w:lang w:eastAsia="en-CA"/>
              </w:rPr>
              <w:t>(m/z)</w:t>
            </w:r>
          </w:p>
        </w:tc>
        <w:tc>
          <w:tcPr>
            <w:tcW w:w="23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lang w:eastAsia="en-CA"/>
              </w:rPr>
            </w:pPr>
            <w:r>
              <w:rPr>
                <w:b/>
                <w:bCs/>
                <w:color w:val="000000"/>
                <w:lang w:eastAsia="en-CA"/>
              </w:rPr>
              <w:t>(m/z)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lang w:eastAsia="en-CA"/>
              </w:rPr>
            </w:pPr>
            <w:r>
              <w:rPr>
                <w:b/>
                <w:bCs/>
                <w:color w:val="000000"/>
                <w:lang w:eastAsia="en-CA"/>
              </w:rPr>
              <w:t>(V)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lang w:eastAsia="en-CA"/>
              </w:rPr>
            </w:pPr>
            <w:r>
              <w:rPr>
                <w:b/>
                <w:bCs/>
                <w:color w:val="000000"/>
                <w:lang w:eastAsia="en-CA"/>
              </w:rPr>
              <w:t>(eV)</w:t>
            </w:r>
          </w:p>
        </w:tc>
      </w:tr>
      <w:tr w:rsidR="00C63012" w:rsidTr="00954B8D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40" w:lineRule="auto"/>
              <w:jc w:val="center"/>
              <w:rPr>
                <w:b w:val="0"/>
                <w:color w:val="000000"/>
                <w:lang w:eastAsia="en-CA"/>
              </w:rPr>
            </w:pPr>
            <w:r>
              <w:rPr>
                <w:b w:val="0"/>
                <w:bCs w:val="0"/>
                <w:color w:val="000000"/>
                <w:lang w:eastAsia="en-CA"/>
              </w:rPr>
              <w:t>L-PFOS</w:t>
            </w:r>
          </w:p>
        </w:tc>
        <w:tc>
          <w:tcPr>
            <w:tcW w:w="18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498.97</w:t>
            </w:r>
          </w:p>
        </w:tc>
        <w:tc>
          <w:tcPr>
            <w:tcW w:w="23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98.96</w:t>
            </w:r>
            <w:r>
              <w:rPr>
                <w:color w:val="000000"/>
                <w:vertAlign w:val="superscript"/>
                <w:lang w:eastAsia="en-CA"/>
              </w:rPr>
              <w:t>⁎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/>
                <w:lang w:eastAsia="en-CA"/>
              </w:rPr>
            </w:pPr>
            <w:r>
              <w:rPr>
                <w:rFonts w:eastAsia="Times New Roman"/>
                <w:bCs/>
                <w:color w:val="000000"/>
                <w:lang w:eastAsia="en-CA"/>
              </w:rPr>
              <w:t>169.03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20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38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34</w:t>
            </w:r>
          </w:p>
        </w:tc>
      </w:tr>
      <w:tr w:rsidR="00C63012" w:rsidTr="00954B8D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</w:tcPr>
          <w:p w:rsidR="00C63012" w:rsidRDefault="00C63012" w:rsidP="00954B8D">
            <w:pPr>
              <w:spacing w:line="240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  <w:r w:rsidRPr="005307B4">
              <w:rPr>
                <w:rFonts w:eastAsia="Times New Roman"/>
                <w:b w:val="0"/>
                <w:i/>
                <w:iCs/>
              </w:rPr>
              <w:t>m</w:t>
            </w:r>
            <w:r>
              <w:rPr>
                <w:rFonts w:eastAsia="Times New Roman"/>
                <w:b w:val="0"/>
              </w:rPr>
              <w:t>-PFOS</w:t>
            </w:r>
          </w:p>
        </w:tc>
        <w:tc>
          <w:tcPr>
            <w:tcW w:w="18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498.97</w:t>
            </w:r>
          </w:p>
        </w:tc>
        <w:tc>
          <w:tcPr>
            <w:tcW w:w="23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98.96</w:t>
            </w:r>
            <w:r>
              <w:rPr>
                <w:color w:val="000000"/>
                <w:vertAlign w:val="superscript"/>
                <w:lang w:eastAsia="en-CA"/>
              </w:rPr>
              <w:t>⁎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rFonts w:eastAsia="Times New Roman"/>
                <w:bCs/>
                <w:color w:val="000000"/>
                <w:lang w:eastAsia="en-CA"/>
              </w:rPr>
              <w:t>169.03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20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38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34</w:t>
            </w:r>
          </w:p>
        </w:tc>
      </w:tr>
      <w:tr w:rsidR="00C63012" w:rsidTr="00954B8D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40" w:lineRule="auto"/>
              <w:jc w:val="center"/>
              <w:rPr>
                <w:b w:val="0"/>
                <w:color w:val="000000"/>
                <w:lang w:eastAsia="en-CA"/>
              </w:rPr>
            </w:pPr>
            <w:r>
              <w:rPr>
                <w:rFonts w:eastAsia="Times New Roman"/>
                <w:b w:val="0"/>
              </w:rPr>
              <w:t>6/2</w:t>
            </w:r>
            <w:r w:rsidRPr="005307B4">
              <w:rPr>
                <w:rFonts w:eastAsia="Times New Roman"/>
                <w:b w:val="0"/>
                <w:i/>
                <w:iCs/>
              </w:rPr>
              <w:t>m</w:t>
            </w:r>
            <w:r>
              <w:rPr>
                <w:rFonts w:eastAsia="Times New Roman"/>
                <w:b w:val="0"/>
              </w:rPr>
              <w:t>-PFOS</w:t>
            </w:r>
          </w:p>
        </w:tc>
        <w:tc>
          <w:tcPr>
            <w:tcW w:w="18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498.97</w:t>
            </w:r>
          </w:p>
        </w:tc>
        <w:tc>
          <w:tcPr>
            <w:tcW w:w="23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98.96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/>
                <w:lang w:eastAsia="en-CA"/>
              </w:rPr>
            </w:pPr>
            <w:r>
              <w:rPr>
                <w:rFonts w:eastAsia="Times New Roman"/>
                <w:bCs/>
                <w:color w:val="000000"/>
                <w:lang w:eastAsia="en-CA"/>
              </w:rPr>
              <w:t>169.03</w:t>
            </w:r>
            <w:r>
              <w:rPr>
                <w:color w:val="000000"/>
                <w:vertAlign w:val="superscript"/>
                <w:lang w:eastAsia="en-CA"/>
              </w:rPr>
              <w:t>⁎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20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38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34</w:t>
            </w:r>
          </w:p>
        </w:tc>
      </w:tr>
      <w:tr w:rsidR="00C63012" w:rsidTr="00954B8D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40" w:lineRule="auto"/>
              <w:jc w:val="center"/>
              <w:rPr>
                <w:b w:val="0"/>
                <w:color w:val="000000"/>
                <w:lang w:eastAsia="en-CA"/>
              </w:rPr>
            </w:pPr>
            <w:r>
              <w:rPr>
                <w:rFonts w:eastAsia="Times New Roman"/>
                <w:b w:val="0"/>
              </w:rPr>
              <w:t>3/4/5</w:t>
            </w:r>
            <w:r w:rsidRPr="005307B4">
              <w:rPr>
                <w:rFonts w:eastAsia="Times New Roman"/>
                <w:b w:val="0"/>
                <w:i/>
                <w:iCs/>
              </w:rPr>
              <w:t>m</w:t>
            </w:r>
            <w:r>
              <w:rPr>
                <w:rFonts w:eastAsia="Times New Roman"/>
                <w:b w:val="0"/>
              </w:rPr>
              <w:t>-PFOS</w:t>
            </w:r>
          </w:p>
        </w:tc>
        <w:tc>
          <w:tcPr>
            <w:tcW w:w="18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498.97</w:t>
            </w:r>
          </w:p>
        </w:tc>
        <w:tc>
          <w:tcPr>
            <w:tcW w:w="23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98.96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rFonts w:eastAsia="Times New Roman"/>
                <w:bCs/>
                <w:color w:val="000000"/>
                <w:lang w:eastAsia="en-CA"/>
              </w:rPr>
              <w:t>79.96</w:t>
            </w:r>
            <w:r>
              <w:rPr>
                <w:color w:val="000000"/>
                <w:vertAlign w:val="superscript"/>
                <w:lang w:eastAsia="en-CA"/>
              </w:rPr>
              <w:t>⁎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20</w:t>
            </w:r>
          </w:p>
        </w:tc>
        <w:tc>
          <w:tcPr>
            <w:tcW w:w="12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38</w:t>
            </w:r>
          </w:p>
          <w:p w:rsidR="00C63012" w:rsidRDefault="00C63012" w:rsidP="00954B8D">
            <w:pPr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44</w:t>
            </w:r>
          </w:p>
        </w:tc>
      </w:tr>
    </w:tbl>
    <w:p w:rsidR="00C63012" w:rsidRDefault="00C63012" w:rsidP="00C63012">
      <w:pPr>
        <w:rPr>
          <w:lang w:val="en-US"/>
        </w:rPr>
      </w:pPr>
      <w:r w:rsidRPr="00BB6F67">
        <w:rPr>
          <w:lang w:val="en-US"/>
        </w:rPr>
        <w:t>⁎: quantified product ion</w:t>
      </w:r>
    </w:p>
    <w:p w:rsidR="00C63012" w:rsidRDefault="00C63012" w:rsidP="00C63012">
      <w:pPr>
        <w:rPr>
          <w:lang w:val="en-US"/>
        </w:rPr>
      </w:pPr>
    </w:p>
    <w:p w:rsidR="00C63012" w:rsidRDefault="00C63012" w:rsidP="00C63012">
      <w:pPr>
        <w:rPr>
          <w:lang w:val="en-US"/>
        </w:rPr>
      </w:pPr>
    </w:p>
    <w:p w:rsidR="00C63012" w:rsidRPr="00BB6F67" w:rsidRDefault="00C63012" w:rsidP="00C63012">
      <w:pPr>
        <w:rPr>
          <w:lang w:val="en-US"/>
        </w:rPr>
      </w:pPr>
    </w:p>
    <w:p w:rsidR="00C63012" w:rsidRPr="00FE714B" w:rsidRDefault="00C63012" w:rsidP="00C63012">
      <w:pPr>
        <w:pStyle w:val="Caption"/>
        <w:ind w:right="992"/>
        <w:rPr>
          <w:b w:val="0"/>
          <w:i w:val="0"/>
          <w:sz w:val="24"/>
        </w:rPr>
      </w:pPr>
      <w:bookmarkStart w:id="0" w:name="_Ref8034534"/>
      <w:r w:rsidRPr="00FE714B">
        <w:rPr>
          <w:i w:val="0"/>
          <w:sz w:val="24"/>
        </w:rPr>
        <w:t xml:space="preserve">Table </w:t>
      </w:r>
      <w:r>
        <w:rPr>
          <w:i w:val="0"/>
          <w:sz w:val="24"/>
        </w:rPr>
        <w:t>2</w:t>
      </w:r>
      <w:bookmarkEnd w:id="0"/>
      <w:r>
        <w:rPr>
          <w:i w:val="0"/>
          <w:sz w:val="24"/>
        </w:rPr>
        <w:t>, SM</w:t>
      </w:r>
      <w:r w:rsidRPr="00FE714B">
        <w:rPr>
          <w:b w:val="0"/>
          <w:i w:val="0"/>
          <w:sz w:val="24"/>
        </w:rPr>
        <w:t xml:space="preserve">: Determination of PFOS concentrations in </w:t>
      </w:r>
      <w:r>
        <w:rPr>
          <w:b w:val="0"/>
          <w:i w:val="0"/>
          <w:sz w:val="24"/>
        </w:rPr>
        <w:t xml:space="preserve">freshly opened solvent ; pipettes  and in </w:t>
      </w:r>
      <w:r w:rsidRPr="00FE714B">
        <w:rPr>
          <w:b w:val="0"/>
          <w:i w:val="0"/>
          <w:sz w:val="24"/>
        </w:rPr>
        <w:t>all steps of the preparation and extraction protocol</w:t>
      </w:r>
      <w:r>
        <w:rPr>
          <w:b w:val="0"/>
          <w:i w:val="0"/>
          <w:sz w:val="24"/>
        </w:rPr>
        <w:t xml:space="preserve"> ; e.g. transfer of </w:t>
      </w:r>
      <w:proofErr w:type="spellStart"/>
      <w:r>
        <w:rPr>
          <w:b w:val="0"/>
          <w:i w:val="0"/>
          <w:sz w:val="24"/>
        </w:rPr>
        <w:t>MeOH</w:t>
      </w:r>
      <w:proofErr w:type="spellEnd"/>
      <w:r>
        <w:rPr>
          <w:b w:val="0"/>
          <w:i w:val="0"/>
          <w:sz w:val="24"/>
        </w:rPr>
        <w:t xml:space="preserve"> with 3 different plastic or glass pipettes, transfer of </w:t>
      </w:r>
      <w:proofErr w:type="spellStart"/>
      <w:r>
        <w:rPr>
          <w:b w:val="0"/>
          <w:i w:val="0"/>
          <w:sz w:val="24"/>
        </w:rPr>
        <w:t>MeOH</w:t>
      </w:r>
      <w:proofErr w:type="spellEnd"/>
      <w:r>
        <w:rPr>
          <w:b w:val="0"/>
          <w:i w:val="0"/>
          <w:sz w:val="24"/>
        </w:rPr>
        <w:t xml:space="preserve"> with same glass pipette, sonication bath and centrifuge</w:t>
      </w:r>
      <w:r w:rsidRPr="00FE714B">
        <w:rPr>
          <w:b w:val="0"/>
          <w:i w:val="0"/>
          <w:sz w:val="24"/>
        </w:rPr>
        <w:t>. (n=2, concentration</w:t>
      </w:r>
      <w:r>
        <w:rPr>
          <w:b w:val="0"/>
          <w:i w:val="0"/>
          <w:sz w:val="24"/>
        </w:rPr>
        <w:t xml:space="preserve"> in </w:t>
      </w:r>
      <w:proofErr w:type="spellStart"/>
      <w:r>
        <w:rPr>
          <w:b w:val="0"/>
          <w:i w:val="0"/>
          <w:sz w:val="24"/>
        </w:rPr>
        <w:t>pg</w:t>
      </w:r>
      <w:proofErr w:type="spellEnd"/>
      <w:r>
        <w:rPr>
          <w:b w:val="0"/>
          <w:i w:val="0"/>
          <w:sz w:val="24"/>
        </w:rPr>
        <w:t>/mL,</w:t>
      </w:r>
      <w:r w:rsidRPr="00FE714B">
        <w:rPr>
          <w:b w:val="0"/>
          <w:i w:val="0"/>
          <w:sz w:val="24"/>
        </w:rPr>
        <w:t xml:space="preserve"> mean ± SD)</w:t>
      </w:r>
    </w:p>
    <w:tbl>
      <w:tblPr>
        <w:tblStyle w:val="GridTable1LightAccent3"/>
        <w:tblW w:w="0" w:type="auto"/>
        <w:jc w:val="center"/>
        <w:tblLook w:val="04A0" w:firstRow="1" w:lastRow="0" w:firstColumn="1" w:lastColumn="0" w:noHBand="0" w:noVBand="1"/>
      </w:tblPr>
      <w:tblGrid>
        <w:gridCol w:w="1883"/>
        <w:gridCol w:w="4463"/>
        <w:gridCol w:w="2954"/>
      </w:tblGrid>
      <w:tr w:rsidR="00C63012" w:rsidRPr="00296E07" w:rsidTr="00954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PFOS concentration (</w:t>
            </w:r>
            <w:proofErr w:type="spellStart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pg</w:t>
            </w:r>
            <w:proofErr w:type="spellEnd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/mL)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Solvent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proofErr w:type="spellStart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MeOH</w:t>
            </w:r>
            <w:proofErr w:type="spellEnd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 (HPLC grade)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0.12 (± 0.2)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proofErr w:type="spellStart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MeOH</w:t>
            </w:r>
            <w:proofErr w:type="spellEnd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 (LC</w:t>
            </w:r>
            <w:r>
              <w:rPr>
                <w:rFonts w:eastAsia="Times New Roman"/>
                <w:sz w:val="22"/>
                <w:szCs w:val="20"/>
                <w:lang w:val="en-US" w:eastAsia="sv-SE"/>
              </w:rPr>
              <w:t xml:space="preserve"> 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MS grade)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3.24 (± 0.85)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Pipettes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Plastic pipette tips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0.69 (± 0.15)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Glass pipette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0.45 (± 0.15)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Entire preparation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i/>
                <w:sz w:val="22"/>
                <w:szCs w:val="20"/>
                <w:lang w:val="en-US" w:eastAsia="sv-SE"/>
              </w:rPr>
              <w:t>Step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: Transfer plastic pipettes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5.26 (± 1.28)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i/>
                <w:sz w:val="22"/>
                <w:szCs w:val="20"/>
                <w:lang w:val="en-US" w:eastAsia="sv-SE"/>
              </w:rPr>
              <w:t>Step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: Transfer glass pipette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2.75 (± 1.46)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i/>
                <w:sz w:val="22"/>
                <w:szCs w:val="20"/>
                <w:lang w:val="en-US" w:eastAsia="sv-SE"/>
              </w:rPr>
              <w:t>Step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: Transfer of </w:t>
            </w:r>
            <w:proofErr w:type="spellStart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MeOH</w:t>
            </w:r>
            <w:proofErr w:type="spellEnd"/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 with</w:t>
            </w:r>
            <w:r>
              <w:rPr>
                <w:rFonts w:eastAsia="Times New Roman"/>
                <w:sz w:val="22"/>
                <w:szCs w:val="20"/>
                <w:lang w:val="en-US" w:eastAsia="sv-SE"/>
              </w:rPr>
              <w:t xml:space="preserve"> same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 xml:space="preserve"> glass pipette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10.12 (± 4.01)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i/>
                <w:sz w:val="22"/>
                <w:szCs w:val="20"/>
                <w:lang w:val="en-US" w:eastAsia="sv-SE"/>
              </w:rPr>
              <w:t>Step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: Sonication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0.16 (± 0.01)</w:t>
            </w:r>
          </w:p>
        </w:tc>
      </w:tr>
      <w:tr w:rsidR="00C63012" w:rsidRPr="00296E07" w:rsidTr="00954B8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63012" w:rsidRPr="00296E07" w:rsidRDefault="00C63012" w:rsidP="00954B8D">
            <w:pPr>
              <w:rPr>
                <w:rFonts w:eastAsia="Times New Roman"/>
                <w:sz w:val="22"/>
                <w:szCs w:val="20"/>
                <w:lang w:val="en-US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 w:rsidRPr="00296E07">
              <w:rPr>
                <w:rFonts w:eastAsia="Times New Roman"/>
                <w:i/>
                <w:sz w:val="22"/>
                <w:szCs w:val="20"/>
                <w:lang w:val="en-US" w:eastAsia="sv-SE"/>
              </w:rPr>
              <w:t>Step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: Centrifugation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C63012" w:rsidRPr="00296E07" w:rsidRDefault="00C63012" w:rsidP="00954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0"/>
                <w:lang w:val="en-US" w:eastAsia="sv-SE"/>
              </w:rPr>
            </w:pPr>
            <w:r>
              <w:rPr>
                <w:rFonts w:eastAsia="Times New Roman"/>
                <w:sz w:val="22"/>
                <w:szCs w:val="20"/>
                <w:lang w:val="en-US" w:eastAsia="sv-SE"/>
              </w:rPr>
              <w:t xml:space="preserve">0.21 </w:t>
            </w:r>
            <w:r w:rsidRPr="00296E07">
              <w:rPr>
                <w:rFonts w:eastAsia="Times New Roman"/>
                <w:sz w:val="22"/>
                <w:szCs w:val="20"/>
                <w:lang w:val="en-US" w:eastAsia="sv-SE"/>
              </w:rPr>
              <w:t>(± 0.06)</w:t>
            </w:r>
          </w:p>
        </w:tc>
      </w:tr>
    </w:tbl>
    <w:p w:rsidR="00C63012" w:rsidRDefault="00C63012" w:rsidP="00C63012">
      <w:pPr>
        <w:rPr>
          <w:lang w:val="en-US"/>
        </w:rPr>
      </w:pPr>
    </w:p>
    <w:p w:rsidR="00C63012" w:rsidRPr="00D01C71" w:rsidRDefault="00C63012" w:rsidP="00C63012">
      <w:pPr>
        <w:rPr>
          <w:lang w:val="en-US"/>
        </w:rPr>
      </w:pPr>
      <w:r w:rsidRPr="007006F5">
        <w:rPr>
          <w:noProof/>
          <w:lang w:val="en-PH" w:eastAsia="en-PH"/>
        </w:rPr>
        <w:drawing>
          <wp:anchor distT="0" distB="0" distL="0" distR="0" simplePos="0" relativeHeight="251659264" behindDoc="0" locked="0" layoutInCell="1" allowOverlap="1" wp14:anchorId="2290D521" wp14:editId="294D20B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0" cy="2133600"/>
            <wp:effectExtent l="0" t="0" r="0" b="0"/>
            <wp:wrapSquare wrapText="largest"/>
            <wp:docPr id="2" name="Bi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6F5">
        <w:rPr>
          <w:b/>
          <w:bCs/>
          <w:lang w:val="en-US"/>
        </w:rPr>
        <w:t xml:space="preserve">Figure </w:t>
      </w:r>
      <w:proofErr w:type="gramStart"/>
      <w:r>
        <w:rPr>
          <w:b/>
          <w:bCs/>
          <w:lang w:val="en-US"/>
        </w:rPr>
        <w:t>1</w:t>
      </w:r>
      <w:proofErr w:type="gramEnd"/>
      <w:r>
        <w:rPr>
          <w:b/>
          <w:bCs/>
          <w:lang w:val="en-US"/>
        </w:rPr>
        <w:t>, SM</w:t>
      </w:r>
      <w:r w:rsidRPr="007006F5">
        <w:rPr>
          <w:b/>
          <w:bCs/>
          <w:lang w:val="en-US"/>
        </w:rPr>
        <w:t>.</w:t>
      </w:r>
      <w:r w:rsidRPr="007006F5">
        <w:rPr>
          <w:lang w:val="en-US"/>
        </w:rPr>
        <w:t xml:space="preserve"> Molecular structure of sodium taurocholate (left) and PFOS (right). Hydrophobic chains and polar functional groups are marked in both compounds in blue and red, respectively.</w:t>
      </w:r>
    </w:p>
    <w:p w:rsidR="00FD3E35" w:rsidRDefault="00FD3E35">
      <w:bookmarkStart w:id="1" w:name="_GoBack"/>
      <w:bookmarkEnd w:id="1"/>
    </w:p>
    <w:sectPr w:rsidR="00FD3E35" w:rsidSect="001B48CA">
      <w:footerReference w:type="default" r:id="rId6"/>
      <w:pgSz w:w="11906" w:h="16838"/>
      <w:pgMar w:top="1411" w:right="1411" w:bottom="1411" w:left="1411" w:header="706" w:footer="706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51668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09DB" w:rsidRDefault="00C630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09DB" w:rsidRDefault="00C6301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12"/>
    <w:rsid w:val="005A1AE8"/>
    <w:rsid w:val="00C63012"/>
    <w:rsid w:val="00FD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012"/>
    <w:pPr>
      <w:spacing w:after="160" w:line="360" w:lineRule="auto"/>
      <w:jc w:val="both"/>
    </w:pPr>
    <w:rPr>
      <w:rFonts w:ascii="Times New Roman" w:hAnsi="Times New Roman" w:cs="Times New Roman"/>
      <w:sz w:val="24"/>
      <w:szCs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Spacing"/>
    <w:uiPriority w:val="35"/>
    <w:unhideWhenUsed/>
    <w:qFormat/>
    <w:rsid w:val="00C63012"/>
    <w:pPr>
      <w:keepNext/>
      <w:spacing w:after="120" w:line="240" w:lineRule="auto"/>
    </w:pPr>
    <w:rPr>
      <w:b/>
      <w:bCs/>
      <w:i/>
      <w:sz w:val="20"/>
      <w:lang w:val="en-US"/>
    </w:rPr>
  </w:style>
  <w:style w:type="table" w:customStyle="1" w:styleId="GridTable1Light">
    <w:name w:val="Grid Table 1 Light"/>
    <w:basedOn w:val="TableNormal"/>
    <w:uiPriority w:val="46"/>
    <w:rsid w:val="00C63012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C63012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C63012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szCs w:val="22"/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C63012"/>
    <w:rPr>
      <w:lang w:val="es-ES"/>
    </w:rPr>
  </w:style>
  <w:style w:type="paragraph" w:styleId="NoSpacing">
    <w:name w:val="No Spacing"/>
    <w:uiPriority w:val="1"/>
    <w:qFormat/>
    <w:rsid w:val="00C6301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sv-SE"/>
    </w:rPr>
  </w:style>
  <w:style w:type="character" w:styleId="LineNumber">
    <w:name w:val="line number"/>
    <w:basedOn w:val="DefaultParagraphFont"/>
    <w:uiPriority w:val="99"/>
    <w:semiHidden/>
    <w:unhideWhenUsed/>
    <w:rsid w:val="00C630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012"/>
    <w:pPr>
      <w:spacing w:after="160" w:line="360" w:lineRule="auto"/>
      <w:jc w:val="both"/>
    </w:pPr>
    <w:rPr>
      <w:rFonts w:ascii="Times New Roman" w:hAnsi="Times New Roman" w:cs="Times New Roman"/>
      <w:sz w:val="24"/>
      <w:szCs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Spacing"/>
    <w:uiPriority w:val="35"/>
    <w:unhideWhenUsed/>
    <w:qFormat/>
    <w:rsid w:val="00C63012"/>
    <w:pPr>
      <w:keepNext/>
      <w:spacing w:after="120" w:line="240" w:lineRule="auto"/>
    </w:pPr>
    <w:rPr>
      <w:b/>
      <w:bCs/>
      <w:i/>
      <w:sz w:val="20"/>
      <w:lang w:val="en-US"/>
    </w:rPr>
  </w:style>
  <w:style w:type="table" w:customStyle="1" w:styleId="GridTable1Light">
    <w:name w:val="Grid Table 1 Light"/>
    <w:basedOn w:val="TableNormal"/>
    <w:uiPriority w:val="46"/>
    <w:rsid w:val="00C63012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C63012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C63012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szCs w:val="22"/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C63012"/>
    <w:rPr>
      <w:lang w:val="es-ES"/>
    </w:rPr>
  </w:style>
  <w:style w:type="paragraph" w:styleId="NoSpacing">
    <w:name w:val="No Spacing"/>
    <w:uiPriority w:val="1"/>
    <w:qFormat/>
    <w:rsid w:val="00C6301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sv-SE"/>
    </w:rPr>
  </w:style>
  <w:style w:type="character" w:styleId="LineNumber">
    <w:name w:val="line number"/>
    <w:basedOn w:val="DefaultParagraphFont"/>
    <w:uiPriority w:val="99"/>
    <w:semiHidden/>
    <w:unhideWhenUsed/>
    <w:rsid w:val="00C6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1203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749633</dc:creator>
  <cp:lastModifiedBy>749633</cp:lastModifiedBy>
  <cp:revision>1</cp:revision>
  <dcterms:created xsi:type="dcterms:W3CDTF">2021-08-11T06:15:00Z</dcterms:created>
  <dcterms:modified xsi:type="dcterms:W3CDTF">2021-08-11T06:16:00Z</dcterms:modified>
</cp:coreProperties>
</file>