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59EC5" w14:textId="103F9074" w:rsidR="00F56996" w:rsidRDefault="00D5699F" w:rsidP="00EE0D44">
      <w:pPr>
        <w:rPr>
          <w:rFonts w:ascii="Arial" w:hAnsi="Arial" w:cs="Arial"/>
          <w:b/>
          <w:bCs/>
          <w:lang w:val="en-US"/>
        </w:rPr>
      </w:pPr>
      <w:r w:rsidRPr="00EE0D44">
        <w:rPr>
          <w:rFonts w:ascii="Arial" w:hAnsi="Arial" w:cs="Arial"/>
          <w:b/>
          <w:bCs/>
          <w:lang w:val="en-US"/>
        </w:rPr>
        <w:t>Supplementary files</w:t>
      </w:r>
    </w:p>
    <w:p w14:paraId="7195653D" w14:textId="77777777" w:rsidR="00681F19" w:rsidRPr="00EE0D44" w:rsidRDefault="00681F19" w:rsidP="00EE0D44">
      <w:pPr>
        <w:rPr>
          <w:rFonts w:ascii="Arial" w:hAnsi="Arial" w:cs="Arial"/>
          <w:b/>
          <w:bCs/>
          <w:lang w:val="en-US"/>
        </w:rPr>
      </w:pPr>
    </w:p>
    <w:p w14:paraId="01F5F43E" w14:textId="7188E70D" w:rsidR="00D5699F" w:rsidRPr="00750A50" w:rsidRDefault="00795145" w:rsidP="00D5699F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750A50">
        <w:rPr>
          <w:rFonts w:ascii="Arial" w:hAnsi="Arial" w:cs="Arial"/>
          <w:b/>
          <w:bCs/>
          <w:sz w:val="20"/>
          <w:szCs w:val="20"/>
          <w:lang w:val="en-US"/>
        </w:rPr>
        <w:t xml:space="preserve">Title: </w:t>
      </w:r>
      <w:r w:rsidR="00D5699F" w:rsidRPr="00750A50">
        <w:rPr>
          <w:rFonts w:ascii="Arial" w:hAnsi="Arial" w:cs="Arial"/>
          <w:sz w:val="20"/>
          <w:szCs w:val="20"/>
          <w:lang w:val="en-US"/>
        </w:rPr>
        <w:t>Agriculture without paraquat is feasible without loss of productivity. Lessons learned from phasing out a highly hazardous herbicide</w:t>
      </w:r>
    </w:p>
    <w:p w14:paraId="53A7A17A" w14:textId="75694827" w:rsidR="00D5699F" w:rsidRPr="00750A50" w:rsidRDefault="00795145" w:rsidP="00D5699F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750A50">
        <w:rPr>
          <w:rFonts w:ascii="Arial" w:hAnsi="Arial" w:cs="Arial"/>
          <w:b/>
          <w:bCs/>
          <w:sz w:val="20"/>
          <w:szCs w:val="20"/>
          <w:lang w:val="en-US"/>
        </w:rPr>
        <w:t xml:space="preserve">Journal: </w:t>
      </w:r>
      <w:r w:rsidRPr="00750A50">
        <w:rPr>
          <w:rFonts w:ascii="Arial" w:hAnsi="Arial" w:cs="Arial"/>
          <w:sz w:val="20"/>
          <w:szCs w:val="20"/>
          <w:lang w:val="en-US"/>
        </w:rPr>
        <w:t>Environmental Science and Pollution Research</w:t>
      </w:r>
    </w:p>
    <w:p w14:paraId="264AAED6" w14:textId="0C85EE5F" w:rsidR="000D3C0D" w:rsidRPr="00750A50" w:rsidRDefault="000D3C0D" w:rsidP="000D3C0D">
      <w:pPr>
        <w:spacing w:line="360" w:lineRule="auto"/>
        <w:rPr>
          <w:rFonts w:ascii="Arial" w:hAnsi="Arial" w:cs="Arial"/>
          <w:bCs/>
          <w:sz w:val="20"/>
          <w:szCs w:val="20"/>
          <w:vertAlign w:val="superscript"/>
          <w:lang w:val="en-US"/>
        </w:rPr>
      </w:pPr>
      <w:r w:rsidRPr="00750A50">
        <w:rPr>
          <w:rFonts w:ascii="Arial" w:hAnsi="Arial" w:cs="Arial"/>
          <w:b/>
          <w:bCs/>
          <w:sz w:val="20"/>
          <w:szCs w:val="20"/>
          <w:lang w:val="en-US"/>
        </w:rPr>
        <w:t xml:space="preserve">Authors: </w:t>
      </w:r>
      <w:r w:rsidRPr="00750A50">
        <w:rPr>
          <w:rFonts w:ascii="Arial" w:hAnsi="Arial" w:cs="Arial"/>
          <w:bCs/>
          <w:sz w:val="20"/>
          <w:szCs w:val="20"/>
          <w:lang w:val="en-US"/>
        </w:rPr>
        <w:t xml:space="preserve">Alexander M.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n-US"/>
        </w:rPr>
        <w:t>Stuart</w:t>
      </w:r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a</w:t>
      </w:r>
      <w:proofErr w:type="spellEnd"/>
      <w:r w:rsidRPr="00750A50">
        <w:rPr>
          <w:rFonts w:ascii="Arial" w:hAnsi="Arial" w:cs="Arial"/>
          <w:bCs/>
          <w:sz w:val="20"/>
          <w:szCs w:val="20"/>
          <w:lang w:val="en-US"/>
        </w:rPr>
        <w:t xml:space="preserve">, Charles N.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n-US"/>
        </w:rPr>
        <w:t>Merfield</w:t>
      </w:r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b</w:t>
      </w:r>
      <w:proofErr w:type="spellEnd"/>
      <w:r w:rsidRPr="00750A50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 w:rsidRPr="00750A50">
        <w:rPr>
          <w:rFonts w:ascii="Arial" w:hAnsi="Arial" w:cs="Arial"/>
          <w:bCs/>
          <w:sz w:val="20"/>
          <w:szCs w:val="20"/>
          <w:lang w:val="es-CR"/>
        </w:rPr>
        <w:t>Finbarr G. Horgan</w:t>
      </w:r>
      <w:proofErr w:type="spellStart"/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cde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, </w:t>
      </w:r>
      <w:r w:rsidRPr="00750A50">
        <w:rPr>
          <w:rFonts w:ascii="Arial" w:hAnsi="Arial" w:cs="Arial"/>
          <w:bCs/>
          <w:sz w:val="20"/>
          <w:szCs w:val="20"/>
          <w:lang w:val="en-US"/>
        </w:rPr>
        <w:t xml:space="preserve">Sheila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n-US"/>
        </w:rPr>
        <w:t>Willis</w:t>
      </w:r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a</w:t>
      </w:r>
      <w:proofErr w:type="spellEnd"/>
      <w:r w:rsidRPr="00750A50">
        <w:rPr>
          <w:rFonts w:ascii="Arial" w:hAnsi="Arial" w:cs="Arial"/>
          <w:bCs/>
          <w:sz w:val="20"/>
          <w:szCs w:val="20"/>
          <w:lang w:val="en-US"/>
        </w:rPr>
        <w:t xml:space="preserve">, Meriel A.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n-US"/>
        </w:rPr>
        <w:t>Watts</w:t>
      </w:r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f</w:t>
      </w:r>
      <w:proofErr w:type="spellEnd"/>
      <w:r w:rsidRPr="00750A50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 w:rsidRPr="00750A50">
        <w:rPr>
          <w:rFonts w:ascii="Arial" w:hAnsi="Arial" w:cs="Arial"/>
          <w:bCs/>
          <w:sz w:val="20"/>
          <w:szCs w:val="20"/>
          <w:lang w:val="es-CR"/>
        </w:rPr>
        <w:t>Fernando Ramírez-Muñoz</w:t>
      </w:r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g</w:t>
      </w:r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, </w:t>
      </w:r>
      <w:bookmarkStart w:id="0" w:name="_Hlk111029167"/>
      <w:r w:rsidRPr="00750A50">
        <w:rPr>
          <w:rFonts w:ascii="Arial" w:eastAsia="Times New Roman" w:hAnsi="Arial" w:cs="Arial"/>
          <w:sz w:val="20"/>
          <w:szCs w:val="20"/>
        </w:rPr>
        <w:t>Jorge S</w:t>
      </w:r>
      <w:r w:rsidRPr="00750A50">
        <w:rPr>
          <w:rFonts w:ascii="Arial" w:eastAsia="Times New Roman" w:hAnsi="Arial" w:cs="Arial"/>
          <w:color w:val="1E0A3C"/>
          <w:spacing w:val="8"/>
          <w:sz w:val="20"/>
          <w:szCs w:val="20"/>
        </w:rPr>
        <w:t xml:space="preserve">ánchez </w:t>
      </w:r>
      <w:r w:rsidRPr="00750A50">
        <w:rPr>
          <w:rFonts w:ascii="Arial" w:eastAsia="Times New Roman" w:hAnsi="Arial" w:cs="Arial"/>
          <w:sz w:val="20"/>
          <w:szCs w:val="20"/>
        </w:rPr>
        <w:t>U</w:t>
      </w:r>
      <w:bookmarkEnd w:id="0"/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h</w:t>
      </w:r>
      <w:r w:rsidRPr="00750A50">
        <w:rPr>
          <w:rFonts w:ascii="Arial" w:eastAsia="Times New Roman" w:hAnsi="Arial" w:cs="Arial"/>
          <w:sz w:val="20"/>
          <w:szCs w:val="20"/>
        </w:rPr>
        <w:t xml:space="preserve">, </w:t>
      </w:r>
      <w:r w:rsidRPr="00750A50">
        <w:rPr>
          <w:rFonts w:ascii="Arial" w:hAnsi="Arial" w:cs="Arial"/>
          <w:sz w:val="20"/>
          <w:szCs w:val="20"/>
          <w:lang w:val="es-CR"/>
        </w:rPr>
        <w:t>Leah Utyasheva</w:t>
      </w:r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c</w:t>
      </w:r>
      <w:r w:rsidRPr="00750A50">
        <w:rPr>
          <w:rFonts w:ascii="Arial" w:hAnsi="Arial" w:cs="Arial"/>
          <w:sz w:val="20"/>
          <w:szCs w:val="20"/>
          <w:lang w:val="es-CR"/>
        </w:rPr>
        <w:t xml:space="preserve">, </w:t>
      </w:r>
      <w:r w:rsidRPr="00750A50">
        <w:rPr>
          <w:rFonts w:ascii="Arial" w:hAnsi="Arial" w:cs="Arial"/>
          <w:bCs/>
          <w:sz w:val="20"/>
          <w:szCs w:val="20"/>
          <w:lang w:val="es-CR"/>
        </w:rPr>
        <w:t>Michael Eddleston</w:t>
      </w:r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c</w:t>
      </w:r>
      <w:r w:rsidRPr="00750A50">
        <w:rPr>
          <w:rFonts w:ascii="Arial" w:hAnsi="Arial" w:cs="Arial"/>
          <w:bCs/>
          <w:sz w:val="20"/>
          <w:szCs w:val="20"/>
          <w:lang w:val="es-CR"/>
        </w:rPr>
        <w:t>, Mark L. Davis</w:t>
      </w:r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c</w:t>
      </w:r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, </w:t>
      </w:r>
      <w:r w:rsidRPr="00750A50">
        <w:rPr>
          <w:rFonts w:ascii="Arial" w:hAnsi="Arial" w:cs="Arial"/>
          <w:sz w:val="20"/>
          <w:szCs w:val="20"/>
        </w:rPr>
        <w:t xml:space="preserve">Lars </w:t>
      </w:r>
      <w:proofErr w:type="spellStart"/>
      <w:r w:rsidRPr="00750A50">
        <w:rPr>
          <w:rFonts w:ascii="Arial" w:hAnsi="Arial" w:cs="Arial"/>
          <w:sz w:val="20"/>
          <w:szCs w:val="20"/>
          <w:u w:val="single"/>
        </w:rPr>
        <w:t>Neumeister</w:t>
      </w:r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i</w:t>
      </w:r>
      <w:proofErr w:type="spellEnd"/>
      <w:r w:rsidRPr="00750A5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Manoé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 R.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Sanou</w:t>
      </w:r>
      <w:proofErr w:type="spellEnd"/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j</w:t>
      </w:r>
      <w:r w:rsidRPr="00750A50">
        <w:rPr>
          <w:sz w:val="20"/>
          <w:szCs w:val="20"/>
        </w:rPr>
        <w:t xml:space="preserve">, </w:t>
      </w:r>
      <w:r w:rsidRPr="00750A50">
        <w:rPr>
          <w:rFonts w:ascii="Arial" w:hAnsi="Arial" w:cs="Arial"/>
          <w:bCs/>
          <w:sz w:val="20"/>
          <w:szCs w:val="20"/>
          <w:lang w:val="en-US"/>
        </w:rPr>
        <w:t xml:space="preserve">Stephanie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n-US"/>
        </w:rPr>
        <w:t>Williamson</w:t>
      </w:r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a</w:t>
      </w:r>
      <w:proofErr w:type="spellEnd"/>
    </w:p>
    <w:p w14:paraId="2627F413" w14:textId="77777777" w:rsidR="000D3C0D" w:rsidRPr="00750A50" w:rsidRDefault="000D3C0D" w:rsidP="000D3C0D">
      <w:pPr>
        <w:spacing w:after="0" w:line="360" w:lineRule="auto"/>
        <w:rPr>
          <w:rFonts w:ascii="Arial" w:hAnsi="Arial" w:cs="Arial"/>
          <w:bCs/>
          <w:sz w:val="20"/>
          <w:szCs w:val="20"/>
          <w:lang w:val="en-US"/>
        </w:rPr>
      </w:pPr>
      <w:proofErr w:type="spellStart"/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a</w:t>
      </w:r>
      <w:r w:rsidRPr="00750A50">
        <w:rPr>
          <w:rFonts w:ascii="Arial" w:hAnsi="Arial" w:cs="Arial"/>
          <w:bCs/>
          <w:sz w:val="20"/>
          <w:szCs w:val="20"/>
          <w:lang w:val="en-US"/>
        </w:rPr>
        <w:t>Pesticide</w:t>
      </w:r>
      <w:proofErr w:type="spellEnd"/>
      <w:r w:rsidRPr="00750A50">
        <w:rPr>
          <w:rFonts w:ascii="Arial" w:hAnsi="Arial" w:cs="Arial"/>
          <w:bCs/>
          <w:sz w:val="20"/>
          <w:szCs w:val="20"/>
          <w:lang w:val="en-US"/>
        </w:rPr>
        <w:t xml:space="preserve"> Action Network UK,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n-US"/>
        </w:rPr>
        <w:t>Brighthelm</w:t>
      </w:r>
      <w:proofErr w:type="spellEnd"/>
      <w:r w:rsidRPr="00750A50">
        <w:rPr>
          <w:rFonts w:ascii="Arial" w:hAnsi="Arial" w:cs="Arial"/>
          <w:bCs/>
          <w:sz w:val="20"/>
          <w:szCs w:val="20"/>
          <w:lang w:val="en-US"/>
        </w:rPr>
        <w:t xml:space="preserve"> Centre, Brighton,</w:t>
      </w:r>
      <w:r w:rsidRPr="00750A50">
        <w:rPr>
          <w:sz w:val="20"/>
          <w:szCs w:val="20"/>
        </w:rPr>
        <w:t xml:space="preserve"> </w:t>
      </w:r>
      <w:r w:rsidRPr="00750A50">
        <w:rPr>
          <w:rFonts w:ascii="Arial" w:hAnsi="Arial" w:cs="Arial"/>
          <w:bCs/>
          <w:sz w:val="20"/>
          <w:szCs w:val="20"/>
          <w:lang w:val="en-US"/>
        </w:rPr>
        <w:t xml:space="preserve">UK </w:t>
      </w:r>
    </w:p>
    <w:p w14:paraId="65CB5384" w14:textId="77777777" w:rsidR="000D3C0D" w:rsidRPr="00750A50" w:rsidRDefault="000D3C0D" w:rsidP="000D3C0D">
      <w:pPr>
        <w:spacing w:after="0" w:line="360" w:lineRule="auto"/>
        <w:rPr>
          <w:rFonts w:ascii="Arial" w:hAnsi="Arial" w:cs="Arial"/>
          <w:bCs/>
          <w:sz w:val="20"/>
          <w:szCs w:val="20"/>
          <w:lang w:val="en-US"/>
        </w:rPr>
      </w:pPr>
      <w:proofErr w:type="spellStart"/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b</w:t>
      </w:r>
      <w:r w:rsidRPr="00750A50">
        <w:rPr>
          <w:rFonts w:ascii="Arial" w:hAnsi="Arial" w:cs="Arial"/>
          <w:bCs/>
          <w:sz w:val="20"/>
          <w:szCs w:val="20"/>
          <w:lang w:val="en-US"/>
        </w:rPr>
        <w:t>Merfield</w:t>
      </w:r>
      <w:proofErr w:type="spellEnd"/>
      <w:r w:rsidRPr="00750A50">
        <w:rPr>
          <w:rFonts w:ascii="Arial" w:hAnsi="Arial" w:cs="Arial"/>
          <w:bCs/>
          <w:sz w:val="20"/>
          <w:szCs w:val="20"/>
          <w:lang w:val="en-US"/>
        </w:rPr>
        <w:t xml:space="preserve"> Agronomy Ltd., Lincoln, New Zealand </w:t>
      </w:r>
    </w:p>
    <w:p w14:paraId="444FEE42" w14:textId="77777777" w:rsidR="000D3C0D" w:rsidRPr="00750A50" w:rsidRDefault="000D3C0D" w:rsidP="000D3C0D">
      <w:pPr>
        <w:spacing w:after="0" w:line="360" w:lineRule="auto"/>
        <w:rPr>
          <w:rFonts w:ascii="Arial" w:hAnsi="Arial" w:cs="Arial"/>
          <w:bCs/>
          <w:sz w:val="20"/>
          <w:szCs w:val="20"/>
          <w:lang w:val="es-CR"/>
        </w:rPr>
      </w:pPr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c</w:t>
      </w:r>
      <w:r w:rsidRPr="00750A50">
        <w:rPr>
          <w:rFonts w:ascii="Arial" w:hAnsi="Arial" w:cs="Arial"/>
          <w:sz w:val="20"/>
          <w:szCs w:val="20"/>
          <w:lang w:val="es-CR"/>
        </w:rPr>
        <w:t xml:space="preserve">Centre </w:t>
      </w:r>
      <w:proofErr w:type="spellStart"/>
      <w:r w:rsidRPr="00750A50">
        <w:rPr>
          <w:rFonts w:ascii="Arial" w:hAnsi="Arial" w:cs="Arial"/>
          <w:sz w:val="20"/>
          <w:szCs w:val="20"/>
          <w:lang w:val="es-CR"/>
        </w:rPr>
        <w:t>for</w:t>
      </w:r>
      <w:proofErr w:type="spellEnd"/>
      <w:r w:rsidRPr="00750A50">
        <w:rPr>
          <w:rFonts w:ascii="Arial" w:hAnsi="Arial" w:cs="Arial"/>
          <w:sz w:val="20"/>
          <w:szCs w:val="20"/>
          <w:lang w:val="es-CR"/>
        </w:rPr>
        <w:t xml:space="preserve"> </w:t>
      </w:r>
      <w:proofErr w:type="spellStart"/>
      <w:r w:rsidRPr="00750A50">
        <w:rPr>
          <w:rFonts w:ascii="Arial" w:hAnsi="Arial" w:cs="Arial"/>
          <w:sz w:val="20"/>
          <w:szCs w:val="20"/>
          <w:lang w:val="es-CR"/>
        </w:rPr>
        <w:t>Pesticide</w:t>
      </w:r>
      <w:proofErr w:type="spellEnd"/>
      <w:r w:rsidRPr="00750A50">
        <w:rPr>
          <w:rFonts w:ascii="Arial" w:hAnsi="Arial" w:cs="Arial"/>
          <w:sz w:val="20"/>
          <w:szCs w:val="20"/>
          <w:lang w:val="es-CR"/>
        </w:rPr>
        <w:t xml:space="preserve"> Suicide </w:t>
      </w:r>
      <w:proofErr w:type="spellStart"/>
      <w:r w:rsidRPr="00750A50">
        <w:rPr>
          <w:rFonts w:ascii="Arial" w:hAnsi="Arial" w:cs="Arial"/>
          <w:sz w:val="20"/>
          <w:szCs w:val="20"/>
          <w:lang w:val="es-CR"/>
        </w:rPr>
        <w:t>Prevention</w:t>
      </w:r>
      <w:proofErr w:type="spellEnd"/>
      <w:r w:rsidRPr="00750A50">
        <w:rPr>
          <w:rFonts w:ascii="Arial" w:hAnsi="Arial" w:cs="Arial"/>
          <w:sz w:val="20"/>
          <w:szCs w:val="20"/>
          <w:lang w:val="es-CR"/>
        </w:rPr>
        <w:t xml:space="preserve">, </w:t>
      </w:r>
      <w:proofErr w:type="spellStart"/>
      <w:r w:rsidRPr="00750A50">
        <w:rPr>
          <w:rFonts w:ascii="Arial" w:hAnsi="Arial" w:cs="Arial"/>
          <w:sz w:val="20"/>
          <w:szCs w:val="20"/>
          <w:lang w:val="es-CR"/>
        </w:rPr>
        <w:t>University</w:t>
      </w:r>
      <w:proofErr w:type="spellEnd"/>
      <w:r w:rsidRPr="00750A50">
        <w:rPr>
          <w:rFonts w:ascii="Arial" w:hAnsi="Arial" w:cs="Arial"/>
          <w:sz w:val="20"/>
          <w:szCs w:val="20"/>
          <w:lang w:val="es-CR"/>
        </w:rPr>
        <w:t xml:space="preserve"> of Edinburgh </w:t>
      </w:r>
      <w:proofErr w:type="spellStart"/>
      <w:r w:rsidRPr="00750A50">
        <w:rPr>
          <w:rFonts w:ascii="Arial" w:hAnsi="Arial" w:cs="Arial"/>
          <w:sz w:val="20"/>
          <w:szCs w:val="20"/>
          <w:lang w:val="es-CR"/>
        </w:rPr>
        <w:t>Edinburgh</w:t>
      </w:r>
      <w:proofErr w:type="spellEnd"/>
      <w:r w:rsidRPr="00750A50">
        <w:rPr>
          <w:rFonts w:ascii="Arial" w:hAnsi="Arial" w:cs="Arial"/>
          <w:sz w:val="20"/>
          <w:szCs w:val="20"/>
          <w:lang w:val="es-CR"/>
        </w:rPr>
        <w:t>, UK</w:t>
      </w:r>
    </w:p>
    <w:p w14:paraId="497424C1" w14:textId="77777777" w:rsidR="000D3C0D" w:rsidRPr="00750A50" w:rsidRDefault="000D3C0D" w:rsidP="000D3C0D">
      <w:pPr>
        <w:spacing w:after="0" w:line="360" w:lineRule="auto"/>
        <w:rPr>
          <w:rFonts w:ascii="Arial" w:hAnsi="Arial" w:cs="Arial"/>
          <w:bCs/>
          <w:sz w:val="20"/>
          <w:szCs w:val="20"/>
          <w:lang w:val="en-US"/>
        </w:rPr>
      </w:pPr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d</w:t>
      </w:r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Escuela de Agronomía,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Facultat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 de Ciencias Agrarias y Forestales, Universidad Católica del Maule, Casilla 7-D, Curicó 3349001, Chile</w:t>
      </w:r>
      <w:r w:rsidRPr="00750A50">
        <w:rPr>
          <w:rFonts w:ascii="Arial" w:hAnsi="Arial" w:cs="Arial"/>
          <w:bCs/>
          <w:sz w:val="20"/>
          <w:szCs w:val="20"/>
          <w:lang w:val="en-US"/>
        </w:rPr>
        <w:t xml:space="preserve"> </w:t>
      </w:r>
    </w:p>
    <w:p w14:paraId="07B2E499" w14:textId="77777777" w:rsidR="000D3C0D" w:rsidRPr="00750A50" w:rsidRDefault="000D3C0D" w:rsidP="000D3C0D">
      <w:pPr>
        <w:spacing w:after="0" w:line="360" w:lineRule="auto"/>
        <w:rPr>
          <w:rFonts w:ascii="Calibri" w:hAnsi="Calibri" w:cs="Shruti"/>
          <w:bCs/>
          <w:sz w:val="20"/>
          <w:szCs w:val="20"/>
          <w:lang w:val="es-CR"/>
        </w:rPr>
      </w:pPr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e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EcoLaVerna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 Integral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Restoration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Ecology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,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Bridestown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,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Kildinan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, T56 P 499, Cork,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Ireland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 </w:t>
      </w:r>
    </w:p>
    <w:p w14:paraId="74F864F2" w14:textId="77777777" w:rsidR="000D3C0D" w:rsidRPr="00750A50" w:rsidRDefault="000D3C0D" w:rsidP="000D3C0D">
      <w:pPr>
        <w:spacing w:after="0" w:line="360" w:lineRule="auto"/>
        <w:rPr>
          <w:rFonts w:ascii="Arial" w:hAnsi="Arial" w:cs="Arial"/>
          <w:bCs/>
          <w:sz w:val="20"/>
          <w:szCs w:val="20"/>
          <w:lang w:val="en-US"/>
        </w:rPr>
      </w:pPr>
      <w:proofErr w:type="spellStart"/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f</w:t>
      </w:r>
      <w:r w:rsidRPr="00750A50">
        <w:rPr>
          <w:rFonts w:ascii="Arial" w:hAnsi="Arial" w:cs="Arial"/>
          <w:bCs/>
          <w:sz w:val="20"/>
          <w:szCs w:val="20"/>
          <w:lang w:val="en-US"/>
        </w:rPr>
        <w:t>PAN</w:t>
      </w:r>
      <w:proofErr w:type="spellEnd"/>
      <w:r w:rsidRPr="00750A50">
        <w:rPr>
          <w:rFonts w:ascii="Arial" w:hAnsi="Arial" w:cs="Arial"/>
          <w:bCs/>
          <w:sz w:val="20"/>
          <w:szCs w:val="20"/>
          <w:lang w:val="en-US"/>
        </w:rPr>
        <w:t xml:space="preserve"> Asia Pacific, Penang, Malaysia </w:t>
      </w:r>
    </w:p>
    <w:p w14:paraId="78458DEC" w14:textId="77777777" w:rsidR="000D3C0D" w:rsidRPr="00750A50" w:rsidRDefault="000D3C0D" w:rsidP="000D3C0D">
      <w:pPr>
        <w:spacing w:after="0" w:line="360" w:lineRule="auto"/>
        <w:rPr>
          <w:bCs/>
          <w:sz w:val="20"/>
          <w:szCs w:val="20"/>
          <w:lang w:val="es-CR"/>
        </w:rPr>
      </w:pPr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g</w:t>
      </w:r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Central American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Institute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for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Studies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on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Toxic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Substances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 (IRET), Universidad Nacional, Costa Rica</w:t>
      </w:r>
    </w:p>
    <w:p w14:paraId="1F629A3C" w14:textId="77777777" w:rsidR="000D3C0D" w:rsidRPr="00750A50" w:rsidRDefault="000D3C0D" w:rsidP="000D3C0D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h</w:t>
      </w:r>
      <w:proofErr w:type="spellStart"/>
      <w:r w:rsidRPr="00750A50">
        <w:rPr>
          <w:rFonts w:ascii="Arial" w:eastAsia="Times New Roman" w:hAnsi="Arial" w:cs="Arial"/>
          <w:sz w:val="20"/>
          <w:szCs w:val="20"/>
        </w:rPr>
        <w:t>Nicoverde</w:t>
      </w:r>
      <w:proofErr w:type="spellEnd"/>
      <w:r w:rsidRPr="00750A50">
        <w:rPr>
          <w:rFonts w:ascii="Arial" w:eastAsia="Times New Roman" w:hAnsi="Arial" w:cs="Arial"/>
          <w:sz w:val="20"/>
          <w:szCs w:val="20"/>
        </w:rPr>
        <w:t xml:space="preserve"> S.A., Costa Rica</w:t>
      </w:r>
    </w:p>
    <w:p w14:paraId="24C3C13F" w14:textId="77777777" w:rsidR="000D3C0D" w:rsidRPr="00750A50" w:rsidRDefault="000D3C0D" w:rsidP="000D3C0D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spellStart"/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i</w:t>
      </w:r>
      <w:proofErr w:type="spellEnd"/>
      <w:r w:rsidRPr="00750A50">
        <w:rPr>
          <w:rFonts w:ascii="Arial" w:hAnsi="Arial" w:cs="Arial"/>
          <w:sz w:val="20"/>
          <w:szCs w:val="20"/>
        </w:rPr>
        <w:t>Pesticide Expert, Germany</w:t>
      </w:r>
    </w:p>
    <w:p w14:paraId="04D95260" w14:textId="77777777" w:rsidR="000D3C0D" w:rsidRPr="00750A50" w:rsidRDefault="000D3C0D" w:rsidP="000D3C0D">
      <w:pPr>
        <w:spacing w:after="0" w:line="360" w:lineRule="auto"/>
        <w:rPr>
          <w:rFonts w:ascii="Arial" w:hAnsi="Arial" w:cs="Arial"/>
          <w:bCs/>
          <w:sz w:val="20"/>
          <w:szCs w:val="20"/>
          <w:lang w:val="es-CR"/>
        </w:rPr>
      </w:pPr>
      <w:r w:rsidRPr="00750A50">
        <w:rPr>
          <w:rFonts w:ascii="Arial" w:hAnsi="Arial" w:cs="Arial"/>
          <w:bCs/>
          <w:sz w:val="20"/>
          <w:szCs w:val="20"/>
          <w:vertAlign w:val="superscript"/>
          <w:lang w:val="en-US"/>
        </w:rPr>
        <w:t>j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Department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 of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Plant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Protection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 and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Packaging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,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Ministry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 xml:space="preserve"> of </w:t>
      </w:r>
      <w:proofErr w:type="spellStart"/>
      <w:r w:rsidRPr="00750A50">
        <w:rPr>
          <w:rFonts w:ascii="Arial" w:hAnsi="Arial" w:cs="Arial"/>
          <w:bCs/>
          <w:sz w:val="20"/>
          <w:szCs w:val="20"/>
          <w:lang w:val="es-CR"/>
        </w:rPr>
        <w:t>Agriculture</w:t>
      </w:r>
      <w:proofErr w:type="spellEnd"/>
      <w:r w:rsidRPr="00750A50">
        <w:rPr>
          <w:rFonts w:ascii="Arial" w:hAnsi="Arial" w:cs="Arial"/>
          <w:bCs/>
          <w:sz w:val="20"/>
          <w:szCs w:val="20"/>
          <w:lang w:val="es-CR"/>
        </w:rPr>
        <w:t>, Burkina Faso</w:t>
      </w:r>
    </w:p>
    <w:p w14:paraId="420AA1BF" w14:textId="77777777" w:rsidR="000D3C0D" w:rsidRPr="00750A50" w:rsidRDefault="000D3C0D" w:rsidP="00D5699F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A607F53" w14:textId="3D8F6B0D" w:rsidR="00D5699F" w:rsidRPr="00750A50" w:rsidRDefault="00D5699F" w:rsidP="00D5699F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750A50">
        <w:rPr>
          <w:rFonts w:ascii="Arial" w:hAnsi="Arial" w:cs="Arial"/>
          <w:b/>
          <w:bCs/>
          <w:sz w:val="20"/>
          <w:szCs w:val="20"/>
          <w:lang w:val="en-US"/>
        </w:rPr>
        <w:t xml:space="preserve">Corresponding author: </w:t>
      </w:r>
      <w:r w:rsidRPr="00750A50">
        <w:rPr>
          <w:rFonts w:ascii="Arial" w:hAnsi="Arial" w:cs="Arial"/>
          <w:bCs/>
          <w:sz w:val="20"/>
          <w:szCs w:val="20"/>
          <w:lang w:val="en-US"/>
        </w:rPr>
        <w:t>Alexander M. Stuart</w:t>
      </w:r>
      <w:r w:rsidR="00795145" w:rsidRPr="00750A50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hyperlink r:id="rId8" w:history="1">
        <w:r w:rsidRPr="00750A50">
          <w:rPr>
            <w:rStyle w:val="Hyperlink"/>
            <w:rFonts w:ascii="Arial" w:hAnsi="Arial" w:cs="Arial"/>
            <w:bCs/>
            <w:sz w:val="20"/>
            <w:szCs w:val="20"/>
            <w:lang w:val="en-US"/>
          </w:rPr>
          <w:t>alex@pan-uk.org</w:t>
        </w:r>
      </w:hyperlink>
    </w:p>
    <w:p w14:paraId="330159D0" w14:textId="204FD44C" w:rsidR="001853DE" w:rsidRPr="00750A50" w:rsidRDefault="001853DE">
      <w:pPr>
        <w:rPr>
          <w:b/>
          <w:bCs/>
          <w:sz w:val="20"/>
          <w:szCs w:val="20"/>
          <w:lang w:val="en-US"/>
        </w:rPr>
      </w:pPr>
      <w:r w:rsidRPr="00750A50">
        <w:rPr>
          <w:b/>
          <w:bCs/>
          <w:sz w:val="20"/>
          <w:szCs w:val="20"/>
          <w:lang w:val="en-US"/>
        </w:rPr>
        <w:br w:type="page"/>
      </w:r>
    </w:p>
    <w:p w14:paraId="00BF69D7" w14:textId="4B7B13C8" w:rsidR="001853DE" w:rsidRPr="00750A50" w:rsidRDefault="001853DE" w:rsidP="001853DE">
      <w:pPr>
        <w:rPr>
          <w:b/>
          <w:sz w:val="20"/>
          <w:szCs w:val="20"/>
        </w:rPr>
      </w:pPr>
      <w:r w:rsidRPr="00750A50">
        <w:rPr>
          <w:b/>
          <w:sz w:val="20"/>
          <w:szCs w:val="20"/>
        </w:rPr>
        <w:lastRenderedPageBreak/>
        <w:t xml:space="preserve">Supplementary </w:t>
      </w:r>
      <w:r w:rsidR="008333DB" w:rsidRPr="00750A50">
        <w:rPr>
          <w:b/>
          <w:sz w:val="20"/>
          <w:szCs w:val="20"/>
        </w:rPr>
        <w:t>i</w:t>
      </w:r>
      <w:r w:rsidRPr="00750A50">
        <w:rPr>
          <w:b/>
          <w:sz w:val="20"/>
          <w:szCs w:val="20"/>
        </w:rPr>
        <w:t xml:space="preserve">nformation sources for Table 3 </w:t>
      </w:r>
    </w:p>
    <w:p w14:paraId="3928A58B" w14:textId="77777777" w:rsidR="000D3C0D" w:rsidRPr="00750A50" w:rsidRDefault="000D3C0D" w:rsidP="001853DE">
      <w:pPr>
        <w:rPr>
          <w:b/>
          <w:sz w:val="20"/>
          <w:szCs w:val="20"/>
        </w:rPr>
      </w:pPr>
    </w:p>
    <w:p w14:paraId="4A4C0677" w14:textId="77777777" w:rsidR="001853DE" w:rsidRPr="00750A50" w:rsidRDefault="001853DE" w:rsidP="001853DE">
      <w:pPr>
        <w:rPr>
          <w:sz w:val="20"/>
          <w:szCs w:val="20"/>
        </w:rPr>
      </w:pPr>
      <w:bookmarkStart w:id="1" w:name="_Hlk106619665"/>
      <w:r w:rsidRPr="00750A50">
        <w:rPr>
          <w:b/>
          <w:sz w:val="20"/>
          <w:szCs w:val="20"/>
        </w:rPr>
        <w:t>BCI Principles and Criteria</w:t>
      </w:r>
      <w:r w:rsidRPr="00750A50">
        <w:rPr>
          <w:sz w:val="20"/>
          <w:szCs w:val="20"/>
        </w:rPr>
        <w:t xml:space="preserve">. version 2.1 | 1 March 2018. Via: </w:t>
      </w:r>
      <w:hyperlink r:id="rId9" w:history="1">
        <w:r w:rsidRPr="00750A50">
          <w:rPr>
            <w:rStyle w:val="Hyperlink"/>
            <w:sz w:val="20"/>
            <w:szCs w:val="20"/>
          </w:rPr>
          <w:t>https://bettercotton.org/what-we-do/defining-better-our-standard/</w:t>
        </w:r>
      </w:hyperlink>
      <w:r w:rsidRPr="00750A50">
        <w:rPr>
          <w:sz w:val="20"/>
          <w:szCs w:val="20"/>
        </w:rPr>
        <w:t xml:space="preserve"> </w:t>
      </w:r>
      <w:r w:rsidRPr="00750A50">
        <w:rPr>
          <w:i/>
          <w:sz w:val="20"/>
          <w:szCs w:val="20"/>
        </w:rPr>
        <w:t>Accessed 17/01/22</w:t>
      </w:r>
    </w:p>
    <w:p w14:paraId="61A0E742" w14:textId="77777777" w:rsidR="001853DE" w:rsidRPr="00750A50" w:rsidRDefault="001853DE" w:rsidP="001853DE">
      <w:pPr>
        <w:rPr>
          <w:sz w:val="20"/>
          <w:szCs w:val="20"/>
        </w:rPr>
      </w:pPr>
      <w:proofErr w:type="spellStart"/>
      <w:r w:rsidRPr="00750A50">
        <w:rPr>
          <w:b/>
          <w:sz w:val="20"/>
          <w:szCs w:val="20"/>
        </w:rPr>
        <w:t>Bonsucro</w:t>
      </w:r>
      <w:proofErr w:type="spellEnd"/>
      <w:r w:rsidRPr="00750A50">
        <w:rPr>
          <w:b/>
          <w:sz w:val="20"/>
          <w:szCs w:val="20"/>
        </w:rPr>
        <w:t xml:space="preserve"> Production Standard</w:t>
      </w:r>
      <w:r w:rsidRPr="00750A50">
        <w:rPr>
          <w:sz w:val="20"/>
          <w:szCs w:val="20"/>
        </w:rPr>
        <w:t xml:space="preserve"> version 4.2 Dec. 2016. Via: </w:t>
      </w:r>
      <w:hyperlink r:id="rId10" w:history="1">
        <w:r w:rsidRPr="00750A50">
          <w:rPr>
            <w:rStyle w:val="Hyperlink"/>
            <w:sz w:val="20"/>
            <w:szCs w:val="20"/>
          </w:rPr>
          <w:t>https://bonsucro.com/production-standard/</w:t>
        </w:r>
      </w:hyperlink>
      <w:r w:rsidRPr="00750A50">
        <w:rPr>
          <w:sz w:val="20"/>
          <w:szCs w:val="20"/>
        </w:rPr>
        <w:t xml:space="preserve"> </w:t>
      </w:r>
      <w:r w:rsidRPr="00750A50">
        <w:rPr>
          <w:i/>
          <w:sz w:val="20"/>
          <w:szCs w:val="20"/>
        </w:rPr>
        <w:t>Accessed 17/01/22</w:t>
      </w:r>
    </w:p>
    <w:p w14:paraId="74D4C715" w14:textId="77777777" w:rsidR="001853DE" w:rsidRPr="00750A50" w:rsidRDefault="001853DE" w:rsidP="001853DE">
      <w:pPr>
        <w:rPr>
          <w:i/>
          <w:sz w:val="20"/>
          <w:szCs w:val="20"/>
        </w:rPr>
      </w:pPr>
      <w:r w:rsidRPr="00750A50">
        <w:rPr>
          <w:b/>
          <w:sz w:val="20"/>
          <w:szCs w:val="20"/>
        </w:rPr>
        <w:t>Fairtrade Standard for Small-scale Producer Organisations</w:t>
      </w:r>
      <w:r w:rsidRPr="00750A50">
        <w:rPr>
          <w:sz w:val="20"/>
          <w:szCs w:val="20"/>
        </w:rPr>
        <w:t xml:space="preserve">, version 03.04.2019_v2.5, 2019. Via: </w:t>
      </w:r>
      <w:hyperlink r:id="rId11" w:history="1">
        <w:r w:rsidRPr="00750A50">
          <w:rPr>
            <w:rStyle w:val="Hyperlink"/>
            <w:sz w:val="20"/>
            <w:szCs w:val="20"/>
          </w:rPr>
          <w:t>https://www.fairtrade.net/standard</w:t>
        </w:r>
      </w:hyperlink>
      <w:r w:rsidRPr="00750A50">
        <w:rPr>
          <w:sz w:val="20"/>
          <w:szCs w:val="20"/>
        </w:rPr>
        <w:t xml:space="preserve"> </w:t>
      </w:r>
      <w:r w:rsidRPr="00750A50">
        <w:rPr>
          <w:i/>
          <w:sz w:val="20"/>
          <w:szCs w:val="20"/>
        </w:rPr>
        <w:t>Accessed 05/05/22</w:t>
      </w:r>
    </w:p>
    <w:p w14:paraId="21E6775A" w14:textId="77777777" w:rsidR="001853DE" w:rsidRPr="00750A50" w:rsidRDefault="001853DE" w:rsidP="001853DE">
      <w:pPr>
        <w:rPr>
          <w:i/>
          <w:sz w:val="20"/>
          <w:szCs w:val="20"/>
          <w:highlight w:val="yellow"/>
        </w:rPr>
      </w:pPr>
      <w:r w:rsidRPr="00750A50">
        <w:rPr>
          <w:b/>
          <w:sz w:val="20"/>
          <w:szCs w:val="20"/>
        </w:rPr>
        <w:t>Fairtrade International Hazard Materials List</w:t>
      </w:r>
      <w:r w:rsidRPr="00750A50">
        <w:rPr>
          <w:sz w:val="20"/>
          <w:szCs w:val="20"/>
        </w:rPr>
        <w:t xml:space="preserve">, version 1.12.2016 v 1.4. Via: </w:t>
      </w:r>
      <w:hyperlink r:id="rId12" w:anchor="hml" w:history="1">
        <w:r w:rsidRPr="00750A50">
          <w:rPr>
            <w:rStyle w:val="Hyperlink"/>
            <w:sz w:val="20"/>
            <w:szCs w:val="20"/>
          </w:rPr>
          <w:t>https://www.fairtrade.net/standard/fairtrade-standards#hml</w:t>
        </w:r>
      </w:hyperlink>
      <w:r w:rsidRPr="00750A50">
        <w:rPr>
          <w:sz w:val="20"/>
          <w:szCs w:val="20"/>
        </w:rPr>
        <w:t xml:space="preserve"> </w:t>
      </w:r>
      <w:r w:rsidRPr="00750A50">
        <w:rPr>
          <w:i/>
          <w:sz w:val="20"/>
          <w:szCs w:val="20"/>
        </w:rPr>
        <w:t>Accessed 17/01/22</w:t>
      </w:r>
    </w:p>
    <w:p w14:paraId="217D81F4" w14:textId="77777777" w:rsidR="001853DE" w:rsidRPr="00750A50" w:rsidRDefault="001853DE" w:rsidP="001853DE">
      <w:pPr>
        <w:rPr>
          <w:sz w:val="20"/>
          <w:szCs w:val="20"/>
        </w:rPr>
      </w:pPr>
      <w:r w:rsidRPr="00750A50">
        <w:rPr>
          <w:rFonts w:ascii="Arial" w:hAnsi="Arial" w:cs="Arial"/>
          <w:b/>
          <w:sz w:val="20"/>
          <w:szCs w:val="20"/>
        </w:rPr>
        <w:t>FSC International Standard. FSC Principles and Criteria for Forestry Stewardship.</w:t>
      </w:r>
      <w:r w:rsidRPr="00750A50">
        <w:rPr>
          <w:rFonts w:ascii="Arial" w:hAnsi="Arial" w:cs="Arial"/>
          <w:sz w:val="20"/>
          <w:szCs w:val="20"/>
        </w:rPr>
        <w:t xml:space="preserve"> Version FSC-STD-01-001 V5-2 EN, 2015. Via: https://fsc.org/en/document-centre/documents/resource/392 </w:t>
      </w:r>
      <w:r w:rsidRPr="00750A50">
        <w:rPr>
          <w:i/>
          <w:sz w:val="20"/>
          <w:szCs w:val="20"/>
        </w:rPr>
        <w:t>Accessed 05/05/22</w:t>
      </w:r>
    </w:p>
    <w:p w14:paraId="66EF2157" w14:textId="77777777" w:rsidR="001853DE" w:rsidRPr="00750A50" w:rsidRDefault="001853DE" w:rsidP="001853DE">
      <w:pPr>
        <w:rPr>
          <w:i/>
          <w:sz w:val="20"/>
          <w:szCs w:val="20"/>
          <w:highlight w:val="yellow"/>
        </w:rPr>
      </w:pPr>
      <w:r w:rsidRPr="00750A50">
        <w:rPr>
          <w:rFonts w:ascii="Arial" w:eastAsia="Times New Roman" w:hAnsi="Arial" w:cs="Arial"/>
          <w:b/>
          <w:sz w:val="20"/>
          <w:szCs w:val="20"/>
          <w:lang w:eastAsia="en-GB"/>
        </w:rPr>
        <w:t>FSC List of highly hazardous pesticides</w:t>
      </w:r>
      <w:r w:rsidRPr="00750A50">
        <w:rPr>
          <w:rFonts w:ascii="Arial" w:eastAsia="Times New Roman" w:hAnsi="Arial" w:cs="Arial"/>
          <w:sz w:val="20"/>
          <w:szCs w:val="20"/>
          <w:lang w:eastAsia="en-GB"/>
        </w:rPr>
        <w:t xml:space="preserve">, FSC-POL-30-001a EN version 2019. Via: </w:t>
      </w:r>
      <w:hyperlink r:id="rId13" w:history="1">
        <w:r w:rsidRPr="00750A50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https://fsc.org/en/document-centre/documents/resource/315</w:t>
        </w:r>
      </w:hyperlink>
      <w:r w:rsidRPr="00750A50">
        <w:rPr>
          <w:rFonts w:ascii="Arial" w:eastAsia="Times New Roman" w:hAnsi="Arial" w:cs="Arial"/>
          <w:sz w:val="20"/>
          <w:szCs w:val="20"/>
          <w:lang w:eastAsia="en-GB"/>
        </w:rPr>
        <w:t xml:space="preserve">. </w:t>
      </w:r>
      <w:r w:rsidRPr="00750A50">
        <w:rPr>
          <w:rFonts w:ascii="Arial" w:eastAsia="Times New Roman" w:hAnsi="Arial" w:cs="Arial"/>
          <w:i/>
          <w:sz w:val="20"/>
          <w:szCs w:val="20"/>
          <w:lang w:eastAsia="en-GB"/>
        </w:rPr>
        <w:t>Accessed 17/01/22</w:t>
      </w:r>
    </w:p>
    <w:bookmarkEnd w:id="1"/>
    <w:p w14:paraId="7EDEED2E" w14:textId="77777777" w:rsidR="001853DE" w:rsidRPr="00750A50" w:rsidRDefault="001853DE" w:rsidP="001853DE">
      <w:pPr>
        <w:rPr>
          <w:i/>
          <w:sz w:val="20"/>
          <w:szCs w:val="20"/>
        </w:rPr>
      </w:pPr>
      <w:r w:rsidRPr="00750A50">
        <w:rPr>
          <w:b/>
          <w:sz w:val="20"/>
          <w:szCs w:val="20"/>
        </w:rPr>
        <w:t>Global Coffee Platform Coffee Sustainability Reference Code</w:t>
      </w:r>
      <w:r w:rsidRPr="00750A50">
        <w:rPr>
          <w:sz w:val="20"/>
          <w:szCs w:val="20"/>
        </w:rPr>
        <w:t xml:space="preserve"> version 3.0 2021. Via: </w:t>
      </w:r>
      <w:hyperlink r:id="rId14" w:history="1">
        <w:r w:rsidRPr="00750A50">
          <w:rPr>
            <w:rStyle w:val="Hyperlink"/>
            <w:sz w:val="20"/>
            <w:szCs w:val="20"/>
          </w:rPr>
          <w:t>https://www.globalcoffeeplatform.org/our-work/coffee-sustainability-reference-code/</w:t>
        </w:r>
      </w:hyperlink>
      <w:r w:rsidRPr="00750A50">
        <w:rPr>
          <w:sz w:val="20"/>
          <w:szCs w:val="20"/>
        </w:rPr>
        <w:t xml:space="preserve"> </w:t>
      </w:r>
      <w:r w:rsidRPr="00750A50">
        <w:rPr>
          <w:i/>
          <w:sz w:val="20"/>
          <w:szCs w:val="20"/>
        </w:rPr>
        <w:t>Accessed 05/05/22</w:t>
      </w:r>
    </w:p>
    <w:p w14:paraId="493DF11A" w14:textId="77777777" w:rsidR="001853DE" w:rsidRPr="00750A50" w:rsidRDefault="001853DE" w:rsidP="001853DE">
      <w:pPr>
        <w:rPr>
          <w:i/>
          <w:sz w:val="20"/>
          <w:szCs w:val="20"/>
        </w:rPr>
      </w:pPr>
      <w:r w:rsidRPr="00750A50">
        <w:rPr>
          <w:b/>
          <w:sz w:val="20"/>
          <w:szCs w:val="20"/>
        </w:rPr>
        <w:t>Global Coffee Platform Coffee Sustainability Reference Code, Annex Pesticides List</w:t>
      </w:r>
      <w:r w:rsidRPr="00750A50">
        <w:rPr>
          <w:sz w:val="20"/>
          <w:szCs w:val="20"/>
        </w:rPr>
        <w:t xml:space="preserve">. Via: </w:t>
      </w:r>
      <w:hyperlink r:id="rId15" w:history="1">
        <w:r w:rsidRPr="00750A50">
          <w:rPr>
            <w:rStyle w:val="Hyperlink"/>
            <w:sz w:val="20"/>
            <w:szCs w:val="20"/>
          </w:rPr>
          <w:t>https://www.globalcoffeeplatform.org/wp-content/uploads/2021/10/CSRC_PesticidesLists_OCT21.pdf</w:t>
        </w:r>
      </w:hyperlink>
      <w:r w:rsidRPr="00750A50">
        <w:rPr>
          <w:sz w:val="20"/>
          <w:szCs w:val="20"/>
        </w:rPr>
        <w:t xml:space="preserve"> </w:t>
      </w:r>
      <w:r w:rsidRPr="00750A50">
        <w:rPr>
          <w:i/>
          <w:sz w:val="20"/>
          <w:szCs w:val="20"/>
        </w:rPr>
        <w:t>Accessed 05/05/22</w:t>
      </w:r>
    </w:p>
    <w:p w14:paraId="685741CB" w14:textId="77777777" w:rsidR="001853DE" w:rsidRPr="00750A50" w:rsidRDefault="001853DE" w:rsidP="001853DE">
      <w:pPr>
        <w:rPr>
          <w:sz w:val="20"/>
          <w:szCs w:val="20"/>
        </w:rPr>
      </w:pPr>
      <w:r w:rsidRPr="00750A50">
        <w:rPr>
          <w:b/>
          <w:bCs/>
          <w:sz w:val="20"/>
          <w:szCs w:val="20"/>
        </w:rPr>
        <w:t>IPM Coalition: Paraquat dichloride.</w:t>
      </w:r>
      <w:r w:rsidRPr="00750A50">
        <w:rPr>
          <w:sz w:val="20"/>
          <w:szCs w:val="20"/>
        </w:rPr>
        <w:t xml:space="preserve"> Via: </w:t>
      </w:r>
      <w:hyperlink r:id="rId16" w:history="1">
        <w:r w:rsidRPr="00750A50">
          <w:rPr>
            <w:rStyle w:val="Hyperlink"/>
            <w:rFonts w:ascii="Arial" w:eastAsia="Arial" w:hAnsi="Arial" w:cs="Arial"/>
            <w:iCs/>
            <w:sz w:val="20"/>
            <w:szCs w:val="20"/>
          </w:rPr>
          <w:t>https://ipm-coalition.org/term/10729/paraquat-dichloride</w:t>
        </w:r>
      </w:hyperlink>
      <w:r w:rsidRPr="00750A50">
        <w:rPr>
          <w:rFonts w:ascii="Arial" w:eastAsia="Arial" w:hAnsi="Arial" w:cs="Arial"/>
          <w:iCs/>
          <w:sz w:val="20"/>
          <w:szCs w:val="20"/>
        </w:rPr>
        <w:t xml:space="preserve">. </w:t>
      </w:r>
      <w:r w:rsidRPr="00750A50">
        <w:rPr>
          <w:i/>
          <w:sz w:val="20"/>
          <w:szCs w:val="20"/>
        </w:rPr>
        <w:t>Accessed 17/01/22</w:t>
      </w:r>
    </w:p>
    <w:p w14:paraId="7683F04B" w14:textId="77777777" w:rsidR="001853DE" w:rsidRPr="00750A50" w:rsidRDefault="001853DE" w:rsidP="001853DE">
      <w:pPr>
        <w:rPr>
          <w:i/>
          <w:sz w:val="20"/>
          <w:szCs w:val="20"/>
        </w:rPr>
      </w:pPr>
      <w:r w:rsidRPr="00750A50">
        <w:rPr>
          <w:b/>
          <w:sz w:val="20"/>
          <w:szCs w:val="20"/>
        </w:rPr>
        <w:t>Rainforest Alliance Sustainable Agriculture Standard, Farm Requirements</w:t>
      </w:r>
      <w:r w:rsidRPr="00750A50">
        <w:rPr>
          <w:sz w:val="20"/>
          <w:szCs w:val="20"/>
        </w:rPr>
        <w:t xml:space="preserve">, version SA-S-SD-1-V1.2, 2022 Via: </w:t>
      </w:r>
      <w:hyperlink r:id="rId17" w:anchor="standard" w:history="1">
        <w:r w:rsidRPr="00750A50">
          <w:rPr>
            <w:rStyle w:val="Hyperlink"/>
            <w:sz w:val="20"/>
            <w:szCs w:val="20"/>
          </w:rPr>
          <w:t>https://www.rainforest-alliance.org/for-business/2020-certification-program/#standard</w:t>
        </w:r>
      </w:hyperlink>
      <w:r w:rsidRPr="00750A50">
        <w:rPr>
          <w:sz w:val="20"/>
          <w:szCs w:val="20"/>
        </w:rPr>
        <w:t xml:space="preserve"> </w:t>
      </w:r>
      <w:r w:rsidRPr="00750A50">
        <w:rPr>
          <w:i/>
          <w:sz w:val="20"/>
          <w:szCs w:val="20"/>
        </w:rPr>
        <w:t>Accessed 05/05/22</w:t>
      </w:r>
    </w:p>
    <w:p w14:paraId="3EA66E7F" w14:textId="77777777" w:rsidR="001853DE" w:rsidRPr="00750A50" w:rsidRDefault="001853DE" w:rsidP="001853DE">
      <w:pPr>
        <w:rPr>
          <w:i/>
          <w:sz w:val="20"/>
          <w:szCs w:val="20"/>
        </w:rPr>
      </w:pPr>
      <w:r w:rsidRPr="00750A50">
        <w:rPr>
          <w:b/>
          <w:sz w:val="20"/>
          <w:szCs w:val="20"/>
        </w:rPr>
        <w:t>Rainforest Alliance Annex S7. Pesticides Management</w:t>
      </w:r>
      <w:r w:rsidRPr="00750A50">
        <w:rPr>
          <w:sz w:val="20"/>
          <w:szCs w:val="20"/>
        </w:rPr>
        <w:t xml:space="preserve">, version 1.2, 2021. </w:t>
      </w:r>
      <w:r w:rsidRPr="00750A50">
        <w:rPr>
          <w:i/>
          <w:sz w:val="20"/>
          <w:szCs w:val="20"/>
        </w:rPr>
        <w:t xml:space="preserve">Via: </w:t>
      </w:r>
      <w:hyperlink r:id="rId18" w:history="1">
        <w:r w:rsidRPr="00750A50">
          <w:rPr>
            <w:rStyle w:val="Hyperlink"/>
            <w:i/>
            <w:sz w:val="20"/>
            <w:szCs w:val="20"/>
          </w:rPr>
          <w:t>https://www.rainforest-alliance.org/wp-content/uploads/2020/06/Annex-7-Pesticides-Management.pdf</w:t>
        </w:r>
      </w:hyperlink>
      <w:r w:rsidRPr="00750A50">
        <w:rPr>
          <w:i/>
          <w:sz w:val="20"/>
          <w:szCs w:val="20"/>
        </w:rPr>
        <w:t xml:space="preserve"> Accessed 05/05/22</w:t>
      </w:r>
    </w:p>
    <w:p w14:paraId="11E9E4B7" w14:textId="77777777" w:rsidR="001853DE" w:rsidRPr="00750A50" w:rsidRDefault="001853DE" w:rsidP="001853DE">
      <w:pPr>
        <w:rPr>
          <w:i/>
          <w:sz w:val="20"/>
          <w:szCs w:val="20"/>
        </w:rPr>
      </w:pPr>
      <w:r w:rsidRPr="00750A50">
        <w:rPr>
          <w:b/>
          <w:sz w:val="20"/>
          <w:szCs w:val="20"/>
        </w:rPr>
        <w:t xml:space="preserve">RSPO Principles and Criteria for the Production of Sustainable Palm Oil. </w:t>
      </w:r>
      <w:r w:rsidRPr="00750A50">
        <w:rPr>
          <w:sz w:val="20"/>
          <w:szCs w:val="20"/>
        </w:rPr>
        <w:t xml:space="preserve">Version 2018* with 2020 update. Via: </w:t>
      </w:r>
      <w:hyperlink r:id="rId19" w:history="1">
        <w:r w:rsidRPr="00750A50">
          <w:rPr>
            <w:rStyle w:val="Hyperlink"/>
            <w:sz w:val="20"/>
            <w:szCs w:val="20"/>
          </w:rPr>
          <w:t>https://rspo.org/resources/archive/1440</w:t>
        </w:r>
      </w:hyperlink>
      <w:r w:rsidRPr="00750A50">
        <w:rPr>
          <w:sz w:val="20"/>
          <w:szCs w:val="20"/>
        </w:rPr>
        <w:t xml:space="preserve"> </w:t>
      </w:r>
      <w:r w:rsidRPr="00750A50">
        <w:rPr>
          <w:i/>
          <w:sz w:val="20"/>
          <w:szCs w:val="20"/>
        </w:rPr>
        <w:t>Accessed 17/01/22</w:t>
      </w:r>
    </w:p>
    <w:p w14:paraId="54F80D81" w14:textId="77777777" w:rsidR="001853DE" w:rsidRPr="00750A50" w:rsidRDefault="001853DE" w:rsidP="001853DE">
      <w:pPr>
        <w:rPr>
          <w:i/>
          <w:sz w:val="20"/>
          <w:szCs w:val="20"/>
        </w:rPr>
      </w:pPr>
      <w:r w:rsidRPr="00750A50">
        <w:rPr>
          <w:b/>
          <w:sz w:val="20"/>
          <w:szCs w:val="20"/>
        </w:rPr>
        <w:t>RTRS Standard for Responsible Soy Production</w:t>
      </w:r>
      <w:r w:rsidRPr="00750A50">
        <w:rPr>
          <w:sz w:val="20"/>
          <w:szCs w:val="20"/>
        </w:rPr>
        <w:t xml:space="preserve"> Version 4.0. Via: </w:t>
      </w:r>
      <w:hyperlink r:id="rId20" w:history="1">
        <w:r w:rsidRPr="00750A50">
          <w:rPr>
            <w:rStyle w:val="Hyperlink"/>
            <w:sz w:val="20"/>
            <w:szCs w:val="20"/>
          </w:rPr>
          <w:t>https://responsiblesoy.org/wp-content/uploads/2021/12/RTRS-Standard-for-Responsible-Soy-Production-V4.0.pdf</w:t>
        </w:r>
      </w:hyperlink>
      <w:r w:rsidRPr="00750A50">
        <w:rPr>
          <w:sz w:val="20"/>
          <w:szCs w:val="20"/>
        </w:rPr>
        <w:t xml:space="preserve">. </w:t>
      </w:r>
      <w:r w:rsidRPr="00750A50">
        <w:rPr>
          <w:i/>
          <w:sz w:val="20"/>
          <w:szCs w:val="20"/>
        </w:rPr>
        <w:t>Accessed 17/01/22</w:t>
      </w:r>
    </w:p>
    <w:p w14:paraId="4B2B0393" w14:textId="77777777" w:rsidR="001853DE" w:rsidRPr="00750A50" w:rsidRDefault="001853DE" w:rsidP="001853DE">
      <w:pPr>
        <w:spacing w:line="360" w:lineRule="auto"/>
        <w:rPr>
          <w:rFonts w:ascii="Arial" w:hAnsi="Arial" w:cs="Arial"/>
          <w:b/>
          <w:bCs/>
          <w:sz w:val="20"/>
          <w:szCs w:val="20"/>
          <w:highlight w:val="yellow"/>
          <w:lang w:val="en-US"/>
        </w:rPr>
      </w:pPr>
    </w:p>
    <w:p w14:paraId="4C3505F4" w14:textId="77777777" w:rsidR="001853DE" w:rsidRPr="00750A50" w:rsidRDefault="001853DE" w:rsidP="001853DE">
      <w:pPr>
        <w:spacing w:after="0" w:line="240" w:lineRule="auto"/>
        <w:rPr>
          <w:rFonts w:ascii="Arial" w:hAnsi="Arial" w:cs="Arial"/>
          <w:b/>
          <w:bCs/>
          <w:sz w:val="20"/>
          <w:szCs w:val="20"/>
          <w:highlight w:val="yellow"/>
          <w:lang w:val="en-US"/>
        </w:rPr>
      </w:pPr>
      <w:r w:rsidRPr="00750A50">
        <w:rPr>
          <w:rFonts w:ascii="Arial" w:hAnsi="Arial" w:cs="Arial"/>
          <w:b/>
          <w:bCs/>
          <w:sz w:val="20"/>
          <w:szCs w:val="20"/>
          <w:highlight w:val="yellow"/>
          <w:lang w:val="en-US"/>
        </w:rPr>
        <w:br w:type="page"/>
      </w:r>
    </w:p>
    <w:p w14:paraId="29323C88" w14:textId="77777777" w:rsidR="001853DE" w:rsidRPr="00750A50" w:rsidRDefault="001853DE" w:rsidP="001853DE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  <w:sectPr w:rsidR="001853DE" w:rsidRPr="00750A50" w:rsidSect="001853DE"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p w14:paraId="0748ED8C" w14:textId="77777777" w:rsidR="001853DE" w:rsidRPr="00750A50" w:rsidRDefault="001853DE" w:rsidP="001853DE">
      <w:pPr>
        <w:spacing w:line="360" w:lineRule="auto"/>
        <w:rPr>
          <w:rFonts w:ascii="Arial" w:hAnsi="Arial" w:cs="Arial"/>
          <w:sz w:val="20"/>
          <w:szCs w:val="20"/>
        </w:rPr>
      </w:pPr>
      <w:r w:rsidRPr="00750A50">
        <w:rPr>
          <w:rFonts w:ascii="Arial" w:hAnsi="Arial" w:cs="Arial"/>
          <w:b/>
          <w:bCs/>
          <w:sz w:val="20"/>
          <w:szCs w:val="20"/>
          <w:lang w:val="en-US"/>
        </w:rPr>
        <w:t xml:space="preserve">Supplementary Table S1. </w:t>
      </w:r>
      <w:r w:rsidRPr="00750A50">
        <w:rPr>
          <w:rFonts w:ascii="Arial" w:hAnsi="Arial" w:cs="Arial"/>
          <w:sz w:val="20"/>
          <w:szCs w:val="20"/>
          <w:lang w:val="en-US"/>
        </w:rPr>
        <w:t>List of countries that have banned or withdrawn the registration of paraquat and the years in which this was implemented, along with known phase out (transition) periods</w:t>
      </w:r>
    </w:p>
    <w:tbl>
      <w:tblPr>
        <w:tblW w:w="14860" w:type="dxa"/>
        <w:tblInd w:w="-5" w:type="dxa"/>
        <w:tblLook w:val="04A0" w:firstRow="1" w:lastRow="0" w:firstColumn="1" w:lastColumn="0" w:noHBand="0" w:noVBand="1"/>
      </w:tblPr>
      <w:tblGrid>
        <w:gridCol w:w="587"/>
        <w:gridCol w:w="1908"/>
        <w:gridCol w:w="1751"/>
        <w:gridCol w:w="1428"/>
        <w:gridCol w:w="9186"/>
      </w:tblGrid>
      <w:tr w:rsidR="00A701A8" w:rsidRPr="00A701A8" w14:paraId="51E1A38C" w14:textId="77777777" w:rsidTr="00525170">
        <w:trPr>
          <w:trHeight w:val="51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DB2AB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 w:bidi="gu-I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C1114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 w:bidi="gu-IN"/>
              </w:rPr>
              <w:t>Countries with paraquat bans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806A2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 w:bidi="gu-IN"/>
              </w:rPr>
              <w:t>Year full ban implemented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32A92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 w:bidi="gu-IN"/>
              </w:rPr>
              <w:t>Year phase out started</w:t>
            </w:r>
          </w:p>
        </w:tc>
        <w:tc>
          <w:tcPr>
            <w:tcW w:w="9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52C4E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 w:bidi="gu-IN"/>
              </w:rPr>
              <w:t>Source</w:t>
            </w:r>
          </w:p>
        </w:tc>
      </w:tr>
      <w:tr w:rsidR="00A701A8" w:rsidRPr="00A701A8" w14:paraId="27B19BFC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C0B66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E2437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Kuwait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03BDB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1985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50D5B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E633B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Watts M 2011: Paraquat, Pesticide Action Network Asia and the Pacific (PANAP); Cooperation Council for the Arab States of the Gulf Secretariat (2015) General Pesticides Law (System) and its Implementing Regulation in the Gulf Cooperation.</w:t>
            </w:r>
          </w:p>
        </w:tc>
      </w:tr>
      <w:tr w:rsidR="00A701A8" w:rsidRPr="00A701A8" w14:paraId="3FF83DE7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9EC4F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B83C3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Norway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AD3B7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1995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8E154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94927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Norway database on registered plant protection products (2022). Available at: https://www.mattilsynet.no/plantevernmidler/godk.asp?sortering=preparat&amp;preparat=Alle&amp;sprak=In+English (Accessed 23/07/22)</w:t>
            </w:r>
          </w:p>
        </w:tc>
      </w:tr>
      <w:tr w:rsidR="00A701A8" w:rsidRPr="00A701A8" w14:paraId="7F4115A6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B8D80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04564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Switzerland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2B14C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2002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86B48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86540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PAN (2022) Consolidated List of Banned Pesticides. Pesticide Action Network (PAN) International. Available at: https://pan-international.org/pan-international-consolidated-list-of-banned-pesticides/ (Accessed 23/07/22)</w:t>
            </w:r>
          </w:p>
        </w:tc>
      </w:tr>
      <w:tr w:rsidR="00A701A8" w:rsidRPr="00A701A8" w14:paraId="42ACC30E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8737E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3A215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Cambodia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DDC77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2003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F9D17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A6FB9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PAN (2022) Consolidated List of Banned Pesticides. Pesticide Action Network (PAN) International. Available at: https://pan-international.org/pan-international-consolidated-list-of-banned-pesticides/ (Accessed 23/07/22)</w:t>
            </w:r>
          </w:p>
        </w:tc>
      </w:tr>
      <w:tr w:rsidR="00A701A8" w:rsidRPr="00A701A8" w14:paraId="363ADE8A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3C86D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CEBBF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Côte d'Ivoire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CB276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2004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73BED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2AB85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Watts M 2011: Paraquat, Pesticide Action Network Asia and the Pacific (PANAP); CILSS (2011): Paraquat ban [in French]. Decision No.125/COOR/2011</w:t>
            </w:r>
            <w:proofErr w:type="gramStart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. .</w:t>
            </w:r>
            <w:proofErr w:type="gramEnd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 xml:space="preserve"> Permanent Inter-State Committee for Drought Control in the Sahel (CILSS)</w:t>
            </w:r>
          </w:p>
        </w:tc>
      </w:tr>
      <w:tr w:rsidR="00A701A8" w:rsidRPr="00A701A8" w14:paraId="00D9C965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82A14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301DB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Malaysia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F810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2005-2006, 2020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B5EEB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2003-2005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546CC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PAN (2022) Consolidated List of Banned Pesticides. Pesticide Action Network (PAN) International. Available at: https://pan-international.org/pan-international-consolidated-list-of-banned-pesticides/ (Accessed 23/07/22)</w:t>
            </w:r>
          </w:p>
        </w:tc>
      </w:tr>
      <w:tr w:rsidR="00A701A8" w:rsidRPr="00A701A8" w14:paraId="591FCDDD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FCD88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33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CA9D4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EU (27 countries)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C2400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2007-2008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DE2C0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2007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0B5EA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PAN (2022) Consolidated List of Banned Pesticides. Pesticide Action Network (PAN) International. Available at: https://pan-international.org/pan-international-consolidated-list-of-banned-pesticides/ (Accessed 23/07/22)</w:t>
            </w:r>
          </w:p>
        </w:tc>
      </w:tr>
      <w:tr w:rsidR="00A701A8" w:rsidRPr="00A701A8" w14:paraId="1617C66F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97ACA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34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8799D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UK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E5AE4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2008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1DB62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2007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A107F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PAN (2022) Consolidated List of Banned Pesticides. Pesticide Action Network (PAN) International. Available at: https://pan-international.org/pan-international-consolidated-list-of-banned-pesticides/ (Accessed 23/07/22)</w:t>
            </w:r>
          </w:p>
        </w:tc>
      </w:tr>
      <w:tr w:rsidR="00A701A8" w:rsidRPr="00A701A8" w14:paraId="7307DDB7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45230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35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1C850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Serbia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E8CD7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2009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DDD9C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B8AC7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Official Gazette of the Republic of Serbia (2009). 41/09</w:t>
            </w:r>
          </w:p>
        </w:tc>
      </w:tr>
      <w:tr w:rsidR="00A701A8" w:rsidRPr="00A701A8" w14:paraId="59666C5C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1A520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36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888F9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South Korea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BBC2E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F1723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77F2B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PAN (2022) Consolidated List of Banned Pesticides. Pesticide Action Network (PAN) International. Available at: https://pan-international.org/pan-international-consolidated-list-of-banned-pesticides/ (Accessed 23/07/22)</w:t>
            </w:r>
          </w:p>
        </w:tc>
      </w:tr>
      <w:tr w:rsidR="00A701A8" w:rsidRPr="00A701A8" w14:paraId="159CAD72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7FA29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37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4D095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Lao PDR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2CE3A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E68B4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38EDD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PAN (2022) Consolidated List of Banned Pesticides. Pesticide Action Network (PAN) International. Available at: https://pan-international.org/pan-international-consolidated-list-of-banned-pesticides/ (Accessed 23/07/22)</w:t>
            </w:r>
          </w:p>
        </w:tc>
      </w:tr>
      <w:tr w:rsidR="00A701A8" w:rsidRPr="00A701A8" w14:paraId="127EECEB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6BD50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38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98A2B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Burkina Faso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660E0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F2F43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51EE4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CILSS (2011): Paraquat ban [in French]. Decision No.125/COOR/2011</w:t>
            </w:r>
            <w:proofErr w:type="gramStart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. .</w:t>
            </w:r>
            <w:proofErr w:type="gramEnd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 xml:space="preserve"> Permanent Inter-State Committee for Drought Control in the Sahel (CILSS)</w:t>
            </w:r>
          </w:p>
        </w:tc>
      </w:tr>
      <w:tr w:rsidR="00A701A8" w:rsidRPr="00A701A8" w14:paraId="34286794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3AFEA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39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074DA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Cabo Verde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FCF06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5EE60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6A082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CILSS (2011): Paraquat ban [in French]. Decision No.125/COOR/2011</w:t>
            </w:r>
            <w:proofErr w:type="gramStart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. .</w:t>
            </w:r>
            <w:proofErr w:type="gramEnd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 xml:space="preserve"> Permanent Inter-State Committee for Drought Control in the Sahel (CILSS)</w:t>
            </w:r>
          </w:p>
        </w:tc>
      </w:tr>
      <w:tr w:rsidR="00A701A8" w:rsidRPr="00A701A8" w14:paraId="76250AF9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A7621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40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28FE7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Chad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7686F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E4A29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FC6A8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CILSS (2011): Paraquat ban [in French]. Decision No.125/COOR/2011</w:t>
            </w:r>
            <w:proofErr w:type="gramStart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. .</w:t>
            </w:r>
            <w:proofErr w:type="gramEnd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 xml:space="preserve"> Permanent Inter-State Committee for Drought Control in the Sahel (CILSS)</w:t>
            </w:r>
          </w:p>
        </w:tc>
      </w:tr>
      <w:tr w:rsidR="00A701A8" w:rsidRPr="00A701A8" w14:paraId="073BDF55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2DA89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41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678CA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Gambia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487A5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48980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BEC0F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CILSS (2011): Paraquat ban [in French]. Decision No.125/COOR/2011</w:t>
            </w:r>
            <w:proofErr w:type="gramStart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. .</w:t>
            </w:r>
            <w:proofErr w:type="gramEnd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 xml:space="preserve"> Permanent Inter-State Committee for Drought Control in the Sahel (CILSS)</w:t>
            </w:r>
          </w:p>
        </w:tc>
      </w:tr>
      <w:tr w:rsidR="00A701A8" w:rsidRPr="00A701A8" w14:paraId="0ED264F4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3783A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42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81352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proofErr w:type="spellStart"/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Guinea-bissau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A3138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EF1B5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B87B8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CILSS (2011): Paraquat ban [in French]. Decision No.125/COOR/2011</w:t>
            </w:r>
            <w:proofErr w:type="gramStart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. .</w:t>
            </w:r>
            <w:proofErr w:type="gramEnd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 xml:space="preserve"> Permanent Inter-State Committee for Drought Control in the Sahel (CILSS)</w:t>
            </w:r>
          </w:p>
        </w:tc>
      </w:tr>
      <w:tr w:rsidR="00A701A8" w:rsidRPr="00A701A8" w14:paraId="0F4641B9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7A694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43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E4F9C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Mali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0F754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D1B52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DEF68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CILSS (2011): Paraquat ban [in French]. Decision No.125/COOR/2011</w:t>
            </w:r>
            <w:proofErr w:type="gramStart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. .</w:t>
            </w:r>
            <w:proofErr w:type="gramEnd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 xml:space="preserve"> Permanent Inter-State Committee for Drought Control in the Sahel (CILSS)</w:t>
            </w:r>
          </w:p>
        </w:tc>
      </w:tr>
      <w:tr w:rsidR="00A701A8" w:rsidRPr="00A701A8" w14:paraId="4B72B7EB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420FD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44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24806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Mauritania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1FE46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49315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B4353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CILSS (2011): Paraquat ban [in French]. Decision No.125/COOR/2011</w:t>
            </w:r>
            <w:proofErr w:type="gramStart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. .</w:t>
            </w:r>
            <w:proofErr w:type="gramEnd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 xml:space="preserve"> Permanent Inter-State Committee for Drought Control in the Sahel (CILSS)</w:t>
            </w:r>
          </w:p>
        </w:tc>
      </w:tr>
      <w:tr w:rsidR="00A701A8" w:rsidRPr="00A701A8" w14:paraId="5796D050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69A60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45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D0CD9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Niger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2AE9B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15EFB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58186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CILSS (2011): Paraquat ban [in French]. Decision No.125/COOR/2011</w:t>
            </w:r>
            <w:proofErr w:type="gramStart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. .</w:t>
            </w:r>
            <w:proofErr w:type="gramEnd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 xml:space="preserve"> Permanent Inter-State Committee for Drought Control in the Sahel (CILSS)</w:t>
            </w:r>
          </w:p>
        </w:tc>
      </w:tr>
      <w:tr w:rsidR="00A701A8" w:rsidRPr="00A701A8" w14:paraId="3C32021F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276B6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46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1024D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Palestine, State of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22A2D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8D0E6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2C525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PAN (2022) Consolidated List of Banned Pesticides. Pesticide Action Network (PAN) International. Available at: https://pan-international.org/pan-international-consolidated-list-of-banned-pesticides/ (Accessed 23/07/22)</w:t>
            </w:r>
          </w:p>
        </w:tc>
      </w:tr>
      <w:tr w:rsidR="00A701A8" w:rsidRPr="00A701A8" w14:paraId="6F080D8D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82565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47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F6E22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Senegal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0CB0A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A43C8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720F5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CILSS (2011): Paraquat ban [in French]. Decision No.125/COOR/2011</w:t>
            </w:r>
            <w:proofErr w:type="gramStart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. .</w:t>
            </w:r>
            <w:proofErr w:type="gramEnd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 xml:space="preserve"> Permanent Inter-State Committee for Drought Control in the Sahel (CILSS)</w:t>
            </w:r>
          </w:p>
        </w:tc>
      </w:tr>
      <w:tr w:rsidR="00A701A8" w:rsidRPr="00A701A8" w14:paraId="3EFA9BF6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CBD0E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48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D8C0A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Sri Lanka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24030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54223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2009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7043F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PAN (2022) Consolidated List of Banned Pesticides. Pesticide Action Network (PAN) International. Available at: https://pan-international.org/pan-international-consolidated-list-of-banned-pesticides/ (Accessed 23/07/22)</w:t>
            </w:r>
          </w:p>
        </w:tc>
      </w:tr>
      <w:tr w:rsidR="00A701A8" w:rsidRPr="00A701A8" w14:paraId="464C80BE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DF340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49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9B1A4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Mozambique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0E726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07F57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1DA9C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PAN (2022) Consolidated List of Banned Pesticides. Pesticide Action Network (PAN) International. Available at: https://pan-international.org/pan-international-consolidated-list-of-banned-pesticides/ (Accessed 23/07/22)</w:t>
            </w:r>
          </w:p>
        </w:tc>
      </w:tr>
      <w:tr w:rsidR="00A701A8" w:rsidRPr="00A701A8" w14:paraId="7DCBFDA5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3CC6A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50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60514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Oman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DB2CB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1107A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20663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Cooperation Council for the Arab States of the Gulf Secretariat (2015) General Pesticides Law (System) and its Implementing Regulation in the Gulf Cooperation.</w:t>
            </w:r>
          </w:p>
        </w:tc>
      </w:tr>
      <w:tr w:rsidR="00A701A8" w:rsidRPr="00A701A8" w14:paraId="590D0161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EA28C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51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E9539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Turkey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F86AD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E3B98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2013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0F828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PAN (2022) Consolidated List of Banned Pesticides. Pesticide Action Network (PAN) International. Available at: https://pan-international.org/pan-international-consolidated-list-of-banned-pesticides/ (Accessed 23/07/22)</w:t>
            </w:r>
          </w:p>
        </w:tc>
      </w:tr>
      <w:tr w:rsidR="00A701A8" w:rsidRPr="00A701A8" w14:paraId="1A251496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AC0D3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52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44FA5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Bahrain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0437C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9BE06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B94B8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Cooperation Council for the Arab States of the Gulf Secretariat (2015) General Pesticides Law (System) and its Implementing Regulation in the Gulf Cooperation.</w:t>
            </w:r>
          </w:p>
        </w:tc>
      </w:tr>
      <w:tr w:rsidR="00A701A8" w:rsidRPr="00A701A8" w14:paraId="5DF8329E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38BBF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53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4E7C8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Saudi Arabia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CA721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4796A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2A031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Cooperation Council for the Arab States of the Gulf Secretariat (2015) General Pesticides Law (System) and its Implementing Regulation in the Gulf Cooperation.</w:t>
            </w:r>
          </w:p>
        </w:tc>
      </w:tr>
      <w:tr w:rsidR="00A701A8" w:rsidRPr="00A701A8" w14:paraId="2A0D8151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AC7CB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54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F7BE8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Togo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13FDB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BA6D2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BC691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PAN (2022) Consolidated List of Banned Pesticides. Pesticide Action Network (PAN) International. Available at: https://pan-international.org/pan-international-consolidated-list-of-banned-pesticides/ (Accessed 23/07/22)</w:t>
            </w:r>
          </w:p>
        </w:tc>
      </w:tr>
      <w:tr w:rsidR="00A701A8" w:rsidRPr="00A701A8" w14:paraId="0E7804D1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6D5B1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55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0DC43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United Arab Emirates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EE4EF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1828F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A8AB4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Cooperation Council for the Arab States of the Gulf Secretariat (2015) General Pesticides Law (System) and its Implementing Regulation in the Gulf Cooperation.</w:t>
            </w:r>
          </w:p>
        </w:tc>
      </w:tr>
      <w:tr w:rsidR="00A701A8" w:rsidRPr="00A701A8" w14:paraId="2FF9B7EF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D8F48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56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E9053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Qatar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3B1D1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98DE4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56467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Cooperation Council for the Arab States of the Gulf Secretariat (2015) General Pesticides Law (System) and its Implementing Regulation in the Gulf Cooperation.</w:t>
            </w:r>
          </w:p>
        </w:tc>
      </w:tr>
      <w:tr w:rsidR="00A701A8" w:rsidRPr="00A701A8" w14:paraId="1F1E3AAE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2109C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57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400C5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Taiwan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E6614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EBEF1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00DCC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PAN (2022) Consolidated List of Banned Pesticides. Pesticide Action Network (PAN) International. Available at: https://pan-international.org/pan-international-consolidated-list-of-banned-pesticides/ (Accessed 23/07/22)</w:t>
            </w:r>
          </w:p>
        </w:tc>
      </w:tr>
      <w:tr w:rsidR="00A701A8" w:rsidRPr="00A701A8" w14:paraId="778AC0C4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DEA71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58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7EAF6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Malawi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DA727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23719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868D7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Pesticide Act (2019) The Malawi Government Gazette. 56 (11).</w:t>
            </w:r>
          </w:p>
        </w:tc>
      </w:tr>
      <w:tr w:rsidR="00A701A8" w:rsidRPr="00A701A8" w14:paraId="3E366BB8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2160B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59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45AC5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Vietnam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B08F0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2C312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2017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241E3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PAN (2022) Consolidated List of Banned Pesticides. Pesticide Action Network (PAN) International. Available at: https://pan-international.org/pan-international-consolidated-list-of-banned-pesticides/ (Accessed 23/07/22)</w:t>
            </w:r>
          </w:p>
        </w:tc>
      </w:tr>
      <w:tr w:rsidR="00A701A8" w:rsidRPr="00A701A8" w14:paraId="39FE52BD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F4BE8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60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FE9DB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Brazil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B69F3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2020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C5EA0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2017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707AD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PAN (2022) Consolidated List of Banned Pesticides. Pesticide Action Network (PAN) International. Available at: https://pan-international.org/pan-international-consolidated-list-of-banned-pesticides/ (Accessed 23/07/22)</w:t>
            </w:r>
          </w:p>
        </w:tc>
      </w:tr>
      <w:tr w:rsidR="00A701A8" w:rsidRPr="00A701A8" w14:paraId="66E6D4CC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8DCCC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61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B6A89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China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2B6F3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2020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1766C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8E785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PAN (2022) Consolidated List of Banned Pesticides. Pesticide Action Network (PAN) International. Available at: https://pan-international.org/pan-international-consolidated-list-of-banned-pesticides/ (Accessed 23/07/22)</w:t>
            </w:r>
          </w:p>
        </w:tc>
      </w:tr>
      <w:tr w:rsidR="00A701A8" w:rsidRPr="00A701A8" w14:paraId="7D180C80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E7D23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62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37830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Fiji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6A66C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2020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B6708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C8A06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PAN (2022) Consolidated List of Banned Pesticides. Pesticide Action Network (PAN) International. Available at: https://pan-international.org/pan-international-consolidated-list-of-banned-pesticides/ (Accessed 23/07/22)</w:t>
            </w:r>
          </w:p>
        </w:tc>
      </w:tr>
      <w:tr w:rsidR="00A701A8" w:rsidRPr="00A701A8" w14:paraId="65C81F7E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48250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63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7FBA0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Thailand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CE452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2020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FE44C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60E88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 xml:space="preserve">Government of Thailand (2020) Ministry of Industry 2020. Notification B.E. 2563 (2020) re: List of Hazardous Substances (Issue No. 6) [in Thai]. The Royal Gazette 137(117). </w:t>
            </w:r>
          </w:p>
        </w:tc>
      </w:tr>
      <w:tr w:rsidR="00A701A8" w:rsidRPr="00A701A8" w14:paraId="0A4EC0D8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D056E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64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632EF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Morocco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D0332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2021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05F1E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DE674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PAN (2022) Consolidated List of Banned Pesticides. Pesticide Action Network (PAN) International. Available at: https://pan-international.org/pan-international-consolidated-list-of-banned-pesticides/ (Accessed 23/07/22)</w:t>
            </w:r>
          </w:p>
        </w:tc>
      </w:tr>
      <w:tr w:rsidR="00A701A8" w:rsidRPr="00A701A8" w14:paraId="7D241EE9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8C3A3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65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5FB4A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Maldives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60CC4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2022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48E99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F63CA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Rotterdam Convention Notifications of Final Regulatory Action - Non-Annex III Chemicals. Available at: http://archive.pic.int/viewB_FRAchems.php?player=198 (Accessed 02/07/22)</w:t>
            </w:r>
          </w:p>
        </w:tc>
      </w:tr>
      <w:tr w:rsidR="00A701A8" w:rsidRPr="00A701A8" w14:paraId="03FF546A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2CB60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66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11018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Peru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34A0C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2022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CACB0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9BF5F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PAN (2022) Consolidated List of Banned Pesticides. Pesticide Action Network (PAN) International. Available at: https://pan-international.org/pan-international-consolidated-list-of-banned-pesticides/ (Accessed 23/07/22)</w:t>
            </w:r>
          </w:p>
        </w:tc>
      </w:tr>
      <w:tr w:rsidR="00A701A8" w:rsidRPr="00A701A8" w14:paraId="5F2AF5E3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6231F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67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E5A72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Benin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07664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AD643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A8C74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CILSS (2011): Paraquat ban [in French]. Decision No.125/COOR/2011</w:t>
            </w:r>
            <w:proofErr w:type="gramStart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. .</w:t>
            </w:r>
            <w:proofErr w:type="gramEnd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 xml:space="preserve"> Permanent Inter-State Committee for Drought Control in the Sahel (CILSS)</w:t>
            </w:r>
          </w:p>
        </w:tc>
      </w:tr>
      <w:tr w:rsidR="00A701A8" w:rsidRPr="00A701A8" w14:paraId="3209C97B" w14:textId="77777777" w:rsidTr="00525170">
        <w:trPr>
          <w:trHeight w:val="70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7E4B4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68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D7BB3" w14:textId="77777777" w:rsidR="00A701A8" w:rsidRPr="00A701A8" w:rsidRDefault="00A701A8" w:rsidP="00A70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>Guinea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F3F3F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A16B9" w14:textId="77777777" w:rsidR="00A701A8" w:rsidRPr="00A701A8" w:rsidRDefault="00A701A8" w:rsidP="00A701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</w:pPr>
            <w:r w:rsidRPr="00A701A8">
              <w:rPr>
                <w:rFonts w:ascii="Arial" w:eastAsia="Times New Roman" w:hAnsi="Arial" w:cs="Arial"/>
                <w:sz w:val="20"/>
                <w:szCs w:val="20"/>
                <w:lang w:eastAsia="en-GB" w:bidi="gu-IN"/>
              </w:rPr>
              <w:t xml:space="preserve"> -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691F1" w14:textId="77777777" w:rsidR="00A701A8" w:rsidRPr="00A701A8" w:rsidRDefault="00A701A8" w:rsidP="00A70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</w:pPr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CILSS (2011): Paraquat ban [in French]. Decision No.125/COOR/2011</w:t>
            </w:r>
            <w:proofErr w:type="gramStart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>. .</w:t>
            </w:r>
            <w:proofErr w:type="gramEnd"/>
            <w:r w:rsidRPr="00A701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gu-IN"/>
              </w:rPr>
              <w:t xml:space="preserve"> Permanent Inter-State Committee for Drought Control in the Sahel (CILSS)</w:t>
            </w:r>
          </w:p>
        </w:tc>
      </w:tr>
    </w:tbl>
    <w:p w14:paraId="21E2D1FC" w14:textId="4F30A7AE" w:rsidR="00A701A8" w:rsidRDefault="00A701A8" w:rsidP="001853DE">
      <w:pPr>
        <w:spacing w:before="100" w:beforeAutospacing="1" w:after="100" w:afterAutospacing="1" w:line="360" w:lineRule="auto"/>
        <w:rPr>
          <w:rFonts w:ascii="Arial" w:hAnsi="Arial" w:cs="Arial"/>
        </w:rPr>
        <w:sectPr w:rsidR="00A701A8" w:rsidSect="00653174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0EA1882A" w14:textId="77777777" w:rsidR="001853DE" w:rsidRPr="00750A50" w:rsidRDefault="001853DE" w:rsidP="001853DE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750A5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Supplementary Table S2. </w:t>
      </w:r>
      <w:r w:rsidRPr="00750A5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Summary of paraquat-resistant weed records from the </w:t>
      </w:r>
      <w:r w:rsidRPr="00750A50">
        <w:rPr>
          <w:rFonts w:ascii="Arial" w:hAnsi="Arial" w:cs="Arial"/>
          <w:bCs/>
          <w:sz w:val="20"/>
          <w:szCs w:val="20"/>
        </w:rPr>
        <w:t>International Herbicide Resistant Weeds database by geographical region (Source: www.weedscience.org)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13"/>
        <w:gridCol w:w="1701"/>
        <w:gridCol w:w="1417"/>
        <w:gridCol w:w="1134"/>
        <w:gridCol w:w="3969"/>
      </w:tblGrid>
      <w:tr w:rsidR="001853DE" w:rsidRPr="00DD249F" w14:paraId="4F2AACFE" w14:textId="77777777" w:rsidTr="00E4526C">
        <w:tc>
          <w:tcPr>
            <w:tcW w:w="1413" w:type="dxa"/>
          </w:tcPr>
          <w:p w14:paraId="65F1617D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Region</w:t>
            </w:r>
          </w:p>
        </w:tc>
        <w:tc>
          <w:tcPr>
            <w:tcW w:w="1701" w:type="dxa"/>
          </w:tcPr>
          <w:p w14:paraId="7835D505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Countries and no. individual records</w:t>
            </w:r>
          </w:p>
        </w:tc>
        <w:tc>
          <w:tcPr>
            <w:tcW w:w="1417" w:type="dxa"/>
          </w:tcPr>
          <w:p w14:paraId="443A0E23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No, resistance records per region</w:t>
            </w:r>
          </w:p>
        </w:tc>
        <w:tc>
          <w:tcPr>
            <w:tcW w:w="1134" w:type="dxa"/>
          </w:tcPr>
          <w:p w14:paraId="023D2F28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No. of weed species recorded resistant per region</w:t>
            </w:r>
          </w:p>
        </w:tc>
        <w:tc>
          <w:tcPr>
            <w:tcW w:w="3969" w:type="dxa"/>
          </w:tcPr>
          <w:p w14:paraId="0046CE3A" w14:textId="77777777" w:rsidR="001853DE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Crop-specific resistance records for two problematic weeds</w:t>
            </w:r>
          </w:p>
          <w:p w14:paraId="37623F7F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Goosegrass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 (GG) and Fleabanes (FB)</w:t>
            </w:r>
          </w:p>
        </w:tc>
      </w:tr>
      <w:tr w:rsidR="001853DE" w:rsidRPr="00DD249F" w14:paraId="7B7EDAD5" w14:textId="77777777" w:rsidTr="00E4526C">
        <w:tc>
          <w:tcPr>
            <w:tcW w:w="1413" w:type="dxa"/>
          </w:tcPr>
          <w:p w14:paraId="333B6F41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Africa</w:t>
            </w:r>
          </w:p>
        </w:tc>
        <w:tc>
          <w:tcPr>
            <w:tcW w:w="1701" w:type="dxa"/>
          </w:tcPr>
          <w:p w14:paraId="0A27E86F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Kenya</w:t>
            </w:r>
          </w:p>
          <w:p w14:paraId="380C994E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Egypt</w:t>
            </w:r>
          </w:p>
          <w:p w14:paraId="56621AE7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South Africa x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417" w:type="dxa"/>
          </w:tcPr>
          <w:p w14:paraId="0CAEFA65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2FC8AC70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134" w:type="dxa"/>
          </w:tcPr>
          <w:p w14:paraId="408C23EC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5B4AE967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969" w:type="dxa"/>
          </w:tcPr>
          <w:p w14:paraId="63E8F7FF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FB </w:t>
            </w:r>
            <w:r w:rsidRPr="00FD069D"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 xml:space="preserve">C. </w:t>
            </w:r>
            <w:proofErr w:type="spellStart"/>
            <w:r w:rsidRPr="00FD069D"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>bonariensis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grapes; orchards</w:t>
            </w:r>
          </w:p>
        </w:tc>
      </w:tr>
      <w:tr w:rsidR="001853DE" w:rsidRPr="00DD249F" w14:paraId="4E083C88" w14:textId="77777777" w:rsidTr="00E4526C">
        <w:tc>
          <w:tcPr>
            <w:tcW w:w="1413" w:type="dxa"/>
          </w:tcPr>
          <w:p w14:paraId="4C9E1E7B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Asia-Pacific</w:t>
            </w:r>
          </w:p>
        </w:tc>
        <w:tc>
          <w:tcPr>
            <w:tcW w:w="1701" w:type="dxa"/>
          </w:tcPr>
          <w:p w14:paraId="69042D52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China x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  <w:p w14:paraId="604B9E6B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Fiji </w:t>
            </w:r>
          </w:p>
          <w:p w14:paraId="500963D5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Indonesia x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DD249F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  <w:p w14:paraId="1347D0FA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Japan x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  <w:p w14:paraId="4528BE31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Malaysia x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  <w:p w14:paraId="4715408E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Sri Lanka</w:t>
            </w:r>
          </w:p>
          <w:p w14:paraId="155A70DD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Taiwan</w:t>
            </w:r>
          </w:p>
        </w:tc>
        <w:tc>
          <w:tcPr>
            <w:tcW w:w="1417" w:type="dxa"/>
          </w:tcPr>
          <w:p w14:paraId="49A889A1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61B4B9EE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134" w:type="dxa"/>
          </w:tcPr>
          <w:p w14:paraId="6D4DD47F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5DDE01B3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3969" w:type="dxa"/>
          </w:tcPr>
          <w:p w14:paraId="28F409B8" w14:textId="77777777" w:rsidR="001853DE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GG: vegetables (Malaysia); oil palm (Indonesia); maize (Indonesia); unspecified crops (China)</w:t>
            </w:r>
          </w:p>
          <w:p w14:paraId="35259B94" w14:textId="77777777" w:rsidR="001853DE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FB </w:t>
            </w:r>
            <w:r w:rsidRPr="00FD069D"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>C. canadensis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almonds; roadsides (Japan)</w:t>
            </w:r>
          </w:p>
          <w:p w14:paraId="7ECE5E65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FB </w:t>
            </w:r>
            <w:r w:rsidRPr="00FD069D"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 xml:space="preserve">C. </w:t>
            </w:r>
            <w:proofErr w:type="spellStart"/>
            <w:r w:rsidRPr="00FD069D"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>sumatrensis</w:t>
            </w:r>
            <w:proofErr w:type="spellEnd"/>
            <w:r w:rsidRPr="00FD069D"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orchards; tea; vegetables; roadsides; unspecified crops </w:t>
            </w:r>
          </w:p>
        </w:tc>
      </w:tr>
      <w:tr w:rsidR="001853DE" w:rsidRPr="00DD249F" w14:paraId="3E0A3581" w14:textId="77777777" w:rsidTr="00E4526C">
        <w:tc>
          <w:tcPr>
            <w:tcW w:w="1413" w:type="dxa"/>
          </w:tcPr>
          <w:p w14:paraId="2D07005A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Australasia</w:t>
            </w:r>
          </w:p>
        </w:tc>
        <w:tc>
          <w:tcPr>
            <w:tcW w:w="1701" w:type="dxa"/>
          </w:tcPr>
          <w:p w14:paraId="00A55976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Australia x14</w:t>
            </w:r>
          </w:p>
          <w:p w14:paraId="6265B265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New Zealand x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417" w:type="dxa"/>
          </w:tcPr>
          <w:p w14:paraId="7279C52D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448E37A6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134" w:type="dxa"/>
          </w:tcPr>
          <w:p w14:paraId="1EF9AF27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6BC12875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3969" w:type="dxa"/>
          </w:tcPr>
          <w:p w14:paraId="6C3A00AB" w14:textId="77777777" w:rsidR="001853DE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GG: sugarcane (Australia)</w:t>
            </w:r>
          </w:p>
          <w:p w14:paraId="08389D2E" w14:textId="77777777" w:rsidR="001853DE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FB </w:t>
            </w:r>
            <w:r w:rsidRPr="00F211E8"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 xml:space="preserve">C. </w:t>
            </w:r>
            <w:proofErr w:type="spellStart"/>
            <w:r w:rsidRPr="00F211E8"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>sumatrensis</w:t>
            </w:r>
            <w:proofErr w:type="spellEnd"/>
            <w:r w:rsidRPr="00FD069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 wheat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r w:rsidRPr="00FD069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fallows (Australia)</w:t>
            </w:r>
          </w:p>
          <w:p w14:paraId="7EF2A754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FB </w:t>
            </w:r>
            <w:r w:rsidRPr="00F211E8"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 xml:space="preserve">C. </w:t>
            </w:r>
            <w:proofErr w:type="spellStart"/>
            <w:r w:rsidRPr="00F211E8"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>bonariensis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grapes (</w:t>
            </w:r>
            <w:r w:rsidRPr="00F211E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(Australia)</w:t>
            </w:r>
          </w:p>
        </w:tc>
      </w:tr>
      <w:tr w:rsidR="001853DE" w:rsidRPr="00DD249F" w14:paraId="3B358065" w14:textId="77777777" w:rsidTr="00E4526C">
        <w:tc>
          <w:tcPr>
            <w:tcW w:w="1413" w:type="dxa"/>
          </w:tcPr>
          <w:p w14:paraId="28B37699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Europe</w:t>
            </w:r>
          </w:p>
        </w:tc>
        <w:tc>
          <w:tcPr>
            <w:tcW w:w="1701" w:type="dxa"/>
          </w:tcPr>
          <w:p w14:paraId="07D9922B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Belgium x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  <w:p w14:paraId="40C93325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UK x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417" w:type="dxa"/>
          </w:tcPr>
          <w:p w14:paraId="01BBDCC6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1F11529A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134" w:type="dxa"/>
          </w:tcPr>
          <w:p w14:paraId="769A9A0A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969" w:type="dxa"/>
          </w:tcPr>
          <w:p w14:paraId="2414560A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FB </w:t>
            </w:r>
            <w:r w:rsidRPr="00F211E8"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>C. canadensis</w:t>
            </w:r>
            <w:r w:rsidRPr="00FD069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; nurseries</w:t>
            </w:r>
          </w:p>
        </w:tc>
      </w:tr>
      <w:tr w:rsidR="001853DE" w:rsidRPr="00DD249F" w14:paraId="0806F37E" w14:textId="77777777" w:rsidTr="00E4526C">
        <w:tc>
          <w:tcPr>
            <w:tcW w:w="1413" w:type="dxa"/>
          </w:tcPr>
          <w:p w14:paraId="0E8B7677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Middle East</w:t>
            </w:r>
          </w:p>
        </w:tc>
        <w:tc>
          <w:tcPr>
            <w:tcW w:w="1701" w:type="dxa"/>
          </w:tcPr>
          <w:p w14:paraId="174C698E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Jordan</w:t>
            </w:r>
          </w:p>
        </w:tc>
        <w:tc>
          <w:tcPr>
            <w:tcW w:w="1417" w:type="dxa"/>
          </w:tcPr>
          <w:p w14:paraId="697A3A82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14:paraId="112389D6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969" w:type="dxa"/>
          </w:tcPr>
          <w:p w14:paraId="1B6B8CD8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853DE" w:rsidRPr="00DD249F" w14:paraId="30668DD7" w14:textId="77777777" w:rsidTr="00E4526C">
        <w:tc>
          <w:tcPr>
            <w:tcW w:w="1413" w:type="dxa"/>
          </w:tcPr>
          <w:p w14:paraId="0DB7E505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North America</w:t>
            </w:r>
          </w:p>
        </w:tc>
        <w:tc>
          <w:tcPr>
            <w:tcW w:w="1701" w:type="dxa"/>
          </w:tcPr>
          <w:p w14:paraId="62D9A5CA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Canada x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  <w:p w14:paraId="52BA2055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USA x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  <w:p w14:paraId="49773093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14:paraId="7C8F4D1E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208E704F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134" w:type="dxa"/>
          </w:tcPr>
          <w:p w14:paraId="13775CA5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6529E687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3969" w:type="dxa"/>
          </w:tcPr>
          <w:p w14:paraId="137DB8EA" w14:textId="77777777" w:rsidR="001853DE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GG: tomato (US)</w:t>
            </w:r>
          </w:p>
          <w:p w14:paraId="592BA3C0" w14:textId="77777777" w:rsidR="001853DE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FB </w:t>
            </w:r>
            <w:r w:rsidRPr="00F211E8"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>C. canadensis</w:t>
            </w:r>
            <w:r w:rsidRPr="00FD069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 almonds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r w:rsidRPr="00FD069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peaches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r w:rsidRPr="00FD069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soybean</w:t>
            </w:r>
          </w:p>
          <w:p w14:paraId="7A35E62C" w14:textId="77777777" w:rsidR="001853DE" w:rsidRPr="004504E6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FB </w:t>
            </w:r>
            <w:r w:rsidRPr="00F211E8"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 xml:space="preserve">C. </w:t>
            </w:r>
            <w:proofErr w:type="spellStart"/>
            <w:r w:rsidRPr="00F211E8"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>bonariensis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 w:rsidRPr="00FD069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orchards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r w:rsidRPr="00FD069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roadsides (California)</w:t>
            </w:r>
          </w:p>
          <w:p w14:paraId="00CC15A2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853DE" w:rsidRPr="00DD249F" w14:paraId="31DC5A80" w14:textId="77777777" w:rsidTr="00E4526C">
        <w:tc>
          <w:tcPr>
            <w:tcW w:w="1413" w:type="dxa"/>
          </w:tcPr>
          <w:p w14:paraId="695C4E77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South &amp; Central America</w:t>
            </w:r>
          </w:p>
        </w:tc>
        <w:tc>
          <w:tcPr>
            <w:tcW w:w="1701" w:type="dxa"/>
          </w:tcPr>
          <w:p w14:paraId="153B1D03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Brazil x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  <w:p w14:paraId="17D4BBEE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Colombia</w:t>
            </w:r>
          </w:p>
          <w:p w14:paraId="573A6A02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Paraguay</w:t>
            </w:r>
          </w:p>
        </w:tc>
        <w:tc>
          <w:tcPr>
            <w:tcW w:w="1417" w:type="dxa"/>
          </w:tcPr>
          <w:p w14:paraId="7701B2AE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1730A2E4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134" w:type="dxa"/>
          </w:tcPr>
          <w:p w14:paraId="3FE5CB09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6DAAF9AD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249F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969" w:type="dxa"/>
          </w:tcPr>
          <w:p w14:paraId="533940C8" w14:textId="77777777" w:rsidR="001853DE" w:rsidRDefault="001853DE" w:rsidP="00E4526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GG: maize (Colombia)</w:t>
            </w:r>
          </w:p>
          <w:p w14:paraId="567717E4" w14:textId="77777777" w:rsidR="001853DE" w:rsidRPr="00DD249F" w:rsidRDefault="001853DE" w:rsidP="00E4526C">
            <w:pPr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FB </w:t>
            </w:r>
            <w:r w:rsidRPr="00F211E8"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 xml:space="preserve">C. </w:t>
            </w:r>
            <w:proofErr w:type="spellStart"/>
            <w:r w:rsidRPr="00F211E8"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>sumatrensis</w:t>
            </w:r>
            <w:proofErr w:type="spellEnd"/>
            <w:r w:rsidRPr="00F211E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soybean</w:t>
            </w:r>
          </w:p>
        </w:tc>
      </w:tr>
    </w:tbl>
    <w:p w14:paraId="6D889DB7" w14:textId="77777777" w:rsidR="001853DE" w:rsidRDefault="001853DE" w:rsidP="001853DE">
      <w:pPr>
        <w:spacing w:line="360" w:lineRule="auto"/>
        <w:rPr>
          <w:rFonts w:ascii="Arial" w:hAnsi="Arial" w:cs="Arial"/>
        </w:rPr>
      </w:pPr>
    </w:p>
    <w:p w14:paraId="2D175EAE" w14:textId="77777777" w:rsidR="001853DE" w:rsidRDefault="001853DE" w:rsidP="001853DE">
      <w:pPr>
        <w:spacing w:line="360" w:lineRule="auto"/>
        <w:rPr>
          <w:rFonts w:ascii="Arial" w:hAnsi="Arial" w:cs="Arial"/>
        </w:rPr>
      </w:pPr>
    </w:p>
    <w:p w14:paraId="749813F2" w14:textId="77777777" w:rsidR="001853DE" w:rsidRDefault="001853DE" w:rsidP="001853DE">
      <w:pPr>
        <w:spacing w:before="120" w:after="0" w:line="360" w:lineRule="auto"/>
        <w:rPr>
          <w:rFonts w:ascii="Arial" w:hAnsi="Arial" w:cs="Arial"/>
          <w:b/>
        </w:rPr>
        <w:sectPr w:rsidR="001853DE" w:rsidSect="005C246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3958" w:type="dxa"/>
        <w:tblLook w:val="04A0" w:firstRow="1" w:lastRow="0" w:firstColumn="1" w:lastColumn="0" w:noHBand="0" w:noVBand="1"/>
      </w:tblPr>
      <w:tblGrid>
        <w:gridCol w:w="222"/>
        <w:gridCol w:w="1088"/>
        <w:gridCol w:w="1277"/>
        <w:gridCol w:w="1296"/>
        <w:gridCol w:w="1296"/>
        <w:gridCol w:w="1325"/>
        <w:gridCol w:w="1326"/>
        <w:gridCol w:w="1326"/>
        <w:gridCol w:w="1326"/>
        <w:gridCol w:w="3476"/>
      </w:tblGrid>
      <w:tr w:rsidR="001853DE" w:rsidRPr="009037F5" w14:paraId="5CC64329" w14:textId="77777777" w:rsidTr="00750A50">
        <w:trPr>
          <w:trHeight w:val="25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094229D9" w14:textId="202371FA" w:rsidR="001853DE" w:rsidRPr="00287B5A" w:rsidRDefault="00750A50" w:rsidP="00E4526C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br w:type="page"/>
            </w:r>
          </w:p>
        </w:tc>
        <w:tc>
          <w:tcPr>
            <w:tcW w:w="137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1B33" w14:textId="04625923" w:rsidR="00750A50" w:rsidRPr="00287B5A" w:rsidRDefault="001853DE" w:rsidP="00750A5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87B5A">
              <w:rPr>
                <w:rFonts w:ascii="Arial" w:hAnsi="Arial" w:cs="Arial"/>
                <w:b/>
                <w:sz w:val="20"/>
                <w:szCs w:val="20"/>
              </w:rPr>
              <w:t xml:space="preserve">Supplementary Table S3. </w:t>
            </w:r>
            <w:r w:rsidRPr="00750A50">
              <w:rPr>
                <w:rFonts w:ascii="Arial" w:hAnsi="Arial" w:cs="Arial"/>
                <w:bCs/>
                <w:sz w:val="20"/>
                <w:szCs w:val="20"/>
              </w:rPr>
              <w:t>Synopsis of supply chain activities to implement paraquat phase out as reported by UK retailer and PVS respondents.</w:t>
            </w:r>
            <w:r w:rsidRPr="00287B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tbl>
            <w:tblPr>
              <w:tblStyle w:val="TableGrid2"/>
              <w:tblW w:w="14532" w:type="dxa"/>
              <w:tblInd w:w="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7"/>
              <w:gridCol w:w="4265"/>
              <w:gridCol w:w="2148"/>
              <w:gridCol w:w="6622"/>
            </w:tblGrid>
            <w:tr w:rsidR="001853DE" w:rsidRPr="00287B5A" w14:paraId="0953615E" w14:textId="77777777" w:rsidTr="00E4526C">
              <w:trPr>
                <w:trHeight w:val="321"/>
              </w:trPr>
              <w:tc>
                <w:tcPr>
                  <w:tcW w:w="149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3584507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 w:bidi="gu-IN"/>
                    </w:rPr>
                  </w:pPr>
                  <w:r w:rsidRPr="00287B5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 w:bidi="gu-IN"/>
                    </w:rPr>
                    <w:t>Respondent</w:t>
                  </w:r>
                </w:p>
              </w:tc>
              <w:tc>
                <w:tcPr>
                  <w:tcW w:w="426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C5D0385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 w:bidi="gu-IN"/>
                    </w:rPr>
                  </w:pPr>
                  <w:r w:rsidRPr="00287B5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 w:bidi="gu-IN"/>
                    </w:rPr>
                    <w:t>How were growers supported to transition away from paraquat?</w:t>
                  </w:r>
                </w:p>
              </w:tc>
              <w:tc>
                <w:tcPr>
                  <w:tcW w:w="21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75CE753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 w:bidi="gu-IN"/>
                    </w:rPr>
                  </w:pPr>
                  <w:r w:rsidRPr="00287B5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 w:bidi="gu-IN"/>
                    </w:rPr>
                    <w:t>Stakeholders involved</w:t>
                  </w:r>
                </w:p>
              </w:tc>
              <w:tc>
                <w:tcPr>
                  <w:tcW w:w="662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223251C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 w:bidi="gu-IN"/>
                    </w:rPr>
                  </w:pPr>
                  <w:r w:rsidRPr="00287B5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 w:bidi="gu-IN"/>
                    </w:rPr>
                    <w:t>Progress to date</w:t>
                  </w:r>
                </w:p>
              </w:tc>
            </w:tr>
            <w:tr w:rsidR="001853DE" w:rsidRPr="00287B5A" w14:paraId="722AAFE9" w14:textId="77777777" w:rsidTr="00E4526C">
              <w:trPr>
                <w:trHeight w:val="1311"/>
              </w:trPr>
              <w:tc>
                <w:tcPr>
                  <w:tcW w:w="1497" w:type="dxa"/>
                  <w:tcBorders>
                    <w:top w:val="single" w:sz="4" w:space="0" w:color="auto"/>
                  </w:tcBorders>
                </w:tcPr>
                <w:p w14:paraId="5ECAFD7B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</w:pPr>
                  <w:r w:rsidRPr="00287B5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  <w:t>UK retailer A</w:t>
                  </w:r>
                </w:p>
              </w:tc>
              <w:tc>
                <w:tcPr>
                  <w:tcW w:w="4265" w:type="dxa"/>
                  <w:tcBorders>
                    <w:top w:val="single" w:sz="4" w:space="0" w:color="auto"/>
                  </w:tcBorders>
                </w:tcPr>
                <w:p w14:paraId="2C6B4993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</w:pPr>
                  <w:r w:rsidRPr="00287B5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  <w:t>Facilitate pineapple grower discussions on alternatives via supply chain specific action group, helping to support best practice and peer-to-peer learning.</w:t>
                  </w:r>
                </w:p>
                <w:p w14:paraId="2AF269D7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48" w:type="dxa"/>
                  <w:tcBorders>
                    <w:top w:val="single" w:sz="4" w:space="0" w:color="auto"/>
                  </w:tcBorders>
                </w:tcPr>
                <w:p w14:paraId="30D323FD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</w:pPr>
                  <w:r w:rsidRPr="00287B5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  <w:t xml:space="preserve">Supply chain staff, qualified agronomists, growers </w:t>
                  </w:r>
                </w:p>
                <w:p w14:paraId="2F18744F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</w:tcPr>
                <w:p w14:paraId="5832B48B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</w:pPr>
                  <w:r w:rsidRPr="00287B5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  <w:t>On-going work to reduce and phase out use. Growers must justify clearly why they still find it necessary to use and detail any use of relevant IPM methods.</w:t>
                  </w:r>
                  <w:r w:rsidRPr="00287B5A">
                    <w:rPr>
                      <w:sz w:val="18"/>
                      <w:szCs w:val="18"/>
                    </w:rPr>
                    <w:t xml:space="preserve"> </w:t>
                  </w:r>
                  <w:r w:rsidRPr="00287B5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  <w:t>Requests for paraquat use have declined since work to explore non-chemical alternatives. Alternative methods based on mechanical destruction and incorporation seem to be the most widely adopted. Growers currently looking at ways to improve and enhance performance of alternatives.</w:t>
                  </w:r>
                </w:p>
                <w:p w14:paraId="2C451B07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1853DE" w:rsidRPr="00287B5A" w14:paraId="74D914C3" w14:textId="77777777" w:rsidTr="00E4526C">
              <w:trPr>
                <w:trHeight w:val="464"/>
              </w:trPr>
              <w:tc>
                <w:tcPr>
                  <w:tcW w:w="1497" w:type="dxa"/>
                </w:tcPr>
                <w:p w14:paraId="6AAB6BB6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87B5A">
                    <w:rPr>
                      <w:rFonts w:ascii="Arial" w:hAnsi="Arial" w:cs="Arial"/>
                      <w:sz w:val="18"/>
                      <w:szCs w:val="18"/>
                    </w:rPr>
                    <w:t>UK retailer B</w:t>
                  </w:r>
                </w:p>
              </w:tc>
              <w:tc>
                <w:tcPr>
                  <w:tcW w:w="4265" w:type="dxa"/>
                </w:tcPr>
                <w:p w14:paraId="4D501EE0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</w:pPr>
                  <w:r w:rsidRPr="00287B5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  <w:t>On-going work to complete phase out, by derogation only, with numerous restrictions.</w:t>
                  </w:r>
                </w:p>
              </w:tc>
              <w:tc>
                <w:tcPr>
                  <w:tcW w:w="2148" w:type="dxa"/>
                </w:tcPr>
                <w:p w14:paraId="15BD5796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87B5A">
                    <w:rPr>
                      <w:rFonts w:ascii="Arial" w:hAnsi="Arial" w:cs="Arial"/>
                      <w:sz w:val="18"/>
                      <w:szCs w:val="18"/>
                    </w:rPr>
                    <w:t>No info</w:t>
                  </w:r>
                </w:p>
              </w:tc>
              <w:tc>
                <w:tcPr>
                  <w:tcW w:w="6622" w:type="dxa"/>
                </w:tcPr>
                <w:p w14:paraId="1BD5D1AA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87B5A">
                    <w:rPr>
                      <w:rFonts w:ascii="Arial" w:hAnsi="Arial" w:cs="Arial"/>
                      <w:sz w:val="18"/>
                      <w:szCs w:val="18"/>
                    </w:rPr>
                    <w:t>Massive reduction in last few years, usage is only in rare and particular cases.</w:t>
                  </w:r>
                  <w:r w:rsidRPr="00287B5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  <w:t xml:space="preserve"> </w:t>
                  </w:r>
                </w:p>
              </w:tc>
            </w:tr>
            <w:tr w:rsidR="001853DE" w:rsidRPr="00287B5A" w14:paraId="6542C298" w14:textId="77777777" w:rsidTr="00E4526C">
              <w:trPr>
                <w:trHeight w:val="1597"/>
              </w:trPr>
              <w:tc>
                <w:tcPr>
                  <w:tcW w:w="1497" w:type="dxa"/>
                </w:tcPr>
                <w:p w14:paraId="46FE6AE9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87B5A">
                    <w:rPr>
                      <w:rFonts w:ascii="Arial" w:hAnsi="Arial" w:cs="Arial"/>
                      <w:sz w:val="18"/>
                      <w:szCs w:val="18"/>
                    </w:rPr>
                    <w:t>UK retailer C</w:t>
                  </w:r>
                </w:p>
              </w:tc>
              <w:tc>
                <w:tcPr>
                  <w:tcW w:w="4265" w:type="dxa"/>
                </w:tcPr>
                <w:p w14:paraId="2958400B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87B5A">
                    <w:rPr>
                      <w:rFonts w:ascii="Arial" w:hAnsi="Arial" w:cs="Arial"/>
                      <w:sz w:val="18"/>
                      <w:szCs w:val="18"/>
                    </w:rPr>
                    <w:t>-Set up a suppliers’ crop protection group in 2021 to begin implementing company policy on HHP phase out and IPM replacement.</w:t>
                  </w:r>
                </w:p>
                <w:p w14:paraId="399D9FD7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</w:pPr>
                  <w:r w:rsidRPr="00287B5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  <w:t>-Posting info on alternative practices on supply chain wide platform for pineapple growers.</w:t>
                  </w:r>
                </w:p>
                <w:p w14:paraId="6F09DDA2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</w:pPr>
                  <w:r w:rsidRPr="00287B5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  <w:t xml:space="preserve">-Work with crop-specific suppliers to identify where HHPs are used, then jointly trial alternatives. </w:t>
                  </w:r>
                </w:p>
                <w:p w14:paraId="68888A95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48" w:type="dxa"/>
                </w:tcPr>
                <w:p w14:paraId="59396459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</w:pPr>
                  <w:r w:rsidRPr="00287B5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  <w:t xml:space="preserve">Company, suppliers’ working group representatives, leading growers/exporters </w:t>
                  </w:r>
                </w:p>
                <w:p w14:paraId="09CB8B98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622" w:type="dxa"/>
                </w:tcPr>
                <w:p w14:paraId="60B6F0DA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87B5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  <w:t>Use discontinued by one major supplier in 2019, by shredding, decomposer microbes and re-incorporation of rotted material. This experience provides best practice example for others to follow.</w:t>
                  </w:r>
                </w:p>
              </w:tc>
            </w:tr>
            <w:tr w:rsidR="001853DE" w:rsidRPr="00287B5A" w14:paraId="01C6E216" w14:textId="77777777" w:rsidTr="00E4526C">
              <w:trPr>
                <w:trHeight w:val="631"/>
              </w:trPr>
              <w:tc>
                <w:tcPr>
                  <w:tcW w:w="1497" w:type="dxa"/>
                </w:tcPr>
                <w:p w14:paraId="4D303488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87B5A">
                    <w:rPr>
                      <w:rFonts w:ascii="Arial" w:hAnsi="Arial" w:cs="Arial"/>
                      <w:sz w:val="18"/>
                      <w:szCs w:val="18"/>
                    </w:rPr>
                    <w:t>UK retailer D</w:t>
                  </w:r>
                </w:p>
              </w:tc>
              <w:tc>
                <w:tcPr>
                  <w:tcW w:w="4265" w:type="dxa"/>
                </w:tcPr>
                <w:p w14:paraId="4D5C3426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87B5A">
                    <w:rPr>
                      <w:rFonts w:ascii="Arial" w:hAnsi="Arial" w:cs="Arial"/>
                      <w:sz w:val="18"/>
                      <w:szCs w:val="18"/>
                    </w:rPr>
                    <w:t>No info</w:t>
                  </w:r>
                </w:p>
              </w:tc>
              <w:tc>
                <w:tcPr>
                  <w:tcW w:w="2148" w:type="dxa"/>
                </w:tcPr>
                <w:p w14:paraId="6549817A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</w:pPr>
                  <w:r w:rsidRPr="00287B5A">
                    <w:rPr>
                      <w:rFonts w:ascii="Arial" w:hAnsi="Arial" w:cs="Arial"/>
                      <w:sz w:val="18"/>
                      <w:szCs w:val="18"/>
                    </w:rPr>
                    <w:t>No info</w:t>
                  </w:r>
                </w:p>
              </w:tc>
              <w:tc>
                <w:tcPr>
                  <w:tcW w:w="6622" w:type="dxa"/>
                </w:tcPr>
                <w:p w14:paraId="4FF8FFD5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</w:pPr>
                  <w:r w:rsidRPr="00287B5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  <w:t>Paraquat application for pineapple foliage desiccation discontinued by growers some years ago</w:t>
                  </w:r>
                </w:p>
                <w:p w14:paraId="1E7B7868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</w:pPr>
                </w:p>
              </w:tc>
            </w:tr>
            <w:tr w:rsidR="001853DE" w:rsidRPr="00287B5A" w14:paraId="06C03AFD" w14:textId="77777777" w:rsidTr="00E4526C">
              <w:trPr>
                <w:trHeight w:val="810"/>
              </w:trPr>
              <w:tc>
                <w:tcPr>
                  <w:tcW w:w="1497" w:type="dxa"/>
                </w:tcPr>
                <w:p w14:paraId="45DC113A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87B5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  <w:t>PVS 1</w:t>
                  </w:r>
                </w:p>
              </w:tc>
              <w:tc>
                <w:tcPr>
                  <w:tcW w:w="4265" w:type="dxa"/>
                </w:tcPr>
                <w:p w14:paraId="268DB07F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</w:pPr>
                  <w:r w:rsidRPr="00287B5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  <w:t xml:space="preserve">Dedicated training for pineapple growers on alternatives from 2018, as part of usual training to comply with the requirements of this supply chain. </w:t>
                  </w:r>
                </w:p>
                <w:p w14:paraId="24B8BB20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48" w:type="dxa"/>
                </w:tcPr>
                <w:p w14:paraId="5DEF7CEF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</w:pPr>
                  <w:r w:rsidRPr="00287B5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  <w:t xml:space="preserve">Supply chain staff and trainers, pioneer farmers using alternatives </w:t>
                  </w:r>
                </w:p>
                <w:p w14:paraId="4798D383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622" w:type="dxa"/>
                </w:tcPr>
                <w:p w14:paraId="4CF717A4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</w:pPr>
                  <w:r w:rsidRPr="00287B5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  <w:t>None of the pineapple growers are using paraquat. Most are now using decomposer microbes, although effectiveness varies.</w:t>
                  </w:r>
                </w:p>
                <w:p w14:paraId="3E52BA42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</w:pPr>
                </w:p>
              </w:tc>
            </w:tr>
            <w:tr w:rsidR="001853DE" w:rsidRPr="00287B5A" w14:paraId="4D0DCC7F" w14:textId="77777777" w:rsidTr="00E4526C">
              <w:trPr>
                <w:trHeight w:val="953"/>
              </w:trPr>
              <w:tc>
                <w:tcPr>
                  <w:tcW w:w="1497" w:type="dxa"/>
                  <w:tcBorders>
                    <w:bottom w:val="single" w:sz="4" w:space="0" w:color="auto"/>
                  </w:tcBorders>
                </w:tcPr>
                <w:p w14:paraId="17A3BA8E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87B5A">
                    <w:rPr>
                      <w:rFonts w:ascii="Arial" w:hAnsi="Arial" w:cs="Arial"/>
                      <w:sz w:val="18"/>
                      <w:szCs w:val="18"/>
                    </w:rPr>
                    <w:t>PVS 2 (Coffee)</w:t>
                  </w:r>
                </w:p>
              </w:tc>
              <w:tc>
                <w:tcPr>
                  <w:tcW w:w="4265" w:type="dxa"/>
                  <w:tcBorders>
                    <w:bottom w:val="single" w:sz="4" w:space="0" w:color="auto"/>
                  </w:tcBorders>
                </w:tcPr>
                <w:p w14:paraId="7F38875D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87B5A">
                    <w:rPr>
                      <w:rFonts w:ascii="Arial" w:hAnsi="Arial" w:cs="Arial"/>
                      <w:sz w:val="18"/>
                      <w:szCs w:val="18"/>
                    </w:rPr>
                    <w:t>Collective action initiatives set up by PVS in collaboration with grower groups and Ministry of Agriculture.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287B5A">
                    <w:rPr>
                      <w:rFonts w:ascii="Arial" w:hAnsi="Arial" w:cs="Arial"/>
                      <w:sz w:val="18"/>
                      <w:szCs w:val="18"/>
                    </w:rPr>
                    <w:t>Close liaison with pesticide regulators on phase out dates and transition periods for bans on paraquat, glyphosate.</w:t>
                  </w:r>
                </w:p>
              </w:tc>
              <w:tc>
                <w:tcPr>
                  <w:tcW w:w="2148" w:type="dxa"/>
                  <w:tcBorders>
                    <w:bottom w:val="single" w:sz="4" w:space="0" w:color="auto"/>
                  </w:tcBorders>
                </w:tcPr>
                <w:p w14:paraId="36ADFA50" w14:textId="77777777" w:rsidR="001853DE" w:rsidRPr="00287B5A" w:rsidRDefault="001853DE" w:rsidP="00E4526C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</w:pPr>
                  <w:r w:rsidRPr="00287B5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GB" w:bidi="gu-IN"/>
                    </w:rPr>
                    <w:t>Growers, commodity board, supply chain standard, Ministry of Agriculture</w:t>
                  </w:r>
                </w:p>
                <w:p w14:paraId="4B68AEE5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</w:tcPr>
                <w:p w14:paraId="0A0A6D3F" w14:textId="77777777" w:rsidR="001853DE" w:rsidRPr="00287B5A" w:rsidRDefault="001853DE" w:rsidP="00E4526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87B5A">
                    <w:rPr>
                      <w:rFonts w:ascii="Arial" w:hAnsi="Arial" w:cs="Arial"/>
                      <w:sz w:val="18"/>
                      <w:szCs w:val="18"/>
                    </w:rPr>
                    <w:t>Paraquat no longer used in coffee, replaced by hand or mechanical weeding and use of other herbicides. Some use of organic/biological herbicides.</w:t>
                  </w:r>
                </w:p>
              </w:tc>
            </w:tr>
          </w:tbl>
          <w:p w14:paraId="256B1056" w14:textId="77777777" w:rsidR="001853DE" w:rsidRPr="009037F5" w:rsidRDefault="001853DE" w:rsidP="00E4526C">
            <w:pPr>
              <w:spacing w:line="360" w:lineRule="auto"/>
              <w:ind w:left="360"/>
              <w:rPr>
                <w:rFonts w:ascii="Arial" w:hAnsi="Arial" w:cs="Arial"/>
                <w:lang w:val="en-US"/>
              </w:rPr>
            </w:pPr>
          </w:p>
          <w:p w14:paraId="175E71CF" w14:textId="77777777" w:rsidR="001853DE" w:rsidRDefault="001853DE" w:rsidP="00E452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 w:bidi="gu-IN"/>
              </w:rPr>
            </w:pPr>
          </w:p>
          <w:p w14:paraId="26B98EA9" w14:textId="77777777" w:rsidR="00750A50" w:rsidRDefault="00750A50" w:rsidP="00E4526C">
            <w:pPr>
              <w:spacing w:before="120" w:after="0" w:line="360" w:lineRule="auto"/>
              <w:rPr>
                <w:rFonts w:ascii="Arial" w:hAnsi="Arial" w:cs="Arial"/>
                <w:b/>
              </w:rPr>
            </w:pPr>
          </w:p>
          <w:p w14:paraId="1D40DF61" w14:textId="0AD84AC8" w:rsidR="001853DE" w:rsidRPr="00287B5A" w:rsidRDefault="001853DE" w:rsidP="00E4526C">
            <w:pPr>
              <w:spacing w:before="120" w:after="0" w:line="360" w:lineRule="auto"/>
              <w:rPr>
                <w:rFonts w:ascii="Arial" w:eastAsia="Times New Roman" w:hAnsi="Arial" w:cs="Arial"/>
                <w:b/>
                <w:bCs/>
                <w:color w:val="000000"/>
                <w:highlight w:val="yellow"/>
                <w:lang w:eastAsia="en-GB" w:bidi="gu-IN"/>
              </w:rPr>
            </w:pPr>
            <w:r w:rsidRPr="00287B5A">
              <w:rPr>
                <w:rFonts w:ascii="Arial" w:hAnsi="Arial" w:cs="Arial"/>
                <w:b/>
              </w:rPr>
              <w:t xml:space="preserve">Supplementary Table S4. </w:t>
            </w:r>
            <w:r w:rsidRPr="00750A50">
              <w:rPr>
                <w:rFonts w:ascii="Arial" w:hAnsi="Arial" w:cs="Arial"/>
                <w:bCs/>
              </w:rPr>
              <w:t>The extent of agreement or disagreement for each of the statements below that were provided by regulator respondents. 1-strongly agree, 2-agree, 3-not sure, 4-disagree, or 5-strongly disagree</w:t>
            </w:r>
          </w:p>
        </w:tc>
      </w:tr>
      <w:tr w:rsidR="001853DE" w:rsidRPr="009037F5" w14:paraId="3F79A07D" w14:textId="77777777" w:rsidTr="00750A50">
        <w:trPr>
          <w:trHeight w:val="727"/>
        </w:trPr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0B5B34" w14:textId="77777777" w:rsidR="001853DE" w:rsidRPr="009037F5" w:rsidRDefault="001853DE" w:rsidP="00E452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b/>
                <w:bCs/>
                <w:color w:val="000000"/>
                <w:lang w:eastAsia="en-GB" w:bidi="gu-IN"/>
              </w:rPr>
              <w:t>To my knowledge,</w:t>
            </w: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B6B586" w14:textId="77777777" w:rsidR="001853DE" w:rsidRPr="009037F5" w:rsidRDefault="001853DE" w:rsidP="00E452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b/>
                <w:bCs/>
                <w:color w:val="000000"/>
                <w:lang w:eastAsia="en-GB" w:bidi="gu-IN"/>
              </w:rPr>
              <w:t>Country A</w:t>
            </w:r>
          </w:p>
        </w:tc>
        <w:tc>
          <w:tcPr>
            <w:tcW w:w="13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5EDB81" w14:textId="77777777" w:rsidR="001853DE" w:rsidRPr="009037F5" w:rsidRDefault="001853DE" w:rsidP="00E452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b/>
                <w:bCs/>
                <w:color w:val="000000"/>
                <w:lang w:eastAsia="en-GB" w:bidi="gu-IN"/>
              </w:rPr>
              <w:t>Country B</w:t>
            </w:r>
          </w:p>
        </w:tc>
        <w:tc>
          <w:tcPr>
            <w:tcW w:w="13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17A739" w14:textId="77777777" w:rsidR="001853DE" w:rsidRPr="009037F5" w:rsidRDefault="001853DE" w:rsidP="00E452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b/>
                <w:bCs/>
                <w:color w:val="000000"/>
                <w:lang w:eastAsia="en-GB" w:bidi="gu-IN"/>
              </w:rPr>
              <w:t>Country C</w:t>
            </w:r>
          </w:p>
        </w:tc>
        <w:tc>
          <w:tcPr>
            <w:tcW w:w="1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771ADD" w14:textId="77777777" w:rsidR="001853DE" w:rsidRPr="009037F5" w:rsidRDefault="001853DE" w:rsidP="00E452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b/>
                <w:bCs/>
                <w:color w:val="000000"/>
                <w:lang w:eastAsia="en-GB" w:bidi="gu-IN"/>
              </w:rPr>
              <w:t>Country D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74E4C01" w14:textId="77777777" w:rsidR="001853DE" w:rsidRPr="009037F5" w:rsidRDefault="001853DE" w:rsidP="00E452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b/>
                <w:bCs/>
                <w:color w:val="000000"/>
                <w:lang w:eastAsia="en-GB" w:bidi="gu-IN"/>
              </w:rPr>
              <w:t>Country E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1C69349" w14:textId="77777777" w:rsidR="001853DE" w:rsidRPr="009037F5" w:rsidRDefault="001853DE" w:rsidP="00E452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b/>
                <w:bCs/>
                <w:color w:val="000000"/>
                <w:lang w:eastAsia="en-GB" w:bidi="gu-IN"/>
              </w:rPr>
              <w:t>Country F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A0D37F4" w14:textId="77777777" w:rsidR="001853DE" w:rsidRPr="009037F5" w:rsidRDefault="001853DE" w:rsidP="00E452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b/>
                <w:bCs/>
                <w:color w:val="000000"/>
                <w:lang w:eastAsia="en-GB" w:bidi="gu-IN"/>
              </w:rPr>
              <w:t xml:space="preserve">Country </w:t>
            </w:r>
            <w:r>
              <w:rPr>
                <w:rFonts w:eastAsia="Times New Roman" w:cs="Calibri"/>
                <w:b/>
                <w:bCs/>
                <w:color w:val="000000"/>
                <w:lang w:eastAsia="en-GB" w:bidi="gu-IN"/>
              </w:rPr>
              <w:t>G</w:t>
            </w:r>
          </w:p>
        </w:tc>
        <w:tc>
          <w:tcPr>
            <w:tcW w:w="30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85CB6" w14:textId="77777777" w:rsidR="001853DE" w:rsidRPr="009037F5" w:rsidRDefault="001853DE" w:rsidP="00E452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b/>
                <w:bCs/>
                <w:color w:val="000000"/>
                <w:lang w:eastAsia="en-GB" w:bidi="gu-IN"/>
              </w:rPr>
              <w:t>% agree/ strongly agree</w:t>
            </w:r>
          </w:p>
        </w:tc>
      </w:tr>
      <w:tr w:rsidR="001853DE" w:rsidRPr="009037F5" w14:paraId="1AA0517C" w14:textId="77777777" w:rsidTr="00750A50">
        <w:trPr>
          <w:trHeight w:val="499"/>
        </w:trPr>
        <w:tc>
          <w:tcPr>
            <w:tcW w:w="15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0EA451" w14:textId="77777777" w:rsidR="001853DE" w:rsidRPr="009037F5" w:rsidRDefault="001853DE" w:rsidP="00E4526C">
            <w:pPr>
              <w:spacing w:after="0" w:line="240" w:lineRule="auto"/>
              <w:rPr>
                <w:rFonts w:eastAsia="Times New Roman" w:cs="Calibri"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banning paraquat has had no adverse effect on crop yields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28727" w14:textId="77777777" w:rsidR="001853DE" w:rsidRPr="009037F5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C7A0D5" w14:textId="77777777" w:rsidR="001853DE" w:rsidRPr="009037F5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71F806" w14:textId="77777777" w:rsidR="001853DE" w:rsidRPr="009037F5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4E68E" w14:textId="77777777" w:rsidR="001853DE" w:rsidRPr="009037F5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74DB067" w14:textId="77777777" w:rsidR="001853DE" w:rsidRPr="009037F5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1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751897" w14:textId="77777777" w:rsidR="001853DE" w:rsidRPr="009037F5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2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D230A" w14:textId="77777777" w:rsidR="001853DE" w:rsidRPr="009037F5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2</w:t>
            </w:r>
          </w:p>
        </w:tc>
        <w:tc>
          <w:tcPr>
            <w:tcW w:w="3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5E35D" w14:textId="77777777" w:rsidR="001853DE" w:rsidRPr="009037F5" w:rsidRDefault="001853DE" w:rsidP="00E4526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100</w:t>
            </w:r>
            <w:r>
              <w:rPr>
                <w:rFonts w:eastAsia="Times New Roman" w:cs="Calibri"/>
                <w:color w:val="000000"/>
                <w:lang w:eastAsia="en-GB" w:bidi="gu-IN"/>
              </w:rPr>
              <w:t>.0</w:t>
            </w: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%</w:t>
            </w:r>
          </w:p>
        </w:tc>
      </w:tr>
      <w:tr w:rsidR="001853DE" w:rsidRPr="009037F5" w14:paraId="18D6E6D9" w14:textId="77777777" w:rsidTr="00750A50">
        <w:trPr>
          <w:trHeight w:val="484"/>
        </w:trPr>
        <w:tc>
          <w:tcPr>
            <w:tcW w:w="15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62CEB4" w14:textId="77777777" w:rsidR="001853DE" w:rsidRPr="009037F5" w:rsidRDefault="001853DE" w:rsidP="00E4526C">
            <w:pPr>
              <w:spacing w:after="0" w:line="240" w:lineRule="auto"/>
              <w:rPr>
                <w:rFonts w:eastAsia="Times New Roman" w:cs="Calibri"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banning paraquat has had no adverse effect on farmer incomes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A07BE6" w14:textId="77777777" w:rsidR="001853DE" w:rsidRPr="009037F5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BDFC59" w14:textId="77777777" w:rsidR="001853DE" w:rsidRPr="009037F5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86BB5A" w14:textId="77777777" w:rsidR="001853DE" w:rsidRPr="009037F5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CE1714" w14:textId="77777777" w:rsidR="001853DE" w:rsidRPr="009037F5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583AA0" w14:textId="77777777" w:rsidR="001853DE" w:rsidRPr="009037F5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1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DD63A" w14:textId="77777777" w:rsidR="001853DE" w:rsidRPr="009037F5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06190" w14:textId="77777777" w:rsidR="001853DE" w:rsidRPr="009037F5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>
              <w:rPr>
                <w:rFonts w:eastAsia="Times New Roman" w:cs="Calibri"/>
                <w:color w:val="000000"/>
                <w:lang w:eastAsia="en-GB" w:bidi="gu-IN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B99C5" w14:textId="77777777" w:rsidR="001853DE" w:rsidRPr="009037F5" w:rsidRDefault="001853DE" w:rsidP="00E4526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5</w:t>
            </w:r>
            <w:r>
              <w:rPr>
                <w:rFonts w:eastAsia="Times New Roman" w:cs="Calibri"/>
                <w:color w:val="000000"/>
                <w:lang w:eastAsia="en-GB" w:bidi="gu-IN"/>
              </w:rPr>
              <w:t>7.1</w:t>
            </w: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%</w:t>
            </w:r>
          </w:p>
        </w:tc>
      </w:tr>
      <w:tr w:rsidR="001853DE" w:rsidRPr="009037F5" w14:paraId="53C52FD2" w14:textId="77777777" w:rsidTr="00750A50">
        <w:trPr>
          <w:trHeight w:val="60"/>
        </w:trPr>
        <w:tc>
          <w:tcPr>
            <w:tcW w:w="15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62C2DD" w14:textId="77777777" w:rsidR="001853DE" w:rsidRPr="009037F5" w:rsidRDefault="001853DE" w:rsidP="00E4526C">
            <w:pPr>
              <w:spacing w:after="0" w:line="240" w:lineRule="auto"/>
              <w:rPr>
                <w:rFonts w:eastAsia="Times New Roman" w:cs="Calibri"/>
                <w:color w:val="000000"/>
                <w:lang w:eastAsia="en-GB" w:bidi="gu-IN"/>
              </w:rPr>
            </w:pP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banning paraquat has greatly reduced incidences of human pesticide poisonings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DA5C51" w14:textId="77777777" w:rsidR="001853DE" w:rsidRPr="00E4526C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E4526C">
              <w:rPr>
                <w:rFonts w:eastAsia="Times New Roman" w:cs="Calibri"/>
                <w:color w:val="000000"/>
                <w:lang w:eastAsia="en-GB" w:bidi="gu-IN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148CEE" w14:textId="77777777" w:rsidR="001853DE" w:rsidRPr="00E4526C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E4526C">
              <w:rPr>
                <w:rFonts w:eastAsia="Times New Roman" w:cs="Calibri"/>
                <w:color w:val="000000"/>
                <w:lang w:eastAsia="en-GB" w:bidi="gu-IN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6F69E4" w14:textId="77777777" w:rsidR="001853DE" w:rsidRPr="00E4526C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E4526C">
              <w:rPr>
                <w:rFonts w:eastAsia="Times New Roman" w:cs="Calibri"/>
                <w:color w:val="000000"/>
                <w:lang w:eastAsia="en-GB" w:bidi="gu-IN"/>
              </w:rPr>
              <w:t>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3E2B18" w14:textId="77777777" w:rsidR="001853DE" w:rsidRPr="00E4526C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E4526C">
              <w:rPr>
                <w:rFonts w:eastAsia="Times New Roman" w:cs="Calibri"/>
                <w:color w:val="000000"/>
                <w:lang w:eastAsia="en-GB" w:bidi="gu-IN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207F457" w14:textId="77777777" w:rsidR="001853DE" w:rsidRPr="00E4526C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E4526C">
              <w:rPr>
                <w:rFonts w:eastAsia="Times New Roman" w:cs="Calibri"/>
                <w:color w:val="000000"/>
                <w:lang w:eastAsia="en-GB" w:bidi="gu-IN"/>
              </w:rPr>
              <w:t>1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355F10" w14:textId="77777777" w:rsidR="001853DE" w:rsidRPr="00E4526C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E4526C">
              <w:rPr>
                <w:rFonts w:eastAsia="Times New Roman" w:cs="Calibri"/>
                <w:color w:val="000000"/>
                <w:lang w:eastAsia="en-GB" w:bidi="gu-IN"/>
              </w:rPr>
              <w:t>3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C97CB" w14:textId="77777777" w:rsidR="001853DE" w:rsidRPr="00E4526C" w:rsidRDefault="001853DE" w:rsidP="00E452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 w:bidi="gu-IN"/>
              </w:rPr>
            </w:pPr>
            <w:r w:rsidRPr="00E4526C">
              <w:rPr>
                <w:rFonts w:eastAsia="Times New Roman" w:cs="Calibri"/>
                <w:color w:val="000000"/>
                <w:lang w:eastAsia="en-GB" w:bidi="gu-IN"/>
              </w:rPr>
              <w:t>3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8334F" w14:textId="77777777" w:rsidR="001853DE" w:rsidRPr="009037F5" w:rsidRDefault="001853DE" w:rsidP="00E4526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 w:bidi="gu-IN"/>
              </w:rPr>
            </w:pPr>
            <w:r>
              <w:rPr>
                <w:rFonts w:eastAsia="Times New Roman" w:cs="Calibri"/>
                <w:color w:val="000000"/>
                <w:lang w:eastAsia="en-GB" w:bidi="gu-IN"/>
              </w:rPr>
              <w:t>71.4</w:t>
            </w:r>
            <w:r w:rsidRPr="009037F5">
              <w:rPr>
                <w:rFonts w:eastAsia="Times New Roman" w:cs="Calibri"/>
                <w:color w:val="000000"/>
                <w:lang w:eastAsia="en-GB" w:bidi="gu-IN"/>
              </w:rPr>
              <w:t>%</w:t>
            </w:r>
          </w:p>
        </w:tc>
      </w:tr>
    </w:tbl>
    <w:p w14:paraId="4EC86820" w14:textId="77777777" w:rsidR="001853DE" w:rsidRPr="009037F5" w:rsidRDefault="001853DE" w:rsidP="001853DE">
      <w:pPr>
        <w:spacing w:line="360" w:lineRule="auto"/>
        <w:rPr>
          <w:rFonts w:ascii="Arial" w:hAnsi="Arial" w:cs="Arial"/>
        </w:rPr>
      </w:pPr>
    </w:p>
    <w:p w14:paraId="794F6F7C" w14:textId="77777777" w:rsidR="001853DE" w:rsidRDefault="001853DE" w:rsidP="001853DE">
      <w:pPr>
        <w:spacing w:after="0" w:line="240" w:lineRule="auto"/>
        <w:rPr>
          <w:rFonts w:ascii="Arial" w:hAnsi="Arial" w:cs="Arial"/>
          <w:noProof/>
        </w:rPr>
        <w:sectPr w:rsidR="001853DE" w:rsidSect="00287B5A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7774DC68" w14:textId="2F9A8312" w:rsidR="001853DE" w:rsidRPr="00A5061D" w:rsidRDefault="001853DE" w:rsidP="001853DE">
      <w:pPr>
        <w:spacing w:after="0" w:line="240" w:lineRule="auto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5938856E" wp14:editId="6863AC58">
            <wp:extent cx="5731510" cy="3030855"/>
            <wp:effectExtent l="0" t="0" r="2540" b="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1AF4E567-2F7C-47BC-A218-364EADFA81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Pr="00AE3783">
        <w:rPr>
          <w:rFonts w:ascii="Arial" w:hAnsi="Arial" w:cs="Arial"/>
          <w:b/>
          <w:bCs/>
        </w:rPr>
        <w:t xml:space="preserve">Supplementary </w:t>
      </w:r>
      <w:r w:rsidRPr="006C47F0">
        <w:rPr>
          <w:rFonts w:ascii="Arial" w:hAnsi="Arial" w:cs="Arial"/>
          <w:b/>
        </w:rPr>
        <w:t>Figure S</w:t>
      </w:r>
      <w:r w:rsidRPr="00AE3783">
        <w:rPr>
          <w:rFonts w:ascii="Arial" w:hAnsi="Arial" w:cs="Arial"/>
          <w:b/>
        </w:rPr>
        <w:t xml:space="preserve">1. </w:t>
      </w:r>
      <w:r w:rsidRPr="00750A50">
        <w:rPr>
          <w:rFonts w:ascii="Arial" w:hAnsi="Arial" w:cs="Arial"/>
          <w:bCs/>
        </w:rPr>
        <w:t>Mean annual yield for previously paraquat dependent crops for three countries 6-7 years before and after paraquat was banned. Vertical line indicates year of ban. Source: FAOSTAT data accessed on 3</w:t>
      </w:r>
      <w:r w:rsidRPr="00750A50">
        <w:rPr>
          <w:rFonts w:ascii="Arial" w:hAnsi="Arial" w:cs="Arial"/>
          <w:bCs/>
          <w:vertAlign w:val="superscript"/>
        </w:rPr>
        <w:t>rd</w:t>
      </w:r>
      <w:r w:rsidRPr="00750A50">
        <w:rPr>
          <w:rFonts w:ascii="Arial" w:hAnsi="Arial" w:cs="Arial"/>
          <w:bCs/>
        </w:rPr>
        <w:t xml:space="preserve"> February 2022.</w:t>
      </w:r>
    </w:p>
    <w:p w14:paraId="319020B5" w14:textId="77777777" w:rsidR="00D5699F" w:rsidRPr="00D5699F" w:rsidRDefault="00D5699F" w:rsidP="00D5699F">
      <w:pPr>
        <w:rPr>
          <w:b/>
          <w:bCs/>
          <w:lang w:val="en-US"/>
        </w:rPr>
      </w:pPr>
      <w:bookmarkStart w:id="2" w:name="_GoBack"/>
      <w:bookmarkEnd w:id="2"/>
    </w:p>
    <w:sectPr w:rsidR="00D5699F" w:rsidRPr="00D569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4790B"/>
    <w:multiLevelType w:val="hybridMultilevel"/>
    <w:tmpl w:val="BA108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99F"/>
    <w:rsid w:val="000D3C0D"/>
    <w:rsid w:val="001853DE"/>
    <w:rsid w:val="001D2751"/>
    <w:rsid w:val="003E1E47"/>
    <w:rsid w:val="00525170"/>
    <w:rsid w:val="00681F19"/>
    <w:rsid w:val="00750A50"/>
    <w:rsid w:val="00795145"/>
    <w:rsid w:val="007D46B3"/>
    <w:rsid w:val="00804FE2"/>
    <w:rsid w:val="008333DB"/>
    <w:rsid w:val="00A701A8"/>
    <w:rsid w:val="00D5699F"/>
    <w:rsid w:val="00EE0D44"/>
    <w:rsid w:val="00F9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F7F79"/>
  <w15:chartTrackingRefBased/>
  <w15:docId w15:val="{85F3C51A-68DF-4B5D-A204-200795F1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5699F"/>
    <w:pPr>
      <w:ind w:left="720"/>
      <w:contextualSpacing/>
    </w:pPr>
    <w:rPr>
      <w:rFonts w:ascii="Calibri" w:eastAsia="Calibri" w:hAnsi="Calibri" w:cs="Shruti"/>
    </w:rPr>
  </w:style>
  <w:style w:type="character" w:styleId="Hyperlink">
    <w:name w:val="Hyperlink"/>
    <w:basedOn w:val="DefaultParagraphFont"/>
    <w:uiPriority w:val="99"/>
    <w:rsid w:val="00D5699F"/>
    <w:rPr>
      <w:rFonts w:cs="Times New Roman"/>
      <w:color w:val="0563C1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1853DE"/>
    <w:pPr>
      <w:spacing w:after="0" w:line="240" w:lineRule="auto"/>
    </w:pPr>
    <w:rPr>
      <w:rFonts w:ascii="Calibri" w:eastAsia="Calibri" w:hAnsi="Calibri" w:cs="Shruti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185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8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@pan-uk.org" TargetMode="External"/><Relationship Id="rId13" Type="http://schemas.openxmlformats.org/officeDocument/2006/relationships/hyperlink" Target="https://fsc.org/en/document-centre/documents/resource/315" TargetMode="External"/><Relationship Id="rId18" Type="http://schemas.openxmlformats.org/officeDocument/2006/relationships/hyperlink" Target="https://www.rainforest-alliance.org/wp-content/uploads/2020/06/Annex-7-Pesticides-Management.pdf" TargetMode="External"/><Relationship Id="rId3" Type="http://schemas.openxmlformats.org/officeDocument/2006/relationships/customXml" Target="../customXml/item3.xml"/><Relationship Id="rId21" Type="http://schemas.openxmlformats.org/officeDocument/2006/relationships/chart" Target="charts/chart1.xml"/><Relationship Id="rId7" Type="http://schemas.openxmlformats.org/officeDocument/2006/relationships/webSettings" Target="webSettings.xml"/><Relationship Id="rId12" Type="http://schemas.openxmlformats.org/officeDocument/2006/relationships/hyperlink" Target="https://www.fairtrade.net/standard/fairtrade-standards" TargetMode="External"/><Relationship Id="rId17" Type="http://schemas.openxmlformats.org/officeDocument/2006/relationships/hyperlink" Target="https://www.rainforest-alliance.org/for-business/2020-certification-progra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pm-coalition.org/term/10729/paraquat-dichloride" TargetMode="External"/><Relationship Id="rId20" Type="http://schemas.openxmlformats.org/officeDocument/2006/relationships/hyperlink" Target="https://responsiblesoy.org/wp-content/uploads/2021/12/RTRS-Standard-for-Responsible-Soy-Production-V4.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airtrade.net/standard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globalcoffeeplatform.org/wp-content/uploads/2021/10/CSRC_PesticidesLists_OCT21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onsucro.com/production-standard/" TargetMode="External"/><Relationship Id="rId19" Type="http://schemas.openxmlformats.org/officeDocument/2006/relationships/hyperlink" Target="https://rspo.org/resources/archive/144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bettercotton.org/what-we-do/defining-better-our-standard/" TargetMode="External"/><Relationship Id="rId14" Type="http://schemas.openxmlformats.org/officeDocument/2006/relationships/hyperlink" Target="https://www.globalcoffeeplatform.org/our-work/coffee-sustainability-reference-code/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https://panuk-my.sharepoint.com/personal/alex_pan-uk_org/Documents/CPSP/Paraquat%20paper/FAOdata/Fr%20Sp%20Ger%20all%20crops%201997-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058941447028877"/>
          <c:y val="3.9328787064415456E-2"/>
          <c:w val="0.65164336475973128"/>
          <c:h val="0.79681474814174114"/>
        </c:manualLayout>
      </c:layout>
      <c:scatterChart>
        <c:scatterStyle val="lineMarker"/>
        <c:varyColors val="0"/>
        <c:ser>
          <c:idx val="8"/>
          <c:order val="0"/>
          <c:tx>
            <c:strRef>
              <c:f>'Final figs tonnes per ha'!$G$18</c:f>
              <c:strCache>
                <c:ptCount val="1"/>
                <c:pt idx="0">
                  <c:v>Sri Lanka tea</c:v>
                </c:pt>
              </c:strCache>
            </c:strRef>
          </c:tx>
          <c:spPr>
            <a:ln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'Final figs tonnes per ha'!$C$19:$C$33</c:f>
              <c:numCache>
                <c:formatCode>General</c:formatCode>
                <c:ptCount val="15"/>
                <c:pt idx="0">
                  <c:v>-7</c:v>
                </c:pt>
                <c:pt idx="1">
                  <c:v>-6</c:v>
                </c:pt>
                <c:pt idx="2">
                  <c:v>-5</c:v>
                </c:pt>
                <c:pt idx="3">
                  <c:v>-4</c:v>
                </c:pt>
                <c:pt idx="4">
                  <c:v>-3</c:v>
                </c:pt>
                <c:pt idx="5">
                  <c:v>-2</c:v>
                </c:pt>
                <c:pt idx="6">
                  <c:v>-1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  <c:pt idx="10">
                  <c:v>3</c:v>
                </c:pt>
                <c:pt idx="11">
                  <c:v>4</c:v>
                </c:pt>
                <c:pt idx="12">
                  <c:v>5</c:v>
                </c:pt>
                <c:pt idx="13">
                  <c:v>6</c:v>
                </c:pt>
                <c:pt idx="14">
                  <c:v>7</c:v>
                </c:pt>
              </c:numCache>
            </c:numRef>
          </c:xVal>
          <c:yVal>
            <c:numRef>
              <c:f>'Final figs tonnes per ha'!$G$19:$G$33</c:f>
              <c:numCache>
                <c:formatCode>0.0</c:formatCode>
                <c:ptCount val="15"/>
                <c:pt idx="0">
                  <c:v>1.4912000000000001</c:v>
                </c:pt>
                <c:pt idx="1">
                  <c:v>1.4611000000000001</c:v>
                </c:pt>
                <c:pt idx="2">
                  <c:v>1.4348000000000001</c:v>
                </c:pt>
                <c:pt idx="3">
                  <c:v>1.4358</c:v>
                </c:pt>
                <c:pt idx="4">
                  <c:v>1.3065</c:v>
                </c:pt>
                <c:pt idx="5">
                  <c:v>1.4930000000000001</c:v>
                </c:pt>
                <c:pt idx="6">
                  <c:v>1.4754</c:v>
                </c:pt>
                <c:pt idx="7">
                  <c:v>1.4867000000000001</c:v>
                </c:pt>
                <c:pt idx="8">
                  <c:v>1.5328000000000002</c:v>
                </c:pt>
                <c:pt idx="9">
                  <c:v>1.5229000000000001</c:v>
                </c:pt>
                <c:pt idx="10">
                  <c:v>1.4788000000000001</c:v>
                </c:pt>
                <c:pt idx="11">
                  <c:v>1.3513000000000002</c:v>
                </c:pt>
                <c:pt idx="12">
                  <c:v>1.5193000000000001</c:v>
                </c:pt>
                <c:pt idx="13">
                  <c:v>1.5001</c:v>
                </c:pt>
                <c:pt idx="14">
                  <c:v>1.1339000000000001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687-4979-B106-CDB83CEACCD6}"/>
            </c:ext>
          </c:extLst>
        </c:ser>
        <c:ser>
          <c:idx val="0"/>
          <c:order val="1"/>
          <c:tx>
            <c:strRef>
              <c:f>'Final figs tonnes per ha'!$H$18</c:f>
              <c:strCache>
                <c:ptCount val="1"/>
                <c:pt idx="0">
                  <c:v>Burkino Faso seed cotton</c:v>
                </c:pt>
              </c:strCache>
            </c:strRef>
          </c:tx>
          <c:spPr>
            <a:ln>
              <a:solidFill>
                <a:schemeClr val="accent5"/>
              </a:solidFill>
            </a:ln>
          </c:spPr>
          <c:marker>
            <c:symbol val="none"/>
          </c:marker>
          <c:xVal>
            <c:numRef>
              <c:f>'Final figs tonnes per ha'!$C$19:$C$33</c:f>
              <c:numCache>
                <c:formatCode>General</c:formatCode>
                <c:ptCount val="15"/>
                <c:pt idx="0">
                  <c:v>-7</c:v>
                </c:pt>
                <c:pt idx="1">
                  <c:v>-6</c:v>
                </c:pt>
                <c:pt idx="2">
                  <c:v>-5</c:v>
                </c:pt>
                <c:pt idx="3">
                  <c:v>-4</c:v>
                </c:pt>
                <c:pt idx="4">
                  <c:v>-3</c:v>
                </c:pt>
                <c:pt idx="5">
                  <c:v>-2</c:v>
                </c:pt>
                <c:pt idx="6">
                  <c:v>-1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  <c:pt idx="10">
                  <c:v>3</c:v>
                </c:pt>
                <c:pt idx="11">
                  <c:v>4</c:v>
                </c:pt>
                <c:pt idx="12">
                  <c:v>5</c:v>
                </c:pt>
                <c:pt idx="13">
                  <c:v>6</c:v>
                </c:pt>
                <c:pt idx="14">
                  <c:v>7</c:v>
                </c:pt>
              </c:numCache>
            </c:numRef>
          </c:xVal>
          <c:yVal>
            <c:numRef>
              <c:f>'Final figs tonnes per ha'!$H$19:$H$33</c:f>
              <c:numCache>
                <c:formatCode>0.0</c:formatCode>
                <c:ptCount val="15"/>
                <c:pt idx="0">
                  <c:v>1.0266999999999999</c:v>
                </c:pt>
                <c:pt idx="1">
                  <c:v>1.1463000000000001</c:v>
                </c:pt>
                <c:pt idx="2">
                  <c:v>1.3334000000000001</c:v>
                </c:pt>
                <c:pt idx="3">
                  <c:v>0.99690000000000001</c:v>
                </c:pt>
                <c:pt idx="4">
                  <c:v>1.3462000000000001</c:v>
                </c:pt>
                <c:pt idx="5">
                  <c:v>1.1910000000000001</c:v>
                </c:pt>
                <c:pt idx="6">
                  <c:v>1.1444000000000001</c:v>
                </c:pt>
                <c:pt idx="7">
                  <c:v>1.1163000000000001</c:v>
                </c:pt>
                <c:pt idx="8">
                  <c:v>1.1426000000000001</c:v>
                </c:pt>
                <c:pt idx="9">
                  <c:v>1.2173</c:v>
                </c:pt>
                <c:pt idx="10">
                  <c:v>1.3742000000000001</c:v>
                </c:pt>
                <c:pt idx="11">
                  <c:v>1.3784000000000001</c:v>
                </c:pt>
                <c:pt idx="12">
                  <c:v>1.1982000000000002</c:v>
                </c:pt>
                <c:pt idx="13">
                  <c:v>0.99930000000000008</c:v>
                </c:pt>
                <c:pt idx="14">
                  <c:v>1.0185999999999999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687-4979-B106-CDB83CEACCD6}"/>
            </c:ext>
          </c:extLst>
        </c:ser>
        <c:ser>
          <c:idx val="1"/>
          <c:order val="2"/>
          <c:tx>
            <c:strRef>
              <c:f>'Final figs tonnes per ha'!$I$18</c:f>
              <c:strCache>
                <c:ptCount val="1"/>
                <c:pt idx="0">
                  <c:v>Burkino Faso maize</c:v>
                </c:pt>
              </c:strCache>
            </c:strRef>
          </c:tx>
          <c:spPr>
            <a:ln>
              <a:solidFill>
                <a:schemeClr val="accent6"/>
              </a:solidFill>
            </a:ln>
          </c:spPr>
          <c:marker>
            <c:symbol val="none"/>
          </c:marker>
          <c:xVal>
            <c:numRef>
              <c:f>'Final figs tonnes per ha'!$C$19:$C$33</c:f>
              <c:numCache>
                <c:formatCode>General</c:formatCode>
                <c:ptCount val="15"/>
                <c:pt idx="0">
                  <c:v>-7</c:v>
                </c:pt>
                <c:pt idx="1">
                  <c:v>-6</c:v>
                </c:pt>
                <c:pt idx="2">
                  <c:v>-5</c:v>
                </c:pt>
                <c:pt idx="3">
                  <c:v>-4</c:v>
                </c:pt>
                <c:pt idx="4">
                  <c:v>-3</c:v>
                </c:pt>
                <c:pt idx="5">
                  <c:v>-2</c:v>
                </c:pt>
                <c:pt idx="6">
                  <c:v>-1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  <c:pt idx="10">
                  <c:v>3</c:v>
                </c:pt>
                <c:pt idx="11">
                  <c:v>4</c:v>
                </c:pt>
                <c:pt idx="12">
                  <c:v>5</c:v>
                </c:pt>
                <c:pt idx="13">
                  <c:v>6</c:v>
                </c:pt>
                <c:pt idx="14">
                  <c:v>7</c:v>
                </c:pt>
              </c:numCache>
            </c:numRef>
          </c:xVal>
          <c:yVal>
            <c:numRef>
              <c:f>'Final figs tonnes per ha'!$I$19:$I$33</c:f>
              <c:numCache>
                <c:formatCode>0.0</c:formatCode>
                <c:ptCount val="15"/>
                <c:pt idx="0">
                  <c:v>1.2666000000000002</c:v>
                </c:pt>
                <c:pt idx="1">
                  <c:v>1.8058000000000001</c:v>
                </c:pt>
                <c:pt idx="2">
                  <c:v>1.9444000000000001</c:v>
                </c:pt>
                <c:pt idx="3">
                  <c:v>1.1736</c:v>
                </c:pt>
                <c:pt idx="4">
                  <c:v>1.6662000000000001</c:v>
                </c:pt>
                <c:pt idx="5">
                  <c:v>1.5286000000000002</c:v>
                </c:pt>
                <c:pt idx="6">
                  <c:v>1.4342000000000001</c:v>
                </c:pt>
                <c:pt idx="7">
                  <c:v>1.5356000000000001</c:v>
                </c:pt>
                <c:pt idx="8">
                  <c:v>1.8386</c:v>
                </c:pt>
                <c:pt idx="9">
                  <c:v>1.7353000000000001</c:v>
                </c:pt>
                <c:pt idx="10">
                  <c:v>1.9109</c:v>
                </c:pt>
                <c:pt idx="11">
                  <c:v>1.792</c:v>
                </c:pt>
                <c:pt idx="12">
                  <c:v>1.7577</c:v>
                </c:pt>
                <c:pt idx="13">
                  <c:v>1.6034000000000002</c:v>
                </c:pt>
                <c:pt idx="14">
                  <c:v>1.6681000000000001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E687-4979-B106-CDB83CEACC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0477656"/>
        <c:axId val="640478312"/>
        <c:extLst/>
      </c:scatterChart>
      <c:valAx>
        <c:axId val="640477656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GB"/>
                  <a:t>Years before and after paraquat ban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640478312"/>
        <c:crosses val="autoZero"/>
        <c:crossBetween val="midCat"/>
        <c:majorUnit val="2"/>
      </c:valAx>
      <c:valAx>
        <c:axId val="640478312"/>
        <c:scaling>
          <c:orientation val="minMax"/>
          <c:max val="5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Yield (tons per ha)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640477656"/>
        <c:crossesAt val="-8"/>
        <c:crossBetween val="midCat"/>
      </c:valAx>
    </c:plotArea>
    <c:legend>
      <c:legendPos val="r"/>
      <c:layout>
        <c:manualLayout>
          <c:xMode val="edge"/>
          <c:yMode val="edge"/>
          <c:x val="0.76547350586343355"/>
          <c:y val="0.1590933661215933"/>
          <c:w val="0.19789265780537438"/>
          <c:h val="0.30910677223739413"/>
        </c:manualLayout>
      </c:layout>
      <c:overlay val="0"/>
      <c:spPr>
        <a:noFill/>
        <a:ln>
          <a:solidFill>
            <a:schemeClr val="tx1"/>
          </a:solidFill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0.42599</cdr:x>
      <cdr:y>0.03457</cdr:y>
    </cdr:from>
    <cdr:to>
      <cdr:x>0.42599</cdr:x>
      <cdr:y>0.82898</cdr:y>
    </cdr:to>
    <cdr:cxnSp macro="">
      <cdr:nvCxnSpPr>
        <cdr:cNvPr id="2" name="Straight Connector 1"/>
        <cdr:cNvCxnSpPr/>
      </cdr:nvCxnSpPr>
      <cdr:spPr>
        <a:xfrm xmlns:a="http://schemas.openxmlformats.org/drawingml/2006/main">
          <a:off x="2441575" y="104775"/>
          <a:ext cx="0" cy="2407740"/>
        </a:xfrm>
        <a:prstGeom xmlns:a="http://schemas.openxmlformats.org/drawingml/2006/main" prst="line">
          <a:avLst/>
        </a:prstGeom>
        <a:ln xmlns:a="http://schemas.openxmlformats.org/drawingml/2006/main" w="28575">
          <a:prstDash val="sysDot"/>
        </a:ln>
      </cdr:spPr>
      <cdr:style>
        <a:lnRef xmlns:a="http://schemas.openxmlformats.org/drawingml/2006/main" idx="3">
          <a:schemeClr val="accent3"/>
        </a:lnRef>
        <a:fillRef xmlns:a="http://schemas.openxmlformats.org/drawingml/2006/main" idx="0">
          <a:schemeClr val="accent3"/>
        </a:fillRef>
        <a:effectRef xmlns:a="http://schemas.openxmlformats.org/drawingml/2006/main" idx="2">
          <a:schemeClr val="accent3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DB3EC3D3FDB444B464C678753957FD" ma:contentTypeVersion="14" ma:contentTypeDescription="Create a new document." ma:contentTypeScope="" ma:versionID="83f76c25e1e78fb6f76216028616178c">
  <xsd:schema xmlns:xsd="http://www.w3.org/2001/XMLSchema" xmlns:xs="http://www.w3.org/2001/XMLSchema" xmlns:p="http://schemas.microsoft.com/office/2006/metadata/properties" xmlns:ns3="113bc7ec-d890-4d8a-93e4-d46d09954e2b" xmlns:ns4="4582ff80-4c10-4c10-a410-7c24f6839fea" targetNamespace="http://schemas.microsoft.com/office/2006/metadata/properties" ma:root="true" ma:fieldsID="c1e76fd600cab12fe9fe7d102d3ee02b" ns3:_="" ns4:_="">
    <xsd:import namespace="113bc7ec-d890-4d8a-93e4-d46d09954e2b"/>
    <xsd:import namespace="4582ff80-4c10-4c10-a410-7c24f6839f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bc7ec-d890-4d8a-93e4-d46d09954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2ff80-4c10-4c10-a410-7c24f6839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5F120C-AE04-43FA-83CF-C43DDD20BE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3bc7ec-d890-4d8a-93e4-d46d09954e2b"/>
    <ds:schemaRef ds:uri="4582ff80-4c10-4c10-a410-7c24f6839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F961FB-408F-419E-87E5-77EB23E13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614F7-0028-48CC-AA4B-01B41E807C13}">
  <ds:schemaRefs>
    <ds:schemaRef ds:uri="http://purl.org/dc/elements/1.1/"/>
    <ds:schemaRef ds:uri="http://www.w3.org/XML/1998/namespace"/>
    <ds:schemaRef ds:uri="http://schemas.microsoft.com/office/infopath/2007/PartnerControls"/>
    <ds:schemaRef ds:uri="113bc7ec-d890-4d8a-93e4-d46d09954e2b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4582ff80-4c10-4c10-a410-7c24f6839fea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2711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Stuart</dc:creator>
  <cp:keywords/>
  <dc:description/>
  <cp:lastModifiedBy>Alex Stuart</cp:lastModifiedBy>
  <cp:revision>10</cp:revision>
  <dcterms:created xsi:type="dcterms:W3CDTF">2022-08-10T15:41:00Z</dcterms:created>
  <dcterms:modified xsi:type="dcterms:W3CDTF">2022-08-11T16:04:00Z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0x010100C4DB3EC3D3FDB444B464C678753957FD</vt:lpwstr>
  </property>
</Properties>
</file>