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E2E41" w14:textId="77777777" w:rsidR="00DD3A88" w:rsidRDefault="00DD3A88" w:rsidP="00DD3A88">
      <w:pPr>
        <w:spacing w:before="240" w:after="24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MATERIAL </w:t>
      </w:r>
      <w:r>
        <w:br/>
      </w:r>
    </w:p>
    <w:p w14:paraId="053130C2" w14:textId="77777777" w:rsidR="00DD3A88" w:rsidRDefault="00DD3A88" w:rsidP="00DD3A88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Assessment of recovery of the concentration methods </w:t>
      </w:r>
    </w:p>
    <w:tbl>
      <w:tblPr>
        <w:tblStyle w:val="Tabellasemplice-2"/>
        <w:tblW w:w="9120" w:type="dxa"/>
        <w:tblLayout w:type="fixed"/>
        <w:tblLook w:val="0620" w:firstRow="1" w:lastRow="0" w:firstColumn="0" w:lastColumn="0" w:noHBand="1" w:noVBand="1"/>
      </w:tblPr>
      <w:tblGrid>
        <w:gridCol w:w="1800"/>
        <w:gridCol w:w="5280"/>
        <w:gridCol w:w="2040"/>
      </w:tblGrid>
      <w:tr w:rsidR="00DD3A88" w14:paraId="119C0014" w14:textId="77777777" w:rsidTr="00AC20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1800" w:type="dxa"/>
          </w:tcPr>
          <w:p w14:paraId="4B283E58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Primer name</w:t>
            </w:r>
          </w:p>
        </w:tc>
        <w:tc>
          <w:tcPr>
            <w:tcW w:w="5280" w:type="dxa"/>
          </w:tcPr>
          <w:p w14:paraId="61EC94D4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Nucleotide sequence (5’-3’)</w:t>
            </w:r>
          </w:p>
        </w:tc>
        <w:tc>
          <w:tcPr>
            <w:tcW w:w="2040" w:type="dxa"/>
          </w:tcPr>
          <w:p w14:paraId="4C166135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References</w:t>
            </w:r>
          </w:p>
        </w:tc>
      </w:tr>
      <w:tr w:rsidR="00DD3A88" w14:paraId="51BE8DCF" w14:textId="77777777" w:rsidTr="00AC20AE">
        <w:trPr>
          <w:trHeight w:val="300"/>
        </w:trPr>
        <w:tc>
          <w:tcPr>
            <w:tcW w:w="1800" w:type="dxa"/>
          </w:tcPr>
          <w:p w14:paraId="28BBC03B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Mengo 110 (FW)</w:t>
            </w:r>
          </w:p>
        </w:tc>
        <w:tc>
          <w:tcPr>
            <w:tcW w:w="5280" w:type="dxa"/>
          </w:tcPr>
          <w:p w14:paraId="45CA5D6B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GCG GGT CCT GCC GAA AGT</w:t>
            </w:r>
          </w:p>
        </w:tc>
        <w:tc>
          <w:tcPr>
            <w:tcW w:w="2040" w:type="dxa"/>
          </w:tcPr>
          <w:p w14:paraId="7F6E9E5F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3A88" w14:paraId="31840F27" w14:textId="77777777" w:rsidTr="00AC20AE">
        <w:trPr>
          <w:trHeight w:val="300"/>
        </w:trPr>
        <w:tc>
          <w:tcPr>
            <w:tcW w:w="1800" w:type="dxa"/>
          </w:tcPr>
          <w:p w14:paraId="16531C3D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Mengo 209 (REV)</w:t>
            </w:r>
          </w:p>
        </w:tc>
        <w:tc>
          <w:tcPr>
            <w:tcW w:w="5280" w:type="dxa"/>
          </w:tcPr>
          <w:p w14:paraId="0D6F0211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GAA GTA ACA TAT AGA CAG ACG CAC AC</w:t>
            </w:r>
          </w:p>
        </w:tc>
        <w:tc>
          <w:tcPr>
            <w:tcW w:w="2040" w:type="dxa"/>
          </w:tcPr>
          <w:p w14:paraId="76AEF899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Pintò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2009</w:t>
            </w:r>
          </w:p>
        </w:tc>
      </w:tr>
      <w:tr w:rsidR="00DD3A88" w14:paraId="5D9A0FEB" w14:textId="77777777" w:rsidTr="00AC20AE">
        <w:trPr>
          <w:trHeight w:val="300"/>
        </w:trPr>
        <w:tc>
          <w:tcPr>
            <w:tcW w:w="1800" w:type="dxa"/>
          </w:tcPr>
          <w:p w14:paraId="32461187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Mengo 147 (PROBE)</w:t>
            </w:r>
          </w:p>
        </w:tc>
        <w:tc>
          <w:tcPr>
            <w:tcW w:w="5280" w:type="dxa"/>
          </w:tcPr>
          <w:p w14:paraId="451B3106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FAM-ATC ACA TTA CTG GCC GAA GC-MGBNFQ</w:t>
            </w:r>
          </w:p>
        </w:tc>
        <w:tc>
          <w:tcPr>
            <w:tcW w:w="2040" w:type="dxa"/>
          </w:tcPr>
          <w:p w14:paraId="3F3489DF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A619763" w14:textId="77777777" w:rsidR="00DD3A88" w:rsidRDefault="00DD3A88" w:rsidP="00DD3A88">
      <w:pPr>
        <w:spacing w:before="240" w:after="24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Table 2. Primers and probe for the determination of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Mengovirus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MgV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 process control virus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CF9BC2F" w14:textId="77777777" w:rsidR="00DD3A88" w:rsidRDefault="00DD3A88" w:rsidP="00DD3A88">
      <w:pPr>
        <w:spacing w:before="240" w:after="24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3B51D6E" w14:textId="77777777" w:rsidR="00DD3A88" w:rsidRDefault="00DD3A88" w:rsidP="00DD3A88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Additional testing performed by the Region Liguria using the N1 as a target gene</w:t>
      </w:r>
    </w:p>
    <w:p w14:paraId="3636F44E" w14:textId="77777777" w:rsidR="00DD3A88" w:rsidRDefault="00DD3A88" w:rsidP="00DD3A88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Additional comparative testing of the two concentration methods (biphasic separation system and PEG/NaCl precipitation protocol) was performed on 24 samples using, as detection method a real-time RT-qPCR targeting the N1 gene (Lu et al., 2020). Primers are shown in Table 3. </w:t>
      </w:r>
    </w:p>
    <w:tbl>
      <w:tblPr>
        <w:tblStyle w:val="Tabellasemplice-2"/>
        <w:tblW w:w="8730" w:type="dxa"/>
        <w:tblLayout w:type="fixed"/>
        <w:tblLook w:val="0620" w:firstRow="1" w:lastRow="0" w:firstColumn="0" w:lastColumn="0" w:noHBand="1" w:noVBand="1"/>
      </w:tblPr>
      <w:tblGrid>
        <w:gridCol w:w="1665"/>
        <w:gridCol w:w="4500"/>
        <w:gridCol w:w="1206"/>
        <w:gridCol w:w="1359"/>
      </w:tblGrid>
      <w:tr w:rsidR="00DD3A88" w14:paraId="00C1C6F1" w14:textId="77777777" w:rsidTr="00AC20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tcW w:w="1665" w:type="dxa"/>
          </w:tcPr>
          <w:p w14:paraId="75472B06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Primer name</w:t>
            </w:r>
          </w:p>
        </w:tc>
        <w:tc>
          <w:tcPr>
            <w:tcW w:w="4500" w:type="dxa"/>
          </w:tcPr>
          <w:p w14:paraId="464A8B73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Nucleotide sequence (5’-3’)</w:t>
            </w:r>
          </w:p>
        </w:tc>
        <w:tc>
          <w:tcPr>
            <w:tcW w:w="1206" w:type="dxa"/>
          </w:tcPr>
          <w:p w14:paraId="34D4A7CD" w14:textId="77777777" w:rsidR="00DD3A88" w:rsidRDefault="00DD3A88" w:rsidP="00AC20AE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Genome Location</w:t>
            </w:r>
          </w:p>
        </w:tc>
        <w:tc>
          <w:tcPr>
            <w:tcW w:w="1359" w:type="dxa"/>
          </w:tcPr>
          <w:p w14:paraId="5D3621F6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>Reference</w:t>
            </w:r>
          </w:p>
        </w:tc>
      </w:tr>
      <w:tr w:rsidR="00DD3A88" w14:paraId="15228B03" w14:textId="77777777" w:rsidTr="00AC20AE">
        <w:trPr>
          <w:trHeight w:val="20"/>
        </w:trPr>
        <w:tc>
          <w:tcPr>
            <w:tcW w:w="1665" w:type="dxa"/>
          </w:tcPr>
          <w:p w14:paraId="24F9C699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2019-nCoV_N1-F</w:t>
            </w:r>
          </w:p>
        </w:tc>
        <w:tc>
          <w:tcPr>
            <w:tcW w:w="4500" w:type="dxa"/>
          </w:tcPr>
          <w:p w14:paraId="1D449428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GACCCCAAAATCAGCGAAAT</w:t>
            </w:r>
          </w:p>
        </w:tc>
        <w:tc>
          <w:tcPr>
            <w:tcW w:w="1206" w:type="dxa"/>
          </w:tcPr>
          <w:p w14:paraId="6AF486D3" w14:textId="77777777" w:rsidR="00DD3A88" w:rsidRDefault="00DD3A88" w:rsidP="00AC20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28287 - 28306</w:t>
            </w:r>
          </w:p>
        </w:tc>
        <w:tc>
          <w:tcPr>
            <w:tcW w:w="1359" w:type="dxa"/>
            <w:vMerge w:val="restart"/>
          </w:tcPr>
          <w:p w14:paraId="41E54F5D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Lu et al. 2020</w:t>
              </w:r>
            </w:hyperlink>
          </w:p>
        </w:tc>
      </w:tr>
      <w:tr w:rsidR="00DD3A88" w14:paraId="6341032A" w14:textId="77777777" w:rsidTr="00AC20AE">
        <w:trPr>
          <w:trHeight w:val="20"/>
        </w:trPr>
        <w:tc>
          <w:tcPr>
            <w:tcW w:w="1665" w:type="dxa"/>
          </w:tcPr>
          <w:p w14:paraId="693BBEF7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2019-nCoV_N1-R</w:t>
            </w:r>
          </w:p>
        </w:tc>
        <w:tc>
          <w:tcPr>
            <w:tcW w:w="4500" w:type="dxa"/>
          </w:tcPr>
          <w:p w14:paraId="3419F182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TCTGGTTACTGCCAGTTGAATCTG</w:t>
            </w:r>
          </w:p>
        </w:tc>
        <w:tc>
          <w:tcPr>
            <w:tcW w:w="1206" w:type="dxa"/>
          </w:tcPr>
          <w:p w14:paraId="6252D1A8" w14:textId="77777777" w:rsidR="00DD3A88" w:rsidRDefault="00DD3A88" w:rsidP="00AC20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28335 - 28358</w:t>
            </w:r>
          </w:p>
        </w:tc>
        <w:tc>
          <w:tcPr>
            <w:tcW w:w="1359" w:type="dxa"/>
            <w:vMerge/>
          </w:tcPr>
          <w:p w14:paraId="1E41F42C" w14:textId="77777777" w:rsidR="00DD3A88" w:rsidRDefault="00DD3A88" w:rsidP="00AC20A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3A88" w14:paraId="0999E984" w14:textId="77777777" w:rsidTr="00AC20AE">
        <w:trPr>
          <w:trHeight w:val="20"/>
        </w:trPr>
        <w:tc>
          <w:tcPr>
            <w:tcW w:w="1665" w:type="dxa"/>
          </w:tcPr>
          <w:p w14:paraId="50235187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2019-nCoV_N1-P</w:t>
            </w:r>
          </w:p>
        </w:tc>
        <w:tc>
          <w:tcPr>
            <w:tcW w:w="4500" w:type="dxa"/>
          </w:tcPr>
          <w:p w14:paraId="75FB77C4" w14:textId="77777777" w:rsidR="00DD3A88" w:rsidRDefault="00DD3A88" w:rsidP="00AC20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FAM-ACCCCGCATTACGTTTGGTGGACC-BHQ1 </w:t>
            </w:r>
          </w:p>
        </w:tc>
        <w:tc>
          <w:tcPr>
            <w:tcW w:w="1206" w:type="dxa"/>
          </w:tcPr>
          <w:p w14:paraId="4B2E7E3B" w14:textId="77777777" w:rsidR="00DD3A88" w:rsidRDefault="00DD3A88" w:rsidP="00AC20AE">
            <w:pPr>
              <w:jc w:val="center"/>
              <w:rPr>
                <w:rFonts w:ascii="Courier" w:eastAsia="Courier" w:hAnsi="Courier" w:cs="Courier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28309 - 28332</w:t>
            </w:r>
          </w:p>
        </w:tc>
        <w:tc>
          <w:tcPr>
            <w:tcW w:w="1359" w:type="dxa"/>
            <w:vMerge/>
          </w:tcPr>
          <w:p w14:paraId="51AD8A27" w14:textId="77777777" w:rsidR="00DD3A88" w:rsidRDefault="00DD3A88" w:rsidP="00AC20AE">
            <w:pPr>
              <w:widowControl w:val="0"/>
              <w:rPr>
                <w:rFonts w:ascii="Courier" w:eastAsia="Courier" w:hAnsi="Courier" w:cs="Courier"/>
                <w:sz w:val="20"/>
                <w:szCs w:val="20"/>
              </w:rPr>
            </w:pPr>
          </w:p>
        </w:tc>
      </w:tr>
    </w:tbl>
    <w:p w14:paraId="70A01D47" w14:textId="77777777" w:rsidR="00DD3A88" w:rsidRDefault="00DD3A88" w:rsidP="00DD3A88">
      <w:pPr>
        <w:spacing w:line="257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903310" w14:textId="77777777" w:rsidR="00DD3A88" w:rsidRDefault="00DD3A88" w:rsidP="00DD3A88">
      <w:pPr>
        <w:spacing w:line="257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Table 3. Primers and probes used in the study; Nucleotide numbering based on SARS-CoV-2 (accession no. NC_045512).</w:t>
      </w:r>
    </w:p>
    <w:p w14:paraId="3C03D9D5" w14:textId="77777777" w:rsidR="00DD3A88" w:rsidRDefault="00DD3A88" w:rsidP="00DD3A88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8A53B" w14:textId="77777777" w:rsidR="00DD3A88" w:rsidRDefault="00DD3A88" w:rsidP="00DD3A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N1 RT-qPCR assays were performed using the AgPath-ID™ (Applied Biosystem-ThermoFisher) one-step RT-PCR reagent kit. Each 20 μL reaction contained 125 nM of 2019-nCoV_N1-P, 500 nM of both 2019-nCoV_N1-F and 2019-nCoV_N1-R primers, 8.5 μL of nuclease-free water and 5 μl of nucleic acid extract. The thermocycling conditions consisted of 15 min at 50°C for reverse transcription, 2 min at 95°C for the activation of the Taq enzyme, and 45 cycles of 3 s at 95°C and 30 s at 55°C. The dsDNA N1 standard was provided by the TIB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Molbiol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(Genova, Italy). </w:t>
      </w:r>
    </w:p>
    <w:p w14:paraId="7E77B500" w14:textId="77777777" w:rsidR="00DD3A88" w:rsidRDefault="00DD3A88" w:rsidP="00DD3A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67C8D8" w14:textId="77777777" w:rsidR="00DD3A88" w:rsidRDefault="00DD3A88" w:rsidP="00DD3A88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68AF0030" wp14:editId="1CA71612">
            <wp:extent cx="5731200" cy="3543300"/>
            <wp:effectExtent l="12700" t="12700" r="12700" b="12700"/>
            <wp:docPr id="2" name="image2.png" descr="Immagine che contiene diagramm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Immagine che contiene diagramma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433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590EC73" w14:textId="77777777" w:rsidR="00DD3A88" w:rsidRDefault="00DD3A88" w:rsidP="00DD3A88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Supplementary Fig.7. Comparison of SARS-CoV-2 concentration measured for each method (biphasic separation system and PEG/NaCl precipitation protocol)of  Liguria samples for molecular target N1</w:t>
      </w:r>
      <w:r>
        <w:rPr>
          <w:i/>
          <w:sz w:val="16"/>
          <w:szCs w:val="16"/>
        </w:rPr>
        <w:t xml:space="preserve"> </w:t>
      </w:r>
    </w:p>
    <w:p w14:paraId="73CBB36B" w14:textId="77777777" w:rsidR="00DD3A88" w:rsidRDefault="00DD3A88" w:rsidP="00DD3A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Only one sample tested positive for SARS-CoV-2 using the biphasic method, while 5 samples tested positive with the PEG/NaCl method. In this case, the Wilcoxon paired test did not show a significant difference between the two methods; however, the higher number of positive results obtained with the PEG/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searching for the ORF-1b target, confirmed the reliability of this concentration approach.</w:t>
      </w:r>
    </w:p>
    <w:p w14:paraId="47A925A8" w14:textId="77777777" w:rsidR="00420572" w:rsidRDefault="00420572"/>
    <w:sectPr w:rsidR="00420572" w:rsidSect="00DD3A88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9166637"/>
      <w:docPartObj>
        <w:docPartGallery w:val="Page Numbers (Bottom of Page)"/>
        <w:docPartUnique/>
      </w:docPartObj>
    </w:sdtPr>
    <w:sdtContent>
      <w:p w14:paraId="34976CB2" w14:textId="77777777" w:rsidR="009C7F9A" w:rsidRDefault="0000000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3031B10C" w14:textId="77777777" w:rsidR="001C036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61D7" w14:textId="77777777" w:rsidR="001C0364" w:rsidRDefault="00000000">
    <w:pPr>
      <w:widowControl w:val="0"/>
      <w:pBdr>
        <w:top w:val="nil"/>
        <w:left w:val="nil"/>
        <w:bottom w:val="nil"/>
        <w:right w:val="nil"/>
        <w:between w:val="nil"/>
      </w:pBdr>
    </w:pPr>
  </w:p>
  <w:tbl>
    <w:tblPr>
      <w:tblW w:w="9025" w:type="dxa"/>
      <w:tblLayout w:type="fixed"/>
      <w:tblLook w:val="0600" w:firstRow="0" w:lastRow="0" w:firstColumn="0" w:lastColumn="0" w:noHBand="1" w:noVBand="1"/>
    </w:tblPr>
    <w:tblGrid>
      <w:gridCol w:w="2257"/>
      <w:gridCol w:w="2256"/>
      <w:gridCol w:w="2256"/>
      <w:gridCol w:w="2256"/>
    </w:tblGrid>
    <w:tr w:rsidR="001C0364" w14:paraId="5CDBE86B" w14:textId="77777777">
      <w:trPr>
        <w:trHeight w:val="274"/>
      </w:trPr>
      <w:tc>
        <w:tcPr>
          <w:tcW w:w="2256" w:type="dxa"/>
        </w:tcPr>
        <w:p w14:paraId="7CE462DF" w14:textId="77777777" w:rsidR="001C036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2256" w:type="dxa"/>
        </w:tcPr>
        <w:p w14:paraId="60B2092F" w14:textId="77777777" w:rsidR="001C036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2256" w:type="dxa"/>
        </w:tcPr>
        <w:p w14:paraId="291739CD" w14:textId="77777777" w:rsidR="001C036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2256" w:type="dxa"/>
        </w:tcPr>
        <w:p w14:paraId="7B112C42" w14:textId="77777777" w:rsidR="001C0364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14:paraId="7B70483B" w14:textId="77777777" w:rsidR="001C036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00"/>
    <w:rsid w:val="00155B00"/>
    <w:rsid w:val="00420572"/>
    <w:rsid w:val="004A0D2C"/>
    <w:rsid w:val="00DD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BF373-ADDB-4B86-B5FD-F6FAAA2D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3A88"/>
    <w:pPr>
      <w:spacing w:after="0" w:line="276" w:lineRule="auto"/>
    </w:pPr>
    <w:rPr>
      <w:rFonts w:ascii="Arial" w:eastAsia="Arial" w:hAnsi="Arial" w:cs="Arial"/>
      <w:kern w:val="0"/>
      <w:lang w:val="en-GB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D3A8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3A88"/>
    <w:rPr>
      <w:rFonts w:ascii="Arial" w:eastAsia="Arial" w:hAnsi="Arial" w:cs="Arial"/>
      <w:kern w:val="0"/>
      <w:lang w:val="en-GB" w:eastAsia="it-IT"/>
      <w14:ligatures w14:val="none"/>
    </w:rPr>
  </w:style>
  <w:style w:type="table" w:styleId="Tabellasemplice-2">
    <w:name w:val="Plain Table 2"/>
    <w:basedOn w:val="Tabellanormale"/>
    <w:uiPriority w:val="42"/>
    <w:rsid w:val="00DD3A88"/>
    <w:pPr>
      <w:spacing w:after="0" w:line="240" w:lineRule="auto"/>
    </w:pPr>
    <w:rPr>
      <w:rFonts w:ascii="Arial" w:eastAsia="Arial" w:hAnsi="Arial" w:cs="Arial"/>
      <w:kern w:val="0"/>
      <w:lang w:val="en-GB" w:eastAsia="it-IT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DD3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hyperlink" Target="https://paperpile.com/c/e3AZEZ/TIb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Cutrupi, Francesca</dc:creator>
  <cp:keywords/>
  <dc:description/>
  <cp:lastModifiedBy>Cutrupi, Francesca</cp:lastModifiedBy>
  <cp:revision>2</cp:revision>
  <dcterms:created xsi:type="dcterms:W3CDTF">2023-04-14T13:35:00Z</dcterms:created>
  <dcterms:modified xsi:type="dcterms:W3CDTF">2023-04-14T13:36:00Z</dcterms:modified>
</cp:coreProperties>
</file>