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AFDC9" w14:textId="59BA4232" w:rsidR="00F20F63" w:rsidRPr="00016674" w:rsidRDefault="00F20F63" w:rsidP="00547BD5">
      <w:pPr>
        <w:widowControl w:val="0"/>
        <w:tabs>
          <w:tab w:val="left" w:pos="450"/>
        </w:tabs>
        <w:autoSpaceDE w:val="0"/>
        <w:autoSpaceDN w:val="0"/>
        <w:adjustRightInd w:val="0"/>
        <w:spacing w:after="0" w:line="480" w:lineRule="auto"/>
        <w:rPr>
          <w:rFonts w:ascii="Times New Roman" w:hAnsi="Times New Roman" w:cs="Times New Roman"/>
          <w:b/>
          <w:bCs/>
          <w:color w:val="000000" w:themeColor="text1"/>
          <w:sz w:val="28"/>
          <w:szCs w:val="28"/>
        </w:rPr>
      </w:pPr>
      <w:r w:rsidRPr="00016674">
        <w:rPr>
          <w:rFonts w:ascii="Times New Roman" w:hAnsi="Times New Roman" w:cs="Times New Roman"/>
          <w:b/>
          <w:bCs/>
          <w:color w:val="000000" w:themeColor="text1"/>
          <w:sz w:val="28"/>
          <w:szCs w:val="28"/>
        </w:rPr>
        <w:t xml:space="preserve">Supplementary </w:t>
      </w:r>
      <w:r w:rsidR="00547BD5" w:rsidRPr="00016674">
        <w:rPr>
          <w:rFonts w:ascii="Times New Roman" w:hAnsi="Times New Roman" w:cs="Times New Roman"/>
          <w:b/>
          <w:bCs/>
          <w:color w:val="000000" w:themeColor="text1"/>
          <w:sz w:val="28"/>
          <w:szCs w:val="28"/>
        </w:rPr>
        <w:t>information</w:t>
      </w:r>
    </w:p>
    <w:p w14:paraId="2C7E2AC2" w14:textId="77777777" w:rsidR="00547BD5" w:rsidRPr="00547BD5" w:rsidRDefault="00547BD5" w:rsidP="00547BD5">
      <w:pPr>
        <w:pStyle w:val="Cm"/>
        <w:spacing w:line="480" w:lineRule="auto"/>
        <w:jc w:val="both"/>
        <w:rPr>
          <w:rFonts w:ascii="Times New Roman" w:hAnsi="Times New Roman" w:cs="Times New Roman"/>
          <w:b/>
          <w:bCs/>
          <w:color w:val="000000" w:themeColor="text1"/>
          <w:sz w:val="24"/>
          <w:szCs w:val="24"/>
        </w:rPr>
      </w:pPr>
      <w:r w:rsidRPr="00547BD5">
        <w:rPr>
          <w:rFonts w:ascii="Times New Roman" w:hAnsi="Times New Roman" w:cs="Times New Roman"/>
          <w:b/>
          <w:bCs/>
          <w:color w:val="000000" w:themeColor="text1"/>
          <w:sz w:val="24"/>
          <w:szCs w:val="24"/>
        </w:rPr>
        <w:t xml:space="preserve">Arsenic uptake and accumulation in bean and lettuce plants at different developmental stages </w:t>
      </w:r>
    </w:p>
    <w:p w14:paraId="7F3B20FA" w14:textId="77777777" w:rsidR="00547BD5" w:rsidRPr="00547BD5" w:rsidRDefault="00547BD5" w:rsidP="00547BD5">
      <w:pPr>
        <w:spacing w:after="0" w:line="480" w:lineRule="auto"/>
        <w:jc w:val="both"/>
        <w:rPr>
          <w:rFonts w:ascii="Times New Roman" w:hAnsi="Times New Roman" w:cs="Times New Roman"/>
          <w:color w:val="000000" w:themeColor="text1"/>
          <w:sz w:val="24"/>
          <w:szCs w:val="24"/>
        </w:rPr>
      </w:pPr>
    </w:p>
    <w:p w14:paraId="1A6D021F" w14:textId="78C3C8D9" w:rsidR="00547BD5" w:rsidRPr="00196D63" w:rsidRDefault="00547BD5" w:rsidP="00547BD5">
      <w:pPr>
        <w:spacing w:after="0" w:line="480" w:lineRule="auto"/>
        <w:jc w:val="both"/>
        <w:rPr>
          <w:rFonts w:ascii="Times New Roman" w:hAnsi="Times New Roman" w:cs="Times New Roman"/>
          <w:b/>
          <w:color w:val="000000" w:themeColor="text1"/>
          <w:sz w:val="20"/>
          <w:szCs w:val="20"/>
          <w:lang w:bidi="as-IN"/>
        </w:rPr>
      </w:pPr>
      <w:r w:rsidRPr="00196D63">
        <w:rPr>
          <w:rFonts w:ascii="Times New Roman" w:hAnsi="Times New Roman" w:cs="Times New Roman"/>
          <w:color w:val="000000" w:themeColor="text1"/>
          <w:sz w:val="20"/>
          <w:szCs w:val="20"/>
        </w:rPr>
        <w:t>Sirat Sandil</w:t>
      </w:r>
      <w:r w:rsidRPr="00196D63">
        <w:rPr>
          <w:rFonts w:ascii="Times New Roman" w:hAnsi="Times New Roman" w:cs="Times New Roman"/>
          <w:color w:val="000000" w:themeColor="text1"/>
          <w:sz w:val="20"/>
          <w:szCs w:val="20"/>
          <w:vertAlign w:val="superscript"/>
        </w:rPr>
        <w:t>1,2</w:t>
      </w:r>
      <w:r w:rsidRPr="00196D63">
        <w:rPr>
          <w:rFonts w:ascii="Times New Roman" w:hAnsi="Times New Roman" w:cs="Times New Roman"/>
          <w:color w:val="000000" w:themeColor="text1"/>
          <w:sz w:val="20"/>
          <w:szCs w:val="20"/>
        </w:rPr>
        <w:t xml:space="preserve">, </w:t>
      </w:r>
      <w:bookmarkStart w:id="0" w:name="_Hlk128533786"/>
      <w:r w:rsidRPr="00196D63">
        <w:rPr>
          <w:rFonts w:ascii="Times New Roman" w:hAnsi="Times New Roman" w:cs="Times New Roman"/>
          <w:color w:val="000000" w:themeColor="text1"/>
          <w:sz w:val="20"/>
          <w:szCs w:val="20"/>
        </w:rPr>
        <w:t>Anett Endrédi</w:t>
      </w:r>
      <w:r w:rsidRPr="00196D63">
        <w:rPr>
          <w:rFonts w:ascii="Times New Roman" w:hAnsi="Times New Roman" w:cs="Times New Roman"/>
          <w:color w:val="000000" w:themeColor="text1"/>
          <w:sz w:val="20"/>
          <w:szCs w:val="20"/>
          <w:vertAlign w:val="superscript"/>
        </w:rPr>
        <w:t>2</w:t>
      </w:r>
      <w:r w:rsidRPr="00196D63">
        <w:rPr>
          <w:rFonts w:ascii="Times New Roman" w:hAnsi="Times New Roman" w:cs="Times New Roman"/>
          <w:color w:val="000000" w:themeColor="text1"/>
          <w:sz w:val="20"/>
          <w:szCs w:val="20"/>
        </w:rPr>
        <w:t>,</w:t>
      </w:r>
      <w:r w:rsidRPr="00196D63">
        <w:rPr>
          <w:rFonts w:ascii="Times New Roman" w:eastAsiaTheme="minorEastAsia" w:hAnsi="Times New Roman" w:cs="Times New Roman"/>
          <w:color w:val="000000" w:themeColor="text1"/>
          <w:sz w:val="20"/>
          <w:szCs w:val="20"/>
        </w:rPr>
        <w:t xml:space="preserve"> </w:t>
      </w:r>
      <w:r w:rsidRPr="00196D63">
        <w:rPr>
          <w:rFonts w:ascii="Times New Roman" w:hAnsi="Times New Roman" w:cs="Times New Roman"/>
          <w:color w:val="000000" w:themeColor="text1"/>
          <w:sz w:val="20"/>
          <w:szCs w:val="20"/>
        </w:rPr>
        <w:t>Anna Füzy</w:t>
      </w:r>
      <w:r w:rsidRPr="00196D63">
        <w:rPr>
          <w:rFonts w:ascii="Times New Roman" w:hAnsi="Times New Roman" w:cs="Times New Roman"/>
          <w:color w:val="000000" w:themeColor="text1"/>
          <w:sz w:val="20"/>
          <w:szCs w:val="20"/>
          <w:vertAlign w:val="superscript"/>
        </w:rPr>
        <w:t>3</w:t>
      </w:r>
      <w:r w:rsidRPr="00196D63">
        <w:rPr>
          <w:rFonts w:ascii="Times New Roman" w:hAnsi="Times New Roman" w:cs="Times New Roman"/>
          <w:color w:val="000000" w:themeColor="text1"/>
          <w:sz w:val="20"/>
          <w:szCs w:val="20"/>
        </w:rPr>
        <w:t>, Tünde Takács</w:t>
      </w:r>
      <w:r w:rsidRPr="00196D63">
        <w:rPr>
          <w:rFonts w:ascii="Times New Roman" w:hAnsi="Times New Roman" w:cs="Times New Roman"/>
          <w:color w:val="000000" w:themeColor="text1"/>
          <w:sz w:val="20"/>
          <w:szCs w:val="20"/>
          <w:vertAlign w:val="superscript"/>
        </w:rPr>
        <w:t>3</w:t>
      </w:r>
      <w:r w:rsidRPr="00196D63">
        <w:rPr>
          <w:rFonts w:ascii="Times New Roman" w:hAnsi="Times New Roman" w:cs="Times New Roman"/>
          <w:color w:val="000000" w:themeColor="text1"/>
          <w:sz w:val="20"/>
          <w:szCs w:val="20"/>
        </w:rPr>
        <w:t>, Mihály Óvári</w:t>
      </w:r>
      <w:r w:rsidR="000A5CA8">
        <w:rPr>
          <w:rFonts w:ascii="Times New Roman" w:hAnsi="Times New Roman" w:cs="Times New Roman"/>
          <w:color w:val="000000" w:themeColor="text1"/>
          <w:sz w:val="20"/>
          <w:szCs w:val="20"/>
          <w:vertAlign w:val="superscript"/>
        </w:rPr>
        <w:t>4</w:t>
      </w:r>
      <w:r w:rsidRPr="00196D63">
        <w:rPr>
          <w:rFonts w:ascii="Times New Roman" w:hAnsi="Times New Roman" w:cs="Times New Roman"/>
          <w:color w:val="000000" w:themeColor="text1"/>
          <w:sz w:val="20"/>
          <w:szCs w:val="20"/>
        </w:rPr>
        <w:t>, Gyula Záray</w:t>
      </w:r>
      <w:r w:rsidRPr="00196D63">
        <w:rPr>
          <w:rFonts w:ascii="Times New Roman" w:hAnsi="Times New Roman" w:cs="Times New Roman"/>
          <w:color w:val="000000" w:themeColor="text1"/>
          <w:sz w:val="20"/>
          <w:szCs w:val="20"/>
          <w:vertAlign w:val="superscript"/>
        </w:rPr>
        <w:t>1,2</w:t>
      </w:r>
      <w:r w:rsidRPr="00196D63">
        <w:rPr>
          <w:rFonts w:ascii="Times New Roman" w:hAnsi="Times New Roman" w:cs="Times New Roman"/>
          <w:color w:val="000000" w:themeColor="text1"/>
          <w:sz w:val="20"/>
          <w:szCs w:val="20"/>
        </w:rPr>
        <w:t>, Péter Dobosy</w:t>
      </w:r>
      <w:r w:rsidRPr="00196D63">
        <w:rPr>
          <w:rFonts w:ascii="Times New Roman" w:hAnsi="Times New Roman" w:cs="Times New Roman"/>
          <w:color w:val="000000" w:themeColor="text1"/>
          <w:sz w:val="20"/>
          <w:szCs w:val="20"/>
          <w:vertAlign w:val="superscript"/>
        </w:rPr>
        <w:t>2</w:t>
      </w:r>
      <w:bookmarkEnd w:id="0"/>
      <w:r w:rsidRPr="00196D63">
        <w:rPr>
          <w:rFonts w:ascii="Times New Roman" w:hAnsi="Times New Roman" w:cs="Times New Roman"/>
          <w:b/>
          <w:color w:val="000000" w:themeColor="text1"/>
          <w:sz w:val="20"/>
          <w:szCs w:val="20"/>
          <w:lang w:bidi="as-IN"/>
        </w:rPr>
        <w:t>*</w:t>
      </w:r>
    </w:p>
    <w:p w14:paraId="62F716EE" w14:textId="77777777" w:rsidR="00547BD5" w:rsidRPr="00196D63" w:rsidRDefault="00547BD5" w:rsidP="00547BD5">
      <w:pPr>
        <w:spacing w:after="0" w:line="480" w:lineRule="auto"/>
        <w:jc w:val="both"/>
        <w:rPr>
          <w:rFonts w:ascii="Times New Roman" w:hAnsi="Times New Roman" w:cs="Times New Roman"/>
          <w:b/>
          <w:color w:val="000000" w:themeColor="text1"/>
          <w:sz w:val="20"/>
          <w:szCs w:val="20"/>
          <w:lang w:bidi="as-IN"/>
        </w:rPr>
      </w:pPr>
    </w:p>
    <w:p w14:paraId="3C37A717" w14:textId="73B68058" w:rsidR="00547BD5" w:rsidRPr="00086C06" w:rsidRDefault="00547BD5" w:rsidP="00547BD5">
      <w:pPr>
        <w:shd w:val="clear" w:color="auto" w:fill="FFFFFF"/>
        <w:spacing w:after="0" w:line="480" w:lineRule="auto"/>
        <w:jc w:val="both"/>
        <w:rPr>
          <w:rFonts w:ascii="Times New Roman" w:hAnsi="Times New Roman" w:cs="Times New Roman"/>
          <w:sz w:val="20"/>
          <w:szCs w:val="20"/>
          <w:lang w:bidi="as-IN"/>
        </w:rPr>
      </w:pPr>
      <w:r w:rsidRPr="00086C06">
        <w:rPr>
          <w:rFonts w:ascii="Times New Roman" w:hAnsi="Times New Roman" w:cs="Times New Roman"/>
          <w:bCs/>
          <w:sz w:val="20"/>
          <w:szCs w:val="20"/>
          <w:vertAlign w:val="superscript"/>
          <w:lang w:bidi="as-IN"/>
        </w:rPr>
        <w:t>1</w:t>
      </w:r>
      <w:r w:rsidRPr="00086C06">
        <w:rPr>
          <w:rFonts w:ascii="Times New Roman" w:hAnsi="Times New Roman" w:cs="Times New Roman"/>
          <w:sz w:val="20"/>
          <w:szCs w:val="20"/>
        </w:rPr>
        <w:t xml:space="preserve">Cooperative Research Centre of Environmental Sciences, Eötvös Loránd University, Pázmány Péter </w:t>
      </w:r>
      <w:proofErr w:type="spellStart"/>
      <w:r w:rsidRPr="00086C06">
        <w:rPr>
          <w:rFonts w:ascii="Times New Roman" w:hAnsi="Times New Roman" w:cs="Times New Roman"/>
          <w:sz w:val="20"/>
          <w:szCs w:val="20"/>
        </w:rPr>
        <w:t>sétány</w:t>
      </w:r>
      <w:proofErr w:type="spellEnd"/>
      <w:r w:rsidRPr="00086C06">
        <w:rPr>
          <w:rFonts w:ascii="Times New Roman" w:hAnsi="Times New Roman" w:cs="Times New Roman"/>
          <w:sz w:val="20"/>
          <w:szCs w:val="20"/>
        </w:rPr>
        <w:t xml:space="preserve"> 1/A, H-1117 Budapest, Hungary; </w:t>
      </w:r>
      <w:hyperlink r:id="rId6" w:history="1">
        <w:r w:rsidRPr="00086C06">
          <w:rPr>
            <w:rStyle w:val="Hiperhivatkozs"/>
            <w:rFonts w:ascii="Times New Roman" w:hAnsi="Times New Roman" w:cs="Times New Roman"/>
            <w:color w:val="auto"/>
            <w:sz w:val="20"/>
            <w:szCs w:val="20"/>
            <w:u w:val="none"/>
          </w:rPr>
          <w:t>sirat.sandil@ecolres.hu</w:t>
        </w:r>
      </w:hyperlink>
      <w:r w:rsidRPr="00086C06">
        <w:rPr>
          <w:rFonts w:ascii="Times New Roman" w:hAnsi="Times New Roman" w:cs="Times New Roman"/>
          <w:sz w:val="20"/>
          <w:szCs w:val="20"/>
        </w:rPr>
        <w:t xml:space="preserve">; </w:t>
      </w:r>
      <w:hyperlink r:id="rId7" w:history="1">
        <w:r w:rsidR="007B2E61" w:rsidRPr="000A5CA8">
          <w:rPr>
            <w:rStyle w:val="Hiperhivatkozs"/>
            <w:rFonts w:ascii="Times New Roman" w:hAnsi="Times New Roman" w:cs="Times New Roman"/>
            <w:color w:val="auto"/>
            <w:sz w:val="20"/>
            <w:szCs w:val="20"/>
            <w:u w:val="none"/>
          </w:rPr>
          <w:t>zaray.gyula@ecolres.hu</w:t>
        </w:r>
      </w:hyperlink>
      <w:r w:rsidRPr="000A5CA8">
        <w:rPr>
          <w:rFonts w:ascii="Times New Roman" w:hAnsi="Times New Roman" w:cs="Times New Roman"/>
          <w:sz w:val="20"/>
          <w:szCs w:val="20"/>
        </w:rPr>
        <w:t xml:space="preserve"> </w:t>
      </w:r>
    </w:p>
    <w:p w14:paraId="3E11F625" w14:textId="1AE44487" w:rsidR="00547BD5" w:rsidRPr="00086C06" w:rsidRDefault="00547BD5" w:rsidP="00547BD5">
      <w:pPr>
        <w:pStyle w:val="MDPI16affiliation"/>
        <w:spacing w:line="480" w:lineRule="auto"/>
        <w:ind w:left="0" w:firstLine="0"/>
        <w:jc w:val="both"/>
        <w:rPr>
          <w:rFonts w:ascii="Times New Roman" w:hAnsi="Times New Roman"/>
          <w:color w:val="auto"/>
          <w:sz w:val="20"/>
          <w:szCs w:val="20"/>
        </w:rPr>
      </w:pPr>
      <w:r w:rsidRPr="00086C06">
        <w:rPr>
          <w:rFonts w:ascii="Times New Roman" w:hAnsi="Times New Roman"/>
          <w:bCs/>
          <w:color w:val="auto"/>
          <w:sz w:val="20"/>
          <w:szCs w:val="20"/>
          <w:vertAlign w:val="superscript"/>
          <w:lang w:bidi="as-IN"/>
        </w:rPr>
        <w:t>2</w:t>
      </w:r>
      <w:r w:rsidRPr="00086C06">
        <w:rPr>
          <w:rFonts w:ascii="Times New Roman" w:hAnsi="Times New Roman"/>
          <w:color w:val="auto"/>
          <w:sz w:val="20"/>
          <w:szCs w:val="20"/>
        </w:rPr>
        <w:t xml:space="preserve">Institute of Aquatic Ecology, </w:t>
      </w:r>
      <w:r w:rsidR="00DB42B0" w:rsidRPr="00086C06">
        <w:rPr>
          <w:rFonts w:ascii="Times New Roman" w:hAnsi="Times New Roman"/>
          <w:color w:val="auto"/>
          <w:sz w:val="20"/>
          <w:szCs w:val="20"/>
        </w:rPr>
        <w:t xml:space="preserve">HUN-REN </w:t>
      </w:r>
      <w:r w:rsidRPr="00086C06">
        <w:rPr>
          <w:rFonts w:ascii="Times New Roman" w:hAnsi="Times New Roman"/>
          <w:color w:val="auto"/>
          <w:sz w:val="20"/>
          <w:szCs w:val="20"/>
        </w:rPr>
        <w:t xml:space="preserve">Centre for Ecological Research, Karolina </w:t>
      </w:r>
      <w:proofErr w:type="spellStart"/>
      <w:r w:rsidRPr="00086C06">
        <w:rPr>
          <w:rFonts w:ascii="Times New Roman" w:hAnsi="Times New Roman"/>
          <w:color w:val="auto"/>
          <w:sz w:val="20"/>
          <w:szCs w:val="20"/>
        </w:rPr>
        <w:t>út</w:t>
      </w:r>
      <w:proofErr w:type="spellEnd"/>
      <w:r w:rsidRPr="00086C06">
        <w:rPr>
          <w:rFonts w:ascii="Times New Roman" w:hAnsi="Times New Roman"/>
          <w:color w:val="auto"/>
          <w:sz w:val="20"/>
          <w:szCs w:val="20"/>
        </w:rPr>
        <w:t xml:space="preserve"> 29-31, H-1113 Budapest, Hungary; </w:t>
      </w:r>
      <w:hyperlink r:id="rId8" w:history="1">
        <w:r w:rsidRPr="00086C06">
          <w:rPr>
            <w:rStyle w:val="Hiperhivatkozs"/>
            <w:rFonts w:ascii="Times New Roman" w:hAnsi="Times New Roman"/>
            <w:color w:val="auto"/>
            <w:sz w:val="20"/>
            <w:szCs w:val="20"/>
            <w:u w:val="none"/>
          </w:rPr>
          <w:t>endredi.anett@ecolres.hu</w:t>
        </w:r>
      </w:hyperlink>
      <w:r w:rsidRPr="00086C06">
        <w:rPr>
          <w:rFonts w:ascii="Times New Roman" w:hAnsi="Times New Roman"/>
          <w:color w:val="auto"/>
          <w:sz w:val="20"/>
          <w:szCs w:val="20"/>
        </w:rPr>
        <w:t xml:space="preserve">; </w:t>
      </w:r>
      <w:hyperlink r:id="rId9" w:history="1">
        <w:r w:rsidRPr="00086C06">
          <w:rPr>
            <w:rStyle w:val="Hiperhivatkozs"/>
            <w:rFonts w:ascii="Times New Roman" w:hAnsi="Times New Roman"/>
            <w:color w:val="auto"/>
            <w:sz w:val="20"/>
            <w:szCs w:val="20"/>
            <w:u w:val="none"/>
          </w:rPr>
          <w:t>dobosy.peter@ecolres.hu</w:t>
        </w:r>
      </w:hyperlink>
    </w:p>
    <w:p w14:paraId="521CCCA5" w14:textId="2648FEEA" w:rsidR="00547BD5" w:rsidRDefault="00547BD5" w:rsidP="00547BD5">
      <w:pPr>
        <w:pStyle w:val="MDPI16affiliation"/>
        <w:spacing w:line="480" w:lineRule="auto"/>
        <w:ind w:left="0" w:firstLine="0"/>
        <w:jc w:val="both"/>
        <w:rPr>
          <w:rStyle w:val="Hiperhivatkozs"/>
          <w:rFonts w:ascii="Times New Roman" w:hAnsi="Times New Roman"/>
          <w:color w:val="auto"/>
          <w:sz w:val="20"/>
          <w:szCs w:val="20"/>
          <w:u w:val="none"/>
        </w:rPr>
      </w:pPr>
      <w:r w:rsidRPr="00086C06">
        <w:rPr>
          <w:rFonts w:ascii="Times New Roman" w:hAnsi="Times New Roman"/>
          <w:bCs/>
          <w:color w:val="auto"/>
          <w:sz w:val="20"/>
          <w:szCs w:val="20"/>
          <w:vertAlign w:val="superscript"/>
          <w:lang w:bidi="as-IN"/>
        </w:rPr>
        <w:t>3</w:t>
      </w:r>
      <w:r w:rsidRPr="00086C06">
        <w:rPr>
          <w:rFonts w:ascii="Times New Roman" w:hAnsi="Times New Roman"/>
          <w:color w:val="auto"/>
          <w:sz w:val="20"/>
          <w:szCs w:val="20"/>
        </w:rPr>
        <w:t xml:space="preserve">Institute of Soil Sciences, </w:t>
      </w:r>
      <w:r w:rsidR="00DB42B0" w:rsidRPr="00086C06">
        <w:rPr>
          <w:rFonts w:ascii="Times New Roman" w:hAnsi="Times New Roman"/>
          <w:color w:val="auto"/>
          <w:sz w:val="20"/>
          <w:szCs w:val="20"/>
        </w:rPr>
        <w:t xml:space="preserve">HUN-REN </w:t>
      </w:r>
      <w:r w:rsidRPr="00086C06">
        <w:rPr>
          <w:rFonts w:ascii="Times New Roman" w:hAnsi="Times New Roman"/>
          <w:color w:val="auto"/>
          <w:sz w:val="20"/>
          <w:szCs w:val="20"/>
        </w:rPr>
        <w:t xml:space="preserve">Centre for Agricultural Research, Herman Ottó </w:t>
      </w:r>
      <w:proofErr w:type="spellStart"/>
      <w:r w:rsidRPr="00086C06">
        <w:rPr>
          <w:rFonts w:ascii="Times New Roman" w:hAnsi="Times New Roman"/>
          <w:color w:val="auto"/>
          <w:sz w:val="20"/>
          <w:szCs w:val="20"/>
        </w:rPr>
        <w:t>út</w:t>
      </w:r>
      <w:proofErr w:type="spellEnd"/>
      <w:r w:rsidRPr="00086C06">
        <w:rPr>
          <w:rFonts w:ascii="Times New Roman" w:hAnsi="Times New Roman"/>
          <w:color w:val="auto"/>
          <w:sz w:val="20"/>
          <w:szCs w:val="20"/>
        </w:rPr>
        <w:t xml:space="preserve"> 15, H-1022 Budapest, Hungary; </w:t>
      </w:r>
      <w:r w:rsidR="001F7E36" w:rsidRPr="00D42B95">
        <w:rPr>
          <w:rFonts w:ascii="Times New Roman" w:hAnsi="Times New Roman"/>
          <w:color w:val="auto"/>
          <w:sz w:val="20"/>
          <w:szCs w:val="20"/>
        </w:rPr>
        <w:t>fuzy.anna@atk.hu</w:t>
      </w:r>
      <w:r w:rsidR="001F7E36">
        <w:rPr>
          <w:rFonts w:ascii="Times New Roman" w:hAnsi="Times New Roman"/>
          <w:color w:val="auto"/>
          <w:sz w:val="20"/>
          <w:szCs w:val="20"/>
        </w:rPr>
        <w:t>,</w:t>
      </w:r>
      <w:r w:rsidR="001F7E36">
        <w:t xml:space="preserve"> </w:t>
      </w:r>
      <w:hyperlink r:id="rId10" w:history="1">
        <w:r w:rsidR="00D42B95" w:rsidRPr="008F18C1">
          <w:rPr>
            <w:rStyle w:val="Hiperhivatkozs"/>
            <w:rFonts w:ascii="Times New Roman" w:hAnsi="Times New Roman"/>
            <w:color w:val="auto"/>
            <w:sz w:val="20"/>
            <w:szCs w:val="20"/>
            <w:u w:val="none"/>
          </w:rPr>
          <w:t>takacs.tunde@atk.hu</w:t>
        </w:r>
      </w:hyperlink>
      <w:r w:rsidR="00D42B95" w:rsidRPr="008F18C1">
        <w:rPr>
          <w:rFonts w:ascii="Times New Roman" w:hAnsi="Times New Roman"/>
          <w:color w:val="auto"/>
          <w:sz w:val="22"/>
          <w:szCs w:val="22"/>
        </w:rPr>
        <w:t xml:space="preserve"> </w:t>
      </w:r>
    </w:p>
    <w:p w14:paraId="61B3E302" w14:textId="0428EBC0" w:rsidR="00086C06" w:rsidRPr="00086C06" w:rsidRDefault="00086C06" w:rsidP="00547BD5">
      <w:pPr>
        <w:pStyle w:val="MDPI16affiliation"/>
        <w:spacing w:line="480" w:lineRule="auto"/>
        <w:ind w:left="0" w:firstLine="0"/>
        <w:jc w:val="both"/>
        <w:rPr>
          <w:rFonts w:ascii="Times New Roman" w:hAnsi="Times New Roman"/>
          <w:color w:val="auto"/>
          <w:sz w:val="20"/>
          <w:szCs w:val="20"/>
        </w:rPr>
      </w:pPr>
      <w:r w:rsidRPr="00086C06">
        <w:rPr>
          <w:rStyle w:val="Hiperhivatkozs"/>
          <w:rFonts w:ascii="Times New Roman" w:hAnsi="Times New Roman"/>
          <w:color w:val="auto"/>
          <w:sz w:val="20"/>
          <w:szCs w:val="20"/>
          <w:u w:val="none"/>
          <w:vertAlign w:val="superscript"/>
        </w:rPr>
        <w:t>4</w:t>
      </w:r>
      <w:r w:rsidR="00DB3A4F" w:rsidRPr="00DB3A4F">
        <w:rPr>
          <w:rStyle w:val="Hiperhivatkozs"/>
          <w:rFonts w:ascii="Times New Roman" w:hAnsi="Times New Roman"/>
          <w:color w:val="auto"/>
          <w:sz w:val="20"/>
          <w:szCs w:val="20"/>
          <w:u w:val="none"/>
        </w:rPr>
        <w:t>Nuclear Security Department</w:t>
      </w:r>
      <w:r w:rsidRPr="00086C06">
        <w:rPr>
          <w:rStyle w:val="Hiperhivatkozs"/>
          <w:rFonts w:ascii="Times New Roman" w:hAnsi="Times New Roman"/>
          <w:color w:val="auto"/>
          <w:sz w:val="20"/>
          <w:szCs w:val="20"/>
          <w:u w:val="none"/>
        </w:rPr>
        <w:t>,</w:t>
      </w:r>
      <w:r>
        <w:rPr>
          <w:rStyle w:val="Hiperhivatkozs"/>
          <w:rFonts w:ascii="Times New Roman" w:hAnsi="Times New Roman"/>
          <w:color w:val="auto"/>
          <w:sz w:val="20"/>
          <w:szCs w:val="20"/>
          <w:u w:val="none"/>
        </w:rPr>
        <w:t xml:space="preserve"> HUN-REN</w:t>
      </w:r>
      <w:r w:rsidRPr="00086C06">
        <w:rPr>
          <w:rStyle w:val="Hiperhivatkozs"/>
          <w:rFonts w:ascii="Times New Roman" w:hAnsi="Times New Roman"/>
          <w:color w:val="auto"/>
          <w:sz w:val="20"/>
          <w:szCs w:val="20"/>
          <w:u w:val="none"/>
        </w:rPr>
        <w:t xml:space="preserve"> Centre for Energy Research, Konkoly-</w:t>
      </w:r>
      <w:proofErr w:type="spellStart"/>
      <w:r w:rsidRPr="00086C06">
        <w:rPr>
          <w:rStyle w:val="Hiperhivatkozs"/>
          <w:rFonts w:ascii="Times New Roman" w:hAnsi="Times New Roman"/>
          <w:color w:val="auto"/>
          <w:sz w:val="20"/>
          <w:szCs w:val="20"/>
          <w:u w:val="none"/>
        </w:rPr>
        <w:t>Thege</w:t>
      </w:r>
      <w:proofErr w:type="spellEnd"/>
      <w:r w:rsidRPr="00086C06">
        <w:rPr>
          <w:rStyle w:val="Hiperhivatkozs"/>
          <w:rFonts w:ascii="Times New Roman" w:hAnsi="Times New Roman"/>
          <w:color w:val="auto"/>
          <w:sz w:val="20"/>
          <w:szCs w:val="20"/>
          <w:u w:val="none"/>
        </w:rPr>
        <w:t xml:space="preserve"> Miklós </w:t>
      </w:r>
      <w:proofErr w:type="spellStart"/>
      <w:r w:rsidRPr="00086C06">
        <w:rPr>
          <w:rStyle w:val="Hiperhivatkozs"/>
          <w:rFonts w:ascii="Times New Roman" w:hAnsi="Times New Roman"/>
          <w:color w:val="auto"/>
          <w:sz w:val="20"/>
          <w:szCs w:val="20"/>
          <w:u w:val="none"/>
        </w:rPr>
        <w:t>út</w:t>
      </w:r>
      <w:proofErr w:type="spellEnd"/>
      <w:r w:rsidRPr="00086C06">
        <w:rPr>
          <w:rStyle w:val="Hiperhivatkozs"/>
          <w:rFonts w:ascii="Times New Roman" w:hAnsi="Times New Roman"/>
          <w:color w:val="auto"/>
          <w:sz w:val="20"/>
          <w:szCs w:val="20"/>
          <w:u w:val="none"/>
        </w:rPr>
        <w:t xml:space="preserve"> 29-33, H-1121 Budapest, Hungary</w:t>
      </w:r>
      <w:r w:rsidR="000A5CA8">
        <w:rPr>
          <w:rStyle w:val="Hiperhivatkozs"/>
          <w:rFonts w:ascii="Times New Roman" w:hAnsi="Times New Roman"/>
          <w:color w:val="auto"/>
          <w:sz w:val="20"/>
          <w:szCs w:val="20"/>
          <w:u w:val="none"/>
        </w:rPr>
        <w:t xml:space="preserve">; </w:t>
      </w:r>
      <w:r w:rsidR="000A5CA8" w:rsidRPr="000A5CA8">
        <w:rPr>
          <w:rStyle w:val="Hiperhivatkozs"/>
          <w:rFonts w:ascii="Times New Roman" w:hAnsi="Times New Roman"/>
          <w:color w:val="auto"/>
          <w:sz w:val="20"/>
          <w:szCs w:val="20"/>
          <w:u w:val="none"/>
        </w:rPr>
        <w:t>ovari.mihaly@ek-cer.hu</w:t>
      </w:r>
    </w:p>
    <w:p w14:paraId="35E3C2AA" w14:textId="77777777" w:rsidR="00547BD5" w:rsidRPr="00196D63" w:rsidRDefault="00547BD5" w:rsidP="00547BD5">
      <w:pPr>
        <w:pStyle w:val="MDPI16affiliation"/>
        <w:spacing w:line="480" w:lineRule="auto"/>
        <w:ind w:left="0"/>
        <w:jc w:val="both"/>
        <w:rPr>
          <w:rFonts w:ascii="Times New Roman" w:hAnsi="Times New Roman"/>
          <w:color w:val="000000" w:themeColor="text1"/>
          <w:sz w:val="20"/>
          <w:szCs w:val="20"/>
        </w:rPr>
      </w:pPr>
      <w:r w:rsidRPr="00196D63">
        <w:rPr>
          <w:rFonts w:ascii="Times New Roman" w:hAnsi="Times New Roman"/>
          <w:color w:val="000000" w:themeColor="text1"/>
          <w:sz w:val="20"/>
          <w:szCs w:val="20"/>
        </w:rPr>
        <w:t xml:space="preserve">  </w:t>
      </w:r>
    </w:p>
    <w:p w14:paraId="7DAFBCBC" w14:textId="77777777" w:rsidR="00547BD5" w:rsidRPr="00196D63" w:rsidRDefault="00547BD5" w:rsidP="00547BD5">
      <w:pPr>
        <w:pStyle w:val="MDPI16affiliation"/>
        <w:spacing w:line="480" w:lineRule="auto"/>
        <w:ind w:left="0" w:firstLine="0"/>
        <w:jc w:val="both"/>
        <w:rPr>
          <w:rFonts w:ascii="Times New Roman" w:hAnsi="Times New Roman"/>
          <w:color w:val="000000" w:themeColor="text1"/>
          <w:sz w:val="20"/>
          <w:szCs w:val="20"/>
        </w:rPr>
      </w:pPr>
      <w:r w:rsidRPr="00196D63">
        <w:rPr>
          <w:rFonts w:ascii="Times New Roman" w:hAnsi="Times New Roman"/>
          <w:color w:val="000000" w:themeColor="text1"/>
          <w:sz w:val="20"/>
          <w:szCs w:val="20"/>
        </w:rPr>
        <w:t>*Corresponding Author: Dr. Péter Dobosy</w:t>
      </w:r>
    </w:p>
    <w:p w14:paraId="59E8755A" w14:textId="77777777" w:rsidR="00547BD5" w:rsidRPr="00196D63" w:rsidRDefault="00547BD5" w:rsidP="00547BD5">
      <w:pPr>
        <w:pStyle w:val="MDPI16affiliation"/>
        <w:spacing w:line="480" w:lineRule="auto"/>
        <w:ind w:left="0" w:firstLine="0"/>
        <w:jc w:val="both"/>
        <w:rPr>
          <w:rStyle w:val="Hiperhivatkozs"/>
          <w:rFonts w:ascii="Times New Roman" w:hAnsi="Times New Roman"/>
          <w:color w:val="000000" w:themeColor="text1"/>
          <w:sz w:val="20"/>
          <w:szCs w:val="20"/>
        </w:rPr>
      </w:pPr>
      <w:r w:rsidRPr="00196D63">
        <w:rPr>
          <w:rFonts w:ascii="Times New Roman" w:hAnsi="Times New Roman"/>
          <w:color w:val="000000" w:themeColor="text1"/>
          <w:sz w:val="20"/>
          <w:szCs w:val="20"/>
        </w:rPr>
        <w:t xml:space="preserve">Email: </w:t>
      </w:r>
      <w:hyperlink r:id="rId11" w:history="1">
        <w:r w:rsidRPr="00196D63">
          <w:rPr>
            <w:rStyle w:val="Hiperhivatkozs"/>
            <w:rFonts w:ascii="Times New Roman" w:hAnsi="Times New Roman"/>
            <w:color w:val="000000" w:themeColor="text1"/>
            <w:sz w:val="20"/>
            <w:szCs w:val="20"/>
          </w:rPr>
          <w:t>dobosy.peter@ecolres.hu</w:t>
        </w:r>
      </w:hyperlink>
      <w:r w:rsidRPr="00196D63">
        <w:rPr>
          <w:rStyle w:val="Hiperhivatkozs"/>
          <w:rFonts w:ascii="Times New Roman" w:hAnsi="Times New Roman"/>
          <w:color w:val="000000" w:themeColor="text1"/>
          <w:sz w:val="20"/>
          <w:szCs w:val="20"/>
        </w:rPr>
        <w:t xml:space="preserve">  </w:t>
      </w:r>
    </w:p>
    <w:p w14:paraId="598A5F7D" w14:textId="77777777" w:rsidR="00547BD5" w:rsidRDefault="00547BD5" w:rsidP="00F20F63">
      <w:pPr>
        <w:widowControl w:val="0"/>
        <w:tabs>
          <w:tab w:val="left" w:pos="450"/>
        </w:tabs>
        <w:autoSpaceDE w:val="0"/>
        <w:autoSpaceDN w:val="0"/>
        <w:adjustRightInd w:val="0"/>
        <w:spacing w:after="0" w:line="480" w:lineRule="auto"/>
        <w:jc w:val="center"/>
        <w:rPr>
          <w:rFonts w:ascii="Times New Roman" w:hAnsi="Times New Roman" w:cs="Times New Roman"/>
          <w:b/>
          <w:bCs/>
          <w:color w:val="000000" w:themeColor="text1"/>
          <w:sz w:val="28"/>
          <w:szCs w:val="28"/>
        </w:rPr>
      </w:pPr>
    </w:p>
    <w:p w14:paraId="7BB72C67" w14:textId="60D7B51B" w:rsidR="00BC6FB5" w:rsidRDefault="00BC6FB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4E4BC285" w14:textId="4B724FDE"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7B6ED288" w14:textId="658FB845"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559D1B7D" w14:textId="07345DE2"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7F0267E9" w14:textId="1A595A6C"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70EE8F9D" w14:textId="0B086496"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5C078D5B" w14:textId="28C6C51C" w:rsidR="00547BD5" w:rsidRDefault="00547BD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3F69FCFC" w14:textId="4665830D" w:rsidR="00EB2746" w:rsidRPr="00BC6FB5" w:rsidRDefault="00BC6FB5"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4"/>
          <w:szCs w:val="24"/>
        </w:rPr>
      </w:pPr>
      <w:r w:rsidRPr="00BC6FB5">
        <w:rPr>
          <w:rFonts w:ascii="Times New Roman" w:hAnsi="Times New Roman" w:cs="Times New Roman"/>
          <w:b/>
          <w:bCs/>
          <w:color w:val="000000" w:themeColor="text1"/>
          <w:sz w:val="24"/>
          <w:szCs w:val="24"/>
        </w:rPr>
        <w:lastRenderedPageBreak/>
        <w:t xml:space="preserve">Supplementary </w:t>
      </w:r>
      <w:r w:rsidR="00EB2746" w:rsidRPr="00BC6FB5">
        <w:rPr>
          <w:rFonts w:ascii="Times New Roman" w:hAnsi="Times New Roman" w:cs="Times New Roman"/>
          <w:b/>
          <w:bCs/>
          <w:color w:val="000000" w:themeColor="text1"/>
          <w:sz w:val="24"/>
          <w:szCs w:val="24"/>
        </w:rPr>
        <w:t>Figures</w:t>
      </w:r>
    </w:p>
    <w:p w14:paraId="6ED4E3C3" w14:textId="1EDE5267" w:rsidR="00EC25FE" w:rsidRPr="00BC6FB5" w:rsidRDefault="000B08E5" w:rsidP="00BC6FB5">
      <w:pPr>
        <w:spacing w:after="200" w:line="360" w:lineRule="auto"/>
        <w:ind w:left="360"/>
        <w:rPr>
          <w:rFonts w:ascii="Times New Roman" w:eastAsia="Calibri" w:hAnsi="Times New Roman" w:cs="Times New Roman"/>
          <w:b/>
          <w:color w:val="000000" w:themeColor="text1"/>
          <w:sz w:val="32"/>
        </w:rPr>
      </w:pPr>
      <w:r>
        <w:rPr>
          <w:rFonts w:ascii="Times New Roman" w:eastAsia="Calibri" w:hAnsi="Times New Roman" w:cs="Times New Roman"/>
          <w:b/>
          <w:color w:val="000000" w:themeColor="text1"/>
          <w:sz w:val="24"/>
          <w:szCs w:val="24"/>
        </w:rPr>
        <w:t xml:space="preserve">                        </w:t>
      </w:r>
      <w:r w:rsidR="000C1958">
        <w:rPr>
          <w:rFonts w:ascii="Times New Roman" w:eastAsia="Calibri" w:hAnsi="Times New Roman" w:cs="Times New Roman"/>
          <w:b/>
          <w:color w:val="000000" w:themeColor="text1"/>
          <w:sz w:val="24"/>
          <w:szCs w:val="24"/>
        </w:rPr>
        <w:t>S</w:t>
      </w:r>
      <w:r w:rsidR="00EC25FE" w:rsidRPr="00D31BFB">
        <w:rPr>
          <w:rFonts w:ascii="Times New Roman" w:eastAsia="Calibri" w:hAnsi="Times New Roman" w:cs="Times New Roman"/>
          <w:b/>
          <w:color w:val="000000" w:themeColor="text1"/>
          <w:sz w:val="24"/>
          <w:szCs w:val="24"/>
        </w:rPr>
        <w:t>1</w:t>
      </w:r>
      <w:r w:rsidR="00EC25FE">
        <w:rPr>
          <w:rFonts w:ascii="Times New Roman" w:eastAsia="Calibri" w:hAnsi="Times New Roman" w:cs="Times New Roman"/>
          <w:b/>
          <w:color w:val="000000" w:themeColor="text1"/>
          <w:sz w:val="24"/>
          <w:szCs w:val="24"/>
        </w:rPr>
        <w:t>.</w:t>
      </w:r>
      <w:r w:rsidR="00EC25FE" w:rsidRPr="00D31BFB">
        <w:rPr>
          <w:rFonts w:ascii="Times New Roman" w:eastAsia="Calibri" w:hAnsi="Times New Roman" w:cs="Times New Roman"/>
          <w:b/>
          <w:color w:val="000000" w:themeColor="text1"/>
          <w:sz w:val="24"/>
          <w:szCs w:val="24"/>
        </w:rPr>
        <w:t>a</w:t>
      </w:r>
      <w:r w:rsidR="00856D11">
        <w:rPr>
          <w:rFonts w:ascii="Times New Roman" w:eastAsia="Calibri" w:hAnsi="Times New Roman" w:cs="Times New Roman"/>
          <w:b/>
          <w:color w:val="000000" w:themeColor="text1"/>
          <w:sz w:val="24"/>
          <w:szCs w:val="24"/>
        </w:rPr>
        <w:t xml:space="preserve"> </w:t>
      </w:r>
      <w:r w:rsidR="00856D11">
        <w:rPr>
          <w:noProof/>
          <w:lang w:val="hu-HU" w:eastAsia="hu-HU"/>
        </w:rPr>
        <w:drawing>
          <wp:inline distT="0" distB="0" distL="0" distR="0" wp14:anchorId="13B35C42" wp14:editId="5F0B5448">
            <wp:extent cx="3518946" cy="2336800"/>
            <wp:effectExtent l="0" t="0" r="5715" b="635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63523" cy="2366402"/>
                    </a:xfrm>
                    <a:prstGeom prst="rect">
                      <a:avLst/>
                    </a:prstGeom>
                    <a:noFill/>
                    <a:ln>
                      <a:noFill/>
                    </a:ln>
                  </pic:spPr>
                </pic:pic>
              </a:graphicData>
            </a:graphic>
          </wp:inline>
        </w:drawing>
      </w:r>
      <w:r w:rsidR="00EC25FE">
        <w:rPr>
          <w:rFonts w:ascii="Times New Roman" w:eastAsia="Calibri" w:hAnsi="Times New Roman" w:cs="Times New Roman"/>
          <w:b/>
          <w:color w:val="000000" w:themeColor="text1"/>
          <w:sz w:val="32"/>
        </w:rPr>
        <w:t xml:space="preserve"> </w:t>
      </w:r>
    </w:p>
    <w:p w14:paraId="78328FF8" w14:textId="77777777" w:rsidR="00EC25FE" w:rsidRPr="00F329BC" w:rsidRDefault="00EC25FE" w:rsidP="00EC25FE">
      <w:pPr>
        <w:spacing w:after="0" w:line="360" w:lineRule="auto"/>
        <w:jc w:val="center"/>
        <w:rPr>
          <w:rFonts w:ascii="Times New Roman" w:eastAsia="Calibri" w:hAnsi="Times New Roman" w:cs="Times New Roman"/>
          <w:b/>
          <w:color w:val="000000" w:themeColor="text1"/>
          <w:sz w:val="20"/>
          <w:szCs w:val="20"/>
        </w:rPr>
      </w:pPr>
    </w:p>
    <w:p w14:paraId="46CA1F18" w14:textId="520BF61C" w:rsidR="00EC25FE" w:rsidRPr="00F329BC" w:rsidRDefault="000C1958" w:rsidP="00EC25FE">
      <w:pPr>
        <w:spacing w:after="200" w:line="360" w:lineRule="auto"/>
        <w:ind w:left="360"/>
        <w:jc w:val="center"/>
        <w:rPr>
          <w:rFonts w:ascii="Times New Roman" w:eastAsia="Calibri" w:hAnsi="Times New Roman" w:cs="Times New Roman"/>
          <w:b/>
          <w:color w:val="000000" w:themeColor="text1"/>
          <w:sz w:val="32"/>
        </w:rPr>
      </w:pPr>
      <w:r>
        <w:rPr>
          <w:rFonts w:ascii="Times New Roman" w:eastAsia="Calibri" w:hAnsi="Times New Roman" w:cs="Times New Roman"/>
          <w:b/>
          <w:color w:val="000000" w:themeColor="text1"/>
          <w:sz w:val="24"/>
          <w:szCs w:val="24"/>
        </w:rPr>
        <w:t>S</w:t>
      </w:r>
      <w:r w:rsidR="00EC25FE" w:rsidRPr="00D31BFB">
        <w:rPr>
          <w:rFonts w:ascii="Times New Roman" w:eastAsia="Calibri" w:hAnsi="Times New Roman" w:cs="Times New Roman"/>
          <w:b/>
          <w:color w:val="000000" w:themeColor="text1"/>
          <w:sz w:val="24"/>
          <w:szCs w:val="24"/>
        </w:rPr>
        <w:t>1</w:t>
      </w:r>
      <w:r w:rsidR="00EC25FE">
        <w:rPr>
          <w:rFonts w:ascii="Times New Roman" w:eastAsia="Calibri" w:hAnsi="Times New Roman" w:cs="Times New Roman"/>
          <w:b/>
          <w:color w:val="000000" w:themeColor="text1"/>
          <w:sz w:val="24"/>
          <w:szCs w:val="24"/>
        </w:rPr>
        <w:t>.</w:t>
      </w:r>
      <w:r w:rsidR="00EC25FE" w:rsidRPr="00D31BFB">
        <w:rPr>
          <w:rFonts w:ascii="Times New Roman" w:eastAsia="Calibri" w:hAnsi="Times New Roman" w:cs="Times New Roman"/>
          <w:b/>
          <w:color w:val="000000" w:themeColor="text1"/>
          <w:sz w:val="24"/>
          <w:szCs w:val="24"/>
        </w:rPr>
        <w:t>b</w:t>
      </w:r>
      <w:r w:rsidR="00F663CE">
        <w:rPr>
          <w:rFonts w:ascii="Times New Roman" w:eastAsia="Calibri" w:hAnsi="Times New Roman" w:cs="Times New Roman"/>
          <w:b/>
          <w:color w:val="000000" w:themeColor="text1"/>
          <w:sz w:val="24"/>
          <w:szCs w:val="24"/>
        </w:rPr>
        <w:t xml:space="preserve">  </w:t>
      </w:r>
      <w:r w:rsidR="00F663CE">
        <w:rPr>
          <w:noProof/>
          <w:lang w:val="hu-HU" w:eastAsia="hu-HU"/>
        </w:rPr>
        <w:drawing>
          <wp:inline distT="0" distB="0" distL="0" distR="0" wp14:anchorId="1DDD93C8" wp14:editId="450E6859">
            <wp:extent cx="3279449" cy="2142067"/>
            <wp:effectExtent l="0" t="0" r="0" b="0"/>
            <wp:docPr id="2" name="Picture 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b="877"/>
                    <a:stretch/>
                  </pic:blipFill>
                  <pic:spPr bwMode="auto">
                    <a:xfrm>
                      <a:off x="0" y="0"/>
                      <a:ext cx="3312973" cy="2163964"/>
                    </a:xfrm>
                    <a:prstGeom prst="rect">
                      <a:avLst/>
                    </a:prstGeom>
                    <a:noFill/>
                    <a:ln>
                      <a:noFill/>
                    </a:ln>
                    <a:extLst>
                      <a:ext uri="{53640926-AAD7-44D8-BBD7-CCE9431645EC}">
                        <a14:shadowObscured xmlns:a14="http://schemas.microsoft.com/office/drawing/2010/main"/>
                      </a:ext>
                    </a:extLst>
                  </pic:spPr>
                </pic:pic>
              </a:graphicData>
            </a:graphic>
          </wp:inline>
        </w:drawing>
      </w:r>
      <w:r w:rsidR="00EC25FE">
        <w:rPr>
          <w:rFonts w:ascii="Times New Roman" w:eastAsia="Calibri" w:hAnsi="Times New Roman" w:cs="Times New Roman"/>
          <w:b/>
          <w:color w:val="000000" w:themeColor="text1"/>
          <w:sz w:val="32"/>
        </w:rPr>
        <w:t xml:space="preserve"> </w:t>
      </w:r>
    </w:p>
    <w:p w14:paraId="0F9B6552" w14:textId="77777777" w:rsidR="000B08E5" w:rsidRDefault="000B08E5" w:rsidP="000B08E5">
      <w:pPr>
        <w:spacing w:after="200" w:line="480" w:lineRule="auto"/>
        <w:jc w:val="both"/>
        <w:rPr>
          <w:rFonts w:ascii="Times New Roman" w:eastAsia="Calibri" w:hAnsi="Times New Roman" w:cs="Times New Roman"/>
          <w:b/>
          <w:color w:val="000000" w:themeColor="text1"/>
          <w:sz w:val="20"/>
          <w:szCs w:val="20"/>
        </w:rPr>
      </w:pPr>
    </w:p>
    <w:p w14:paraId="7BA03255" w14:textId="03E91231" w:rsidR="000B08E5" w:rsidRDefault="000B08E5" w:rsidP="000B08E5">
      <w:pPr>
        <w:spacing w:after="200" w:line="480" w:lineRule="auto"/>
        <w:jc w:val="both"/>
        <w:rPr>
          <w:rFonts w:ascii="Times New Roman" w:eastAsia="Calibri" w:hAnsi="Times New Roman" w:cs="Times New Roman"/>
          <w:color w:val="000000" w:themeColor="text1"/>
          <w:sz w:val="20"/>
          <w:szCs w:val="20"/>
          <w:lang w:val="en-IN"/>
        </w:rPr>
      </w:pPr>
      <w:r>
        <w:rPr>
          <w:rFonts w:ascii="Times New Roman" w:eastAsia="Calibri" w:hAnsi="Times New Roman" w:cs="Times New Roman"/>
          <w:b/>
          <w:color w:val="000000" w:themeColor="text1"/>
          <w:sz w:val="20"/>
          <w:szCs w:val="20"/>
        </w:rPr>
        <w:t>Fig.</w:t>
      </w:r>
      <w:r w:rsidR="00FF7BDA">
        <w:rPr>
          <w:rFonts w:ascii="Times New Roman" w:eastAsia="Calibri" w:hAnsi="Times New Roman" w:cs="Times New Roman"/>
          <w:b/>
          <w:color w:val="000000" w:themeColor="text1"/>
          <w:sz w:val="20"/>
          <w:szCs w:val="20"/>
        </w:rPr>
        <w:t xml:space="preserve"> </w:t>
      </w:r>
      <w:r w:rsidR="008A02FE">
        <w:rPr>
          <w:rFonts w:ascii="Times New Roman" w:eastAsia="Calibri" w:hAnsi="Times New Roman" w:cs="Times New Roman"/>
          <w:b/>
          <w:color w:val="000000" w:themeColor="text1"/>
          <w:sz w:val="20"/>
          <w:szCs w:val="20"/>
        </w:rPr>
        <w:t>S</w:t>
      </w:r>
      <w:r>
        <w:rPr>
          <w:rFonts w:ascii="Times New Roman" w:eastAsia="Calibri" w:hAnsi="Times New Roman" w:cs="Times New Roman"/>
          <w:b/>
          <w:color w:val="000000" w:themeColor="text1"/>
          <w:sz w:val="20"/>
          <w:szCs w:val="20"/>
        </w:rPr>
        <w:t>1</w:t>
      </w:r>
      <w:r>
        <w:rPr>
          <w:rFonts w:ascii="Times New Roman" w:eastAsia="Calibri" w:hAnsi="Times New Roman" w:cs="Times New Roman"/>
          <w:color w:val="000000" w:themeColor="text1"/>
          <w:sz w:val="20"/>
          <w:szCs w:val="20"/>
          <w:lang w:val="en-IN"/>
        </w:rPr>
        <w:t xml:space="preserve"> Effect of various arsenic concentrations in the irrigation water on biomass production of lettuce (a) root and (b) leaves at the two growth stages. Error bars indicate standard deviation (n=5). Different letters indicate significant differences among treatments (p&lt;0.05)</w:t>
      </w:r>
    </w:p>
    <w:p w14:paraId="5317BB40" w14:textId="77777777" w:rsidR="00EC25FE" w:rsidRDefault="00EC25FE" w:rsidP="00EC25FE">
      <w:pPr>
        <w:spacing w:after="200" w:line="360" w:lineRule="auto"/>
        <w:jc w:val="both"/>
        <w:rPr>
          <w:rFonts w:ascii="Times New Roman" w:eastAsia="Calibri" w:hAnsi="Times New Roman" w:cs="Times New Roman"/>
          <w:b/>
          <w:color w:val="000000" w:themeColor="text1"/>
          <w:sz w:val="24"/>
          <w:szCs w:val="24"/>
        </w:rPr>
      </w:pPr>
    </w:p>
    <w:p w14:paraId="507776CB" w14:textId="1F6B8BB0" w:rsidR="00EC25FE" w:rsidRDefault="000C1958" w:rsidP="00EC25FE">
      <w:pPr>
        <w:spacing w:after="200" w:line="360" w:lineRule="auto"/>
        <w:ind w:left="360"/>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lastRenderedPageBreak/>
        <w:t>S</w:t>
      </w:r>
      <w:r w:rsidR="00EC25FE">
        <w:rPr>
          <w:rFonts w:ascii="Times New Roman" w:eastAsia="Calibri" w:hAnsi="Times New Roman" w:cs="Times New Roman"/>
          <w:b/>
          <w:color w:val="000000" w:themeColor="text1"/>
          <w:sz w:val="24"/>
          <w:szCs w:val="24"/>
        </w:rPr>
        <w:t xml:space="preserve">2.a </w:t>
      </w:r>
      <w:r w:rsidR="00F663CE">
        <w:rPr>
          <w:rFonts w:ascii="Times New Roman" w:eastAsia="Calibri" w:hAnsi="Times New Roman" w:cs="Times New Roman"/>
          <w:b/>
          <w:color w:val="000000" w:themeColor="text1"/>
          <w:sz w:val="24"/>
          <w:szCs w:val="24"/>
        </w:rPr>
        <w:t xml:space="preserve"> </w:t>
      </w:r>
      <w:r w:rsidR="00F663CE">
        <w:rPr>
          <w:noProof/>
          <w:lang w:val="hu-HU" w:eastAsia="hu-HU"/>
        </w:rPr>
        <w:drawing>
          <wp:inline distT="0" distB="0" distL="0" distR="0" wp14:anchorId="2A996337" wp14:editId="10C3958F">
            <wp:extent cx="3200400" cy="2118391"/>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15257" cy="2128225"/>
                    </a:xfrm>
                    <a:prstGeom prst="rect">
                      <a:avLst/>
                    </a:prstGeom>
                    <a:noFill/>
                    <a:ln>
                      <a:noFill/>
                    </a:ln>
                  </pic:spPr>
                </pic:pic>
              </a:graphicData>
            </a:graphic>
          </wp:inline>
        </w:drawing>
      </w:r>
    </w:p>
    <w:p w14:paraId="52AD46DC" w14:textId="36B8AA02" w:rsidR="0077520B" w:rsidRDefault="0077520B" w:rsidP="00EC25FE">
      <w:pPr>
        <w:spacing w:after="200" w:line="360" w:lineRule="auto"/>
        <w:ind w:left="360"/>
        <w:jc w:val="center"/>
        <w:rPr>
          <w:rFonts w:ascii="Times New Roman" w:eastAsia="Calibri" w:hAnsi="Times New Roman" w:cs="Times New Roman"/>
          <w:b/>
          <w:color w:val="000000" w:themeColor="text1"/>
          <w:sz w:val="24"/>
          <w:szCs w:val="24"/>
        </w:rPr>
      </w:pPr>
    </w:p>
    <w:p w14:paraId="655EE51E" w14:textId="77777777" w:rsidR="0077520B" w:rsidRPr="00F329BC" w:rsidRDefault="0077520B" w:rsidP="00EC25FE">
      <w:pPr>
        <w:spacing w:after="200" w:line="360" w:lineRule="auto"/>
        <w:ind w:left="360"/>
        <w:jc w:val="center"/>
        <w:rPr>
          <w:rFonts w:ascii="Times New Roman" w:eastAsia="Calibri" w:hAnsi="Times New Roman" w:cs="Times New Roman"/>
          <w:b/>
          <w:color w:val="000000" w:themeColor="text1"/>
          <w:sz w:val="24"/>
          <w:szCs w:val="24"/>
        </w:rPr>
      </w:pPr>
    </w:p>
    <w:p w14:paraId="12151CD8" w14:textId="7BDAA704" w:rsidR="00EC25FE" w:rsidRPr="00F329BC" w:rsidRDefault="000C1958" w:rsidP="00EC25FE">
      <w:pPr>
        <w:spacing w:after="200" w:line="360" w:lineRule="auto"/>
        <w:ind w:left="360"/>
        <w:jc w:val="center"/>
        <w:rPr>
          <w:rFonts w:ascii="Times New Roman" w:eastAsia="Calibri" w:hAnsi="Times New Roman" w:cs="Times New Roman"/>
          <w:b/>
          <w:color w:val="000000" w:themeColor="text1"/>
          <w:sz w:val="24"/>
          <w:szCs w:val="24"/>
        </w:rPr>
      </w:pPr>
      <w:r>
        <w:rPr>
          <w:rFonts w:ascii="Times New Roman" w:eastAsia="Calibri" w:hAnsi="Times New Roman" w:cs="Times New Roman"/>
          <w:b/>
          <w:color w:val="000000" w:themeColor="text1"/>
          <w:sz w:val="24"/>
          <w:szCs w:val="24"/>
        </w:rPr>
        <w:t>S</w:t>
      </w:r>
      <w:r w:rsidR="00EC25FE">
        <w:rPr>
          <w:rFonts w:ascii="Times New Roman" w:eastAsia="Calibri" w:hAnsi="Times New Roman" w:cs="Times New Roman"/>
          <w:b/>
          <w:color w:val="000000" w:themeColor="text1"/>
          <w:sz w:val="24"/>
          <w:szCs w:val="24"/>
        </w:rPr>
        <w:t>2.b</w:t>
      </w:r>
      <w:r w:rsidR="00F663CE">
        <w:rPr>
          <w:rFonts w:ascii="Times New Roman" w:eastAsia="Calibri" w:hAnsi="Times New Roman" w:cs="Times New Roman"/>
          <w:b/>
          <w:color w:val="000000" w:themeColor="text1"/>
          <w:sz w:val="24"/>
          <w:szCs w:val="24"/>
        </w:rPr>
        <w:t xml:space="preserve">  </w:t>
      </w:r>
      <w:r w:rsidR="00F663CE">
        <w:rPr>
          <w:noProof/>
          <w:lang w:val="hu-HU" w:eastAsia="hu-HU"/>
        </w:rPr>
        <w:drawing>
          <wp:inline distT="0" distB="0" distL="0" distR="0" wp14:anchorId="6E73CC18" wp14:editId="6E140450">
            <wp:extent cx="3269673" cy="2179782"/>
            <wp:effectExtent l="0" t="0" r="6985"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8937" cy="2192625"/>
                    </a:xfrm>
                    <a:prstGeom prst="rect">
                      <a:avLst/>
                    </a:prstGeom>
                    <a:noFill/>
                    <a:ln>
                      <a:noFill/>
                    </a:ln>
                  </pic:spPr>
                </pic:pic>
              </a:graphicData>
            </a:graphic>
          </wp:inline>
        </w:drawing>
      </w:r>
      <w:r w:rsidR="00F663CE">
        <w:rPr>
          <w:rFonts w:ascii="Times New Roman" w:eastAsia="Calibri" w:hAnsi="Times New Roman" w:cs="Times New Roman"/>
          <w:b/>
          <w:color w:val="000000" w:themeColor="text1"/>
          <w:sz w:val="24"/>
          <w:szCs w:val="24"/>
        </w:rPr>
        <w:t xml:space="preserve"> </w:t>
      </w:r>
      <w:r w:rsidR="00EC25FE">
        <w:rPr>
          <w:rFonts w:ascii="Times New Roman" w:eastAsia="Calibri" w:hAnsi="Times New Roman" w:cs="Times New Roman"/>
          <w:b/>
          <w:color w:val="000000" w:themeColor="text1"/>
          <w:sz w:val="24"/>
          <w:szCs w:val="24"/>
        </w:rPr>
        <w:t xml:space="preserve"> </w:t>
      </w:r>
    </w:p>
    <w:p w14:paraId="4F004ECE" w14:textId="0E463A9E" w:rsidR="00EC25FE" w:rsidRDefault="000C1958" w:rsidP="00EC25FE">
      <w:pPr>
        <w:spacing w:after="200" w:line="360" w:lineRule="auto"/>
        <w:ind w:left="360"/>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
          <w:color w:val="000000" w:themeColor="text1"/>
          <w:sz w:val="24"/>
          <w:szCs w:val="24"/>
        </w:rPr>
        <w:t>S</w:t>
      </w:r>
      <w:r w:rsidR="00EC25FE" w:rsidRPr="00D31BFB">
        <w:rPr>
          <w:rFonts w:ascii="Times New Roman" w:eastAsia="Calibri" w:hAnsi="Times New Roman" w:cs="Times New Roman"/>
          <w:b/>
          <w:color w:val="000000" w:themeColor="text1"/>
          <w:sz w:val="24"/>
          <w:szCs w:val="24"/>
        </w:rPr>
        <w:t>2.c</w:t>
      </w:r>
      <w:r w:rsidR="00EC25FE">
        <w:rPr>
          <w:rFonts w:ascii="Times New Roman" w:eastAsia="Calibri" w:hAnsi="Times New Roman" w:cs="Times New Roman"/>
          <w:bCs/>
          <w:color w:val="000000" w:themeColor="text1"/>
          <w:sz w:val="24"/>
          <w:szCs w:val="24"/>
        </w:rPr>
        <w:t xml:space="preserve"> </w:t>
      </w:r>
      <w:r w:rsidR="00F663CE">
        <w:rPr>
          <w:rFonts w:ascii="Times New Roman" w:eastAsia="Calibri" w:hAnsi="Times New Roman" w:cs="Times New Roman"/>
          <w:bCs/>
          <w:color w:val="000000" w:themeColor="text1"/>
          <w:sz w:val="24"/>
          <w:szCs w:val="24"/>
        </w:rPr>
        <w:t xml:space="preserve"> </w:t>
      </w:r>
      <w:r w:rsidR="00F663CE">
        <w:rPr>
          <w:noProof/>
          <w:lang w:val="hu-HU" w:eastAsia="hu-HU"/>
        </w:rPr>
        <w:drawing>
          <wp:inline distT="0" distB="0" distL="0" distR="0" wp14:anchorId="0327495D" wp14:editId="1A98BF62">
            <wp:extent cx="3149600" cy="2151942"/>
            <wp:effectExtent l="0" t="0" r="0" b="127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a:picLocks noChangeAspect="1" noChangeArrowheads="1"/>
                    </pic:cNvPicPr>
                  </pic:nvPicPr>
                  <pic:blipFill rotWithShape="1">
                    <a:blip r:embed="rId16">
                      <a:extLst>
                        <a:ext uri="{28A0092B-C50C-407E-A947-70E740481C1C}">
                          <a14:useLocalDpi xmlns:a14="http://schemas.microsoft.com/office/drawing/2010/main" val="0"/>
                        </a:ext>
                      </a:extLst>
                    </a:blip>
                    <a:srcRect l="1944" t="1993" r="1478" b="569"/>
                    <a:stretch/>
                  </pic:blipFill>
                  <pic:spPr bwMode="auto">
                    <a:xfrm>
                      <a:off x="0" y="0"/>
                      <a:ext cx="3172993" cy="2167925"/>
                    </a:xfrm>
                    <a:prstGeom prst="rect">
                      <a:avLst/>
                    </a:prstGeom>
                    <a:noFill/>
                    <a:ln>
                      <a:noFill/>
                    </a:ln>
                    <a:extLst>
                      <a:ext uri="{53640926-AAD7-44D8-BBD7-CCE9431645EC}">
                        <a14:shadowObscured xmlns:a14="http://schemas.microsoft.com/office/drawing/2010/main"/>
                      </a:ext>
                    </a:extLst>
                  </pic:spPr>
                </pic:pic>
              </a:graphicData>
            </a:graphic>
          </wp:inline>
        </w:drawing>
      </w:r>
    </w:p>
    <w:p w14:paraId="15F90B73" w14:textId="77777777" w:rsidR="004B5CBC" w:rsidRDefault="004B5CBC" w:rsidP="00EC25FE">
      <w:pPr>
        <w:spacing w:after="200" w:line="360" w:lineRule="auto"/>
        <w:ind w:left="360"/>
        <w:jc w:val="center"/>
        <w:rPr>
          <w:rFonts w:ascii="Times New Roman" w:eastAsia="Calibri" w:hAnsi="Times New Roman" w:cs="Times New Roman"/>
          <w:bCs/>
          <w:color w:val="000000" w:themeColor="text1"/>
          <w:sz w:val="24"/>
          <w:szCs w:val="24"/>
        </w:rPr>
      </w:pPr>
    </w:p>
    <w:p w14:paraId="2683710C" w14:textId="77777777" w:rsidR="002F22C2" w:rsidRPr="00F329BC" w:rsidRDefault="002F22C2" w:rsidP="00EC25FE">
      <w:pPr>
        <w:spacing w:after="200" w:line="360" w:lineRule="auto"/>
        <w:ind w:left="360"/>
        <w:jc w:val="center"/>
        <w:rPr>
          <w:rFonts w:ascii="Times New Roman" w:eastAsia="Calibri" w:hAnsi="Times New Roman" w:cs="Times New Roman"/>
          <w:bCs/>
          <w:color w:val="000000" w:themeColor="text1"/>
          <w:sz w:val="24"/>
          <w:szCs w:val="24"/>
        </w:rPr>
      </w:pPr>
    </w:p>
    <w:p w14:paraId="59DC017D" w14:textId="3743841C" w:rsidR="00EC25FE" w:rsidRPr="00F329BC" w:rsidRDefault="000C1958" w:rsidP="00EC25FE">
      <w:pPr>
        <w:spacing w:after="200" w:line="360" w:lineRule="auto"/>
        <w:ind w:left="360"/>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
          <w:color w:val="000000" w:themeColor="text1"/>
          <w:sz w:val="24"/>
          <w:szCs w:val="24"/>
        </w:rPr>
        <w:t>S</w:t>
      </w:r>
      <w:r w:rsidR="00EC25FE" w:rsidRPr="00D31BFB">
        <w:rPr>
          <w:rFonts w:ascii="Times New Roman" w:eastAsia="Calibri" w:hAnsi="Times New Roman" w:cs="Times New Roman"/>
          <w:b/>
          <w:color w:val="000000" w:themeColor="text1"/>
          <w:sz w:val="24"/>
          <w:szCs w:val="24"/>
        </w:rPr>
        <w:t>2.d</w:t>
      </w:r>
      <w:r w:rsidR="00EC25FE">
        <w:rPr>
          <w:rFonts w:ascii="Times New Roman" w:eastAsia="Calibri" w:hAnsi="Times New Roman" w:cs="Times New Roman"/>
          <w:bCs/>
          <w:color w:val="000000" w:themeColor="text1"/>
          <w:sz w:val="24"/>
          <w:szCs w:val="24"/>
        </w:rPr>
        <w:t xml:space="preserve"> </w:t>
      </w:r>
      <w:r w:rsidR="00F663CE">
        <w:rPr>
          <w:rFonts w:ascii="Times New Roman" w:eastAsia="Calibri" w:hAnsi="Times New Roman" w:cs="Times New Roman"/>
          <w:bCs/>
          <w:color w:val="000000" w:themeColor="text1"/>
          <w:sz w:val="24"/>
          <w:szCs w:val="24"/>
        </w:rPr>
        <w:t xml:space="preserve"> </w:t>
      </w:r>
      <w:r w:rsidR="00F663CE">
        <w:rPr>
          <w:noProof/>
          <w:lang w:val="hu-HU" w:eastAsia="hu-HU"/>
        </w:rPr>
        <w:drawing>
          <wp:inline distT="0" distB="0" distL="0" distR="0" wp14:anchorId="2363A35D" wp14:editId="354AD5C5">
            <wp:extent cx="3022600" cy="1942257"/>
            <wp:effectExtent l="0" t="0" r="6350" b="127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32617" cy="1948693"/>
                    </a:xfrm>
                    <a:prstGeom prst="rect">
                      <a:avLst/>
                    </a:prstGeom>
                    <a:noFill/>
                    <a:ln>
                      <a:noFill/>
                    </a:ln>
                  </pic:spPr>
                </pic:pic>
              </a:graphicData>
            </a:graphic>
          </wp:inline>
        </w:drawing>
      </w:r>
    </w:p>
    <w:p w14:paraId="7FF666CC" w14:textId="77777777" w:rsidR="001F5386" w:rsidRDefault="001F5386" w:rsidP="001F5386">
      <w:pPr>
        <w:spacing w:after="200" w:line="480" w:lineRule="auto"/>
        <w:jc w:val="both"/>
        <w:rPr>
          <w:rFonts w:ascii="Times New Roman" w:eastAsia="Calibri" w:hAnsi="Times New Roman" w:cs="Times New Roman"/>
          <w:b/>
          <w:color w:val="000000" w:themeColor="text1"/>
          <w:sz w:val="20"/>
          <w:szCs w:val="20"/>
        </w:rPr>
      </w:pPr>
    </w:p>
    <w:p w14:paraId="1CDEC142" w14:textId="2DFC419A" w:rsidR="00AE6068" w:rsidRDefault="000B08E5" w:rsidP="00F20F63">
      <w:pPr>
        <w:spacing w:after="200" w:line="480" w:lineRule="auto"/>
        <w:jc w:val="both"/>
        <w:rPr>
          <w:rFonts w:ascii="Times New Roman" w:eastAsia="Calibri" w:hAnsi="Times New Roman" w:cs="Times New Roman"/>
          <w:color w:val="000000" w:themeColor="text1"/>
          <w:sz w:val="20"/>
          <w:szCs w:val="20"/>
          <w:lang w:val="en-IN"/>
        </w:rPr>
      </w:pPr>
      <w:r>
        <w:rPr>
          <w:rFonts w:ascii="Times New Roman" w:eastAsia="Calibri" w:hAnsi="Times New Roman" w:cs="Times New Roman"/>
          <w:b/>
          <w:color w:val="000000" w:themeColor="text1"/>
          <w:sz w:val="20"/>
          <w:szCs w:val="20"/>
        </w:rPr>
        <w:t xml:space="preserve">Fig. </w:t>
      </w:r>
      <w:r w:rsidR="008A02FE">
        <w:rPr>
          <w:rFonts w:ascii="Times New Roman" w:eastAsia="Calibri" w:hAnsi="Times New Roman" w:cs="Times New Roman"/>
          <w:b/>
          <w:color w:val="000000" w:themeColor="text1"/>
          <w:sz w:val="20"/>
          <w:szCs w:val="20"/>
        </w:rPr>
        <w:t>S</w:t>
      </w:r>
      <w:r>
        <w:rPr>
          <w:rFonts w:ascii="Times New Roman" w:eastAsia="Calibri" w:hAnsi="Times New Roman" w:cs="Times New Roman"/>
          <w:b/>
          <w:color w:val="000000" w:themeColor="text1"/>
          <w:sz w:val="20"/>
          <w:szCs w:val="20"/>
        </w:rPr>
        <w:t>2</w:t>
      </w:r>
      <w:r>
        <w:rPr>
          <w:rFonts w:ascii="Times New Roman" w:eastAsia="Calibri" w:hAnsi="Times New Roman" w:cs="Times New Roman"/>
          <w:color w:val="000000" w:themeColor="text1"/>
          <w:sz w:val="20"/>
          <w:szCs w:val="20"/>
          <w:lang w:val="en-IN"/>
        </w:rPr>
        <w:t xml:space="preserve"> Effect of various arsenic concentrations in the irrigation water on biomass production of bean (a) root, (b) stem, (c) leaves, and (d) flower/fruit at the various developmental stages. Error bars indicate standard deviation (n=5). Different letters indicate significant differences among treatments (p&lt;0.05) </w:t>
      </w:r>
      <w:bookmarkStart w:id="1" w:name="_Hlk101137863"/>
    </w:p>
    <w:p w14:paraId="6502B968" w14:textId="77777777" w:rsidR="00F20F63" w:rsidRPr="00F20F63" w:rsidRDefault="00F20F63" w:rsidP="00F20F63">
      <w:pPr>
        <w:spacing w:after="200" w:line="480" w:lineRule="auto"/>
        <w:jc w:val="both"/>
        <w:rPr>
          <w:rFonts w:ascii="Times New Roman" w:eastAsia="Calibri" w:hAnsi="Times New Roman" w:cs="Times New Roman"/>
          <w:color w:val="000000" w:themeColor="text1"/>
          <w:sz w:val="20"/>
          <w:szCs w:val="20"/>
          <w:lang w:val="en-IN"/>
        </w:rPr>
      </w:pPr>
    </w:p>
    <w:p w14:paraId="07B5ACB4"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5CEAE7E4"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2F7148EF"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4BDC7B73"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0B630D50"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5F69FDE4"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679653F5"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17665C4D"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24A2CBA7" w14:textId="77777777" w:rsidR="003D460F"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p>
    <w:p w14:paraId="3635AD23" w14:textId="692E9210" w:rsidR="00EB2746" w:rsidRPr="00EB2746" w:rsidRDefault="003D460F" w:rsidP="00EB2746">
      <w:pPr>
        <w:widowControl w:val="0"/>
        <w:tabs>
          <w:tab w:val="left" w:pos="450"/>
        </w:tabs>
        <w:autoSpaceDE w:val="0"/>
        <w:autoSpaceDN w:val="0"/>
        <w:adjustRightInd w:val="0"/>
        <w:spacing w:after="0" w:line="480" w:lineRule="auto"/>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lastRenderedPageBreak/>
        <w:t xml:space="preserve">Supplementary </w:t>
      </w:r>
      <w:r w:rsidR="00EB2746" w:rsidRPr="00EB2746">
        <w:rPr>
          <w:rFonts w:ascii="Times New Roman" w:hAnsi="Times New Roman" w:cs="Times New Roman"/>
          <w:b/>
          <w:bCs/>
          <w:color w:val="000000" w:themeColor="text1"/>
          <w:sz w:val="28"/>
          <w:szCs w:val="28"/>
        </w:rPr>
        <w:t>Tables</w:t>
      </w:r>
    </w:p>
    <w:tbl>
      <w:tblPr>
        <w:tblStyle w:val="Rcsostblzat"/>
        <w:tblW w:w="0" w:type="auto"/>
        <w:tblLook w:val="04A0" w:firstRow="1" w:lastRow="0" w:firstColumn="1" w:lastColumn="0" w:noHBand="0" w:noVBand="1"/>
      </w:tblPr>
      <w:tblGrid>
        <w:gridCol w:w="3258"/>
        <w:gridCol w:w="5984"/>
      </w:tblGrid>
      <w:tr w:rsidR="00016674" w:rsidRPr="00016674" w14:paraId="5A7DDF13" w14:textId="77777777" w:rsidTr="0073217E">
        <w:tc>
          <w:tcPr>
            <w:tcW w:w="3258" w:type="dxa"/>
            <w:vAlign w:val="center"/>
          </w:tcPr>
          <w:p w14:paraId="3AA66DEB" w14:textId="7DA12E68" w:rsidR="00016674" w:rsidRPr="00016674" w:rsidRDefault="00016674" w:rsidP="0073217E">
            <w:pPr>
              <w:spacing w:line="480" w:lineRule="auto"/>
              <w:contextualSpacing/>
              <w:rPr>
                <w:rFonts w:ascii="Times New Roman" w:eastAsia="Calibri" w:hAnsi="Times New Roman" w:cs="Times New Roman"/>
                <w:b/>
                <w:bCs/>
                <w:sz w:val="20"/>
                <w:szCs w:val="20"/>
              </w:rPr>
            </w:pPr>
            <w:bookmarkStart w:id="2" w:name="_Hlk66686105"/>
            <w:r>
              <w:rPr>
                <w:rFonts w:ascii="Times New Roman" w:eastAsia="Calibri" w:hAnsi="Times New Roman" w:cs="Times New Roman"/>
                <w:b/>
                <w:bCs/>
                <w:sz w:val="20"/>
                <w:szCs w:val="20"/>
              </w:rPr>
              <w:t>Soil p</w:t>
            </w:r>
            <w:r w:rsidRPr="00016674">
              <w:rPr>
                <w:rFonts w:ascii="Times New Roman" w:eastAsia="Calibri" w:hAnsi="Times New Roman" w:cs="Times New Roman"/>
                <w:b/>
                <w:bCs/>
                <w:sz w:val="20"/>
                <w:szCs w:val="20"/>
              </w:rPr>
              <w:t>arameter</w:t>
            </w:r>
          </w:p>
        </w:tc>
        <w:tc>
          <w:tcPr>
            <w:tcW w:w="5984" w:type="dxa"/>
            <w:vAlign w:val="center"/>
          </w:tcPr>
          <w:p w14:paraId="1DD39EC0" w14:textId="77777777" w:rsidR="00016674" w:rsidRPr="00016674" w:rsidRDefault="00016674" w:rsidP="0073217E">
            <w:pPr>
              <w:spacing w:line="480" w:lineRule="auto"/>
              <w:contextualSpacing/>
              <w:rPr>
                <w:rFonts w:ascii="Times New Roman" w:eastAsia="Calibri" w:hAnsi="Times New Roman" w:cs="Times New Roman"/>
                <w:b/>
                <w:bCs/>
                <w:sz w:val="20"/>
                <w:szCs w:val="20"/>
              </w:rPr>
            </w:pPr>
            <w:r w:rsidRPr="00016674">
              <w:rPr>
                <w:rFonts w:ascii="Times New Roman" w:eastAsia="Calibri" w:hAnsi="Times New Roman" w:cs="Times New Roman"/>
                <w:b/>
                <w:bCs/>
                <w:sz w:val="20"/>
                <w:szCs w:val="20"/>
              </w:rPr>
              <w:t>Analytical method</w:t>
            </w:r>
          </w:p>
        </w:tc>
      </w:tr>
      <w:tr w:rsidR="00016674" w:rsidRPr="00016674" w14:paraId="1F3D4754" w14:textId="77777777" w:rsidTr="0073217E">
        <w:tc>
          <w:tcPr>
            <w:tcW w:w="3258" w:type="dxa"/>
            <w:vAlign w:val="center"/>
          </w:tcPr>
          <w:p w14:paraId="29E3C601" w14:textId="77777777" w:rsidR="00016674" w:rsidRPr="00016674" w:rsidRDefault="00016674" w:rsidP="0073217E">
            <w:pPr>
              <w:spacing w:line="480" w:lineRule="auto"/>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pH</w:t>
            </w:r>
          </w:p>
        </w:tc>
        <w:tc>
          <w:tcPr>
            <w:tcW w:w="5984" w:type="dxa"/>
            <w:vAlign w:val="center"/>
          </w:tcPr>
          <w:p w14:paraId="222FCFA2" w14:textId="1AFC8576" w:rsidR="00016674" w:rsidRPr="00016674" w:rsidRDefault="00EF4FD9" w:rsidP="0073217E">
            <w:pPr>
              <w:spacing w:line="480" w:lineRule="auto"/>
              <w:contextualSpacing/>
              <w:rPr>
                <w:rFonts w:ascii="Times New Roman" w:eastAsia="Calibri" w:hAnsi="Times New Roman" w:cs="Times New Roman"/>
                <w:color w:val="FF0000"/>
                <w:sz w:val="20"/>
                <w:szCs w:val="20"/>
              </w:rPr>
            </w:pPr>
            <w:r>
              <w:rPr>
                <w:rFonts w:ascii="Times New Roman" w:eastAsia="Calibri" w:hAnsi="Times New Roman" w:cs="Times New Roman"/>
                <w:sz w:val="20"/>
                <w:szCs w:val="20"/>
              </w:rPr>
              <w:t>S</w:t>
            </w:r>
            <w:r w:rsidR="00016674" w:rsidRPr="00016674">
              <w:rPr>
                <w:rFonts w:ascii="Times New Roman" w:eastAsia="Calibri" w:hAnsi="Times New Roman" w:cs="Times New Roman"/>
                <w:sz w:val="20"/>
                <w:szCs w:val="20"/>
              </w:rPr>
              <w:t xml:space="preserve">oil-water </w:t>
            </w:r>
            <w:r>
              <w:rPr>
                <w:rFonts w:ascii="Times New Roman" w:eastAsia="Calibri" w:hAnsi="Times New Roman" w:cs="Times New Roman"/>
                <w:sz w:val="20"/>
                <w:szCs w:val="20"/>
              </w:rPr>
              <w:t>solution</w:t>
            </w:r>
            <w:r w:rsidR="00016674" w:rsidRPr="00016674">
              <w:rPr>
                <w:rFonts w:ascii="Times New Roman" w:eastAsia="Calibri" w:hAnsi="Times New Roman" w:cs="Times New Roman"/>
                <w:sz w:val="20"/>
                <w:szCs w:val="20"/>
              </w:rPr>
              <w:t xml:space="preserve"> (1:2.5) after mixing for 12 hours (MSZ-08-0206/2:1978)</w:t>
            </w:r>
          </w:p>
        </w:tc>
      </w:tr>
      <w:tr w:rsidR="00016674" w:rsidRPr="00016674" w14:paraId="0275749B" w14:textId="77777777" w:rsidTr="0073217E">
        <w:tc>
          <w:tcPr>
            <w:tcW w:w="3258" w:type="dxa"/>
            <w:vAlign w:val="center"/>
          </w:tcPr>
          <w:p w14:paraId="0CE63451" w14:textId="7E0983E1" w:rsidR="00016674" w:rsidRPr="00016674" w:rsidRDefault="00016674" w:rsidP="0073217E">
            <w:pPr>
              <w:spacing w:line="480" w:lineRule="auto"/>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 xml:space="preserve">Organic matter </w:t>
            </w:r>
          </w:p>
        </w:tc>
        <w:tc>
          <w:tcPr>
            <w:tcW w:w="5984" w:type="dxa"/>
            <w:vAlign w:val="center"/>
          </w:tcPr>
          <w:p w14:paraId="7671AFE2"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Modified Walkley-Black method (MSZ-08-0452:1980)</w:t>
            </w:r>
          </w:p>
        </w:tc>
      </w:tr>
      <w:tr w:rsidR="00016674" w:rsidRPr="00016674" w14:paraId="2DABAC04" w14:textId="77777777" w:rsidTr="0073217E">
        <w:tc>
          <w:tcPr>
            <w:tcW w:w="3258" w:type="dxa"/>
            <w:vAlign w:val="center"/>
          </w:tcPr>
          <w:p w14:paraId="6F070964"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Cation exchange capacity (CEC)</w:t>
            </w:r>
          </w:p>
        </w:tc>
        <w:tc>
          <w:tcPr>
            <w:tcW w:w="5984" w:type="dxa"/>
            <w:vAlign w:val="center"/>
          </w:tcPr>
          <w:p w14:paraId="7C002C2D"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 xml:space="preserve">Modified </w:t>
            </w:r>
            <w:proofErr w:type="spellStart"/>
            <w:r w:rsidRPr="00016674">
              <w:rPr>
                <w:rFonts w:ascii="Times New Roman" w:eastAsia="Calibri" w:hAnsi="Times New Roman" w:cs="Times New Roman"/>
                <w:sz w:val="20"/>
                <w:szCs w:val="20"/>
              </w:rPr>
              <w:t>Mehlich</w:t>
            </w:r>
            <w:proofErr w:type="spellEnd"/>
            <w:r w:rsidRPr="00016674">
              <w:rPr>
                <w:rFonts w:ascii="Times New Roman" w:eastAsia="Calibri" w:hAnsi="Times New Roman" w:cs="Times New Roman"/>
                <w:sz w:val="20"/>
                <w:szCs w:val="20"/>
              </w:rPr>
              <w:t xml:space="preserve"> method (MSZ-08-0215:1978)</w:t>
            </w:r>
          </w:p>
        </w:tc>
      </w:tr>
      <w:tr w:rsidR="00016674" w:rsidRPr="00016674" w14:paraId="30EEAAE9" w14:textId="77777777" w:rsidTr="0073217E">
        <w:tc>
          <w:tcPr>
            <w:tcW w:w="3258" w:type="dxa"/>
            <w:vAlign w:val="center"/>
          </w:tcPr>
          <w:p w14:paraId="2DF2DE0F" w14:textId="75775B86"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CaCO</w:t>
            </w:r>
            <w:r w:rsidRPr="00016674">
              <w:rPr>
                <w:rFonts w:ascii="Times New Roman" w:eastAsia="Calibri" w:hAnsi="Times New Roman" w:cs="Times New Roman"/>
                <w:sz w:val="20"/>
                <w:szCs w:val="20"/>
                <w:vertAlign w:val="subscript"/>
              </w:rPr>
              <w:t>3</w:t>
            </w:r>
            <w:r w:rsidRPr="00016674">
              <w:rPr>
                <w:rFonts w:ascii="Times New Roman" w:eastAsia="Calibri" w:hAnsi="Times New Roman" w:cs="Times New Roman"/>
                <w:sz w:val="20"/>
                <w:szCs w:val="20"/>
              </w:rPr>
              <w:t xml:space="preserve"> </w:t>
            </w:r>
          </w:p>
        </w:tc>
        <w:tc>
          <w:tcPr>
            <w:tcW w:w="5984" w:type="dxa"/>
            <w:vAlign w:val="center"/>
          </w:tcPr>
          <w:p w14:paraId="593DBFA9"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Scheibler gas-volumetric method (MSZ-08-0206/2:1978)</w:t>
            </w:r>
          </w:p>
        </w:tc>
      </w:tr>
      <w:tr w:rsidR="00016674" w:rsidRPr="00016674" w14:paraId="731874F4" w14:textId="77777777" w:rsidTr="0073217E">
        <w:tc>
          <w:tcPr>
            <w:tcW w:w="3258" w:type="dxa"/>
            <w:vAlign w:val="center"/>
          </w:tcPr>
          <w:p w14:paraId="4F1F716E" w14:textId="7EFF2454"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 xml:space="preserve">P and K </w:t>
            </w:r>
          </w:p>
        </w:tc>
        <w:tc>
          <w:tcPr>
            <w:tcW w:w="5984" w:type="dxa"/>
            <w:vAlign w:val="center"/>
          </w:tcPr>
          <w:p w14:paraId="044F5910"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Extraction with ammonium-acetate lactate (</w:t>
            </w:r>
            <w:proofErr w:type="spellStart"/>
            <w:r w:rsidRPr="00016674">
              <w:rPr>
                <w:rFonts w:ascii="Times New Roman" w:eastAsia="Calibri" w:hAnsi="Times New Roman" w:cs="Times New Roman"/>
                <w:sz w:val="20"/>
                <w:szCs w:val="20"/>
              </w:rPr>
              <w:t>Egnér</w:t>
            </w:r>
            <w:proofErr w:type="spellEnd"/>
            <w:r w:rsidRPr="00016674">
              <w:rPr>
                <w:rFonts w:ascii="Times New Roman" w:eastAsia="Calibri" w:hAnsi="Times New Roman" w:cs="Times New Roman"/>
                <w:sz w:val="20"/>
                <w:szCs w:val="20"/>
              </w:rPr>
              <w:t xml:space="preserve"> et al., 1960)</w:t>
            </w:r>
          </w:p>
        </w:tc>
      </w:tr>
      <w:tr w:rsidR="00016674" w:rsidRPr="00016674" w14:paraId="3059F4F7" w14:textId="77777777" w:rsidTr="0073217E">
        <w:tc>
          <w:tcPr>
            <w:tcW w:w="3258" w:type="dxa"/>
            <w:vAlign w:val="center"/>
          </w:tcPr>
          <w:p w14:paraId="0C4BB30C" w14:textId="42AAD56C"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Total nitrogen</w:t>
            </w:r>
          </w:p>
        </w:tc>
        <w:tc>
          <w:tcPr>
            <w:tcW w:w="5984" w:type="dxa"/>
            <w:vAlign w:val="center"/>
          </w:tcPr>
          <w:p w14:paraId="4F209752"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Kjeldahl method (ISO 11261:1995)</w:t>
            </w:r>
          </w:p>
        </w:tc>
      </w:tr>
      <w:tr w:rsidR="00016674" w:rsidRPr="00016674" w14:paraId="581B9296" w14:textId="77777777" w:rsidTr="0073217E">
        <w:tc>
          <w:tcPr>
            <w:tcW w:w="3258" w:type="dxa"/>
            <w:vAlign w:val="center"/>
          </w:tcPr>
          <w:p w14:paraId="061768D9" w14:textId="2ECA679A"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NH</w:t>
            </w:r>
            <w:r w:rsidRPr="00016674">
              <w:rPr>
                <w:rFonts w:ascii="Times New Roman" w:eastAsia="Calibri" w:hAnsi="Times New Roman" w:cs="Times New Roman"/>
                <w:sz w:val="20"/>
                <w:szCs w:val="20"/>
                <w:vertAlign w:val="subscript"/>
              </w:rPr>
              <w:t>4</w:t>
            </w:r>
            <w:r w:rsidRPr="00016674">
              <w:rPr>
                <w:rFonts w:ascii="Times New Roman" w:eastAsia="Calibri" w:hAnsi="Times New Roman" w:cs="Times New Roman"/>
                <w:sz w:val="20"/>
                <w:szCs w:val="20"/>
              </w:rPr>
              <w:t>-N and NO</w:t>
            </w:r>
            <w:r w:rsidRPr="00016674">
              <w:rPr>
                <w:rFonts w:ascii="Times New Roman" w:eastAsia="Calibri" w:hAnsi="Times New Roman" w:cs="Times New Roman"/>
                <w:sz w:val="20"/>
                <w:szCs w:val="20"/>
                <w:vertAlign w:val="subscript"/>
              </w:rPr>
              <w:t>3</w:t>
            </w:r>
            <w:r w:rsidRPr="00016674">
              <w:rPr>
                <w:rFonts w:ascii="Times New Roman" w:eastAsia="Calibri" w:hAnsi="Times New Roman" w:cs="Times New Roman"/>
                <w:sz w:val="20"/>
                <w:szCs w:val="20"/>
              </w:rPr>
              <w:t xml:space="preserve">-N </w:t>
            </w:r>
          </w:p>
        </w:tc>
        <w:tc>
          <w:tcPr>
            <w:tcW w:w="5984" w:type="dxa"/>
            <w:vAlign w:val="center"/>
          </w:tcPr>
          <w:p w14:paraId="4B1DFA63" w14:textId="77777777" w:rsidR="00016674" w:rsidRPr="00016674" w:rsidRDefault="00016674" w:rsidP="0073217E">
            <w:pPr>
              <w:spacing w:line="480" w:lineRule="auto"/>
              <w:contextualSpacing/>
              <w:rPr>
                <w:rFonts w:ascii="Times New Roman" w:eastAsia="Calibri" w:hAnsi="Times New Roman" w:cs="Times New Roman"/>
                <w:color w:val="FF0000"/>
                <w:sz w:val="20"/>
                <w:szCs w:val="20"/>
              </w:rPr>
            </w:pPr>
            <w:proofErr w:type="spellStart"/>
            <w:r w:rsidRPr="00016674">
              <w:rPr>
                <w:rFonts w:ascii="Times New Roman" w:eastAsia="Calibri" w:hAnsi="Times New Roman" w:cs="Times New Roman"/>
                <w:sz w:val="20"/>
                <w:szCs w:val="20"/>
              </w:rPr>
              <w:t>KCl</w:t>
            </w:r>
            <w:proofErr w:type="spellEnd"/>
            <w:r w:rsidRPr="00016674">
              <w:rPr>
                <w:rFonts w:ascii="Times New Roman" w:eastAsia="Calibri" w:hAnsi="Times New Roman" w:cs="Times New Roman"/>
                <w:sz w:val="20"/>
                <w:szCs w:val="20"/>
              </w:rPr>
              <w:t xml:space="preserve"> extracts (MSZ 20135:1999)</w:t>
            </w:r>
          </w:p>
        </w:tc>
      </w:tr>
      <w:tr w:rsidR="00016674" w:rsidRPr="00016674" w14:paraId="13AFE20C" w14:textId="77777777" w:rsidTr="0073217E">
        <w:tc>
          <w:tcPr>
            <w:tcW w:w="3258" w:type="dxa"/>
            <w:vAlign w:val="center"/>
          </w:tcPr>
          <w:p w14:paraId="34D3708A" w14:textId="25F550D8"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Pseudo-total As</w:t>
            </w:r>
          </w:p>
        </w:tc>
        <w:tc>
          <w:tcPr>
            <w:tcW w:w="5984" w:type="dxa"/>
            <w:vAlign w:val="center"/>
          </w:tcPr>
          <w:p w14:paraId="2E913520" w14:textId="74F91FBD" w:rsidR="00016674" w:rsidRPr="00016674" w:rsidRDefault="00016674" w:rsidP="0073217E">
            <w:pPr>
              <w:spacing w:line="480" w:lineRule="auto"/>
              <w:contextualSpacing/>
              <w:rPr>
                <w:rFonts w:ascii="Times New Roman" w:eastAsia="Calibri" w:hAnsi="Times New Roman" w:cs="Times New Roman"/>
                <w:color w:val="FF0000"/>
                <w:sz w:val="20"/>
                <w:szCs w:val="20"/>
              </w:rPr>
            </w:pPr>
            <w:r w:rsidRPr="00016674">
              <w:rPr>
                <w:rFonts w:ascii="Times New Roman" w:eastAsia="Calibri" w:hAnsi="Times New Roman" w:cs="Times New Roman"/>
                <w:sz w:val="20"/>
                <w:szCs w:val="20"/>
              </w:rPr>
              <w:t xml:space="preserve">Aqua-regia </w:t>
            </w:r>
            <w:r w:rsidR="00EF4FD9">
              <w:rPr>
                <w:rFonts w:ascii="Times New Roman" w:eastAsia="Calibri" w:hAnsi="Times New Roman" w:cs="Times New Roman"/>
                <w:sz w:val="20"/>
                <w:szCs w:val="20"/>
              </w:rPr>
              <w:t>digestion</w:t>
            </w:r>
            <w:r w:rsidRPr="00016674">
              <w:rPr>
                <w:rFonts w:ascii="Times New Roman" w:eastAsia="Calibri" w:hAnsi="Times New Roman" w:cs="Times New Roman"/>
                <w:sz w:val="20"/>
                <w:szCs w:val="20"/>
              </w:rPr>
              <w:t xml:space="preserve"> (MSZ 21470-50:2006)</w:t>
            </w:r>
          </w:p>
        </w:tc>
      </w:tr>
      <w:tr w:rsidR="00016674" w:rsidRPr="00016674" w14:paraId="6A2837F5" w14:textId="77777777" w:rsidTr="0073217E">
        <w:tc>
          <w:tcPr>
            <w:tcW w:w="3258" w:type="dxa"/>
            <w:vAlign w:val="center"/>
          </w:tcPr>
          <w:p w14:paraId="5D7F9C88" w14:textId="4F2B3666" w:rsidR="00016674" w:rsidRPr="00016674" w:rsidRDefault="00016674" w:rsidP="0073217E">
            <w:pPr>
              <w:spacing w:line="480" w:lineRule="auto"/>
              <w:contextualSpacing/>
              <w:rPr>
                <w:rFonts w:ascii="Times New Roman" w:eastAsia="Calibri" w:hAnsi="Times New Roman" w:cs="Times New Roman"/>
                <w:sz w:val="20"/>
                <w:szCs w:val="20"/>
              </w:rPr>
            </w:pPr>
            <w:r>
              <w:rPr>
                <w:rFonts w:ascii="Times New Roman" w:eastAsia="Calibri" w:hAnsi="Times New Roman" w:cs="Times New Roman"/>
                <w:sz w:val="20"/>
                <w:szCs w:val="20"/>
              </w:rPr>
              <w:t xml:space="preserve">Water-soluble </w:t>
            </w:r>
            <w:r w:rsidRPr="00016674">
              <w:rPr>
                <w:rFonts w:ascii="Times New Roman" w:eastAsia="Calibri" w:hAnsi="Times New Roman" w:cs="Times New Roman"/>
                <w:sz w:val="20"/>
                <w:szCs w:val="20"/>
              </w:rPr>
              <w:t xml:space="preserve">As </w:t>
            </w:r>
          </w:p>
        </w:tc>
        <w:tc>
          <w:tcPr>
            <w:tcW w:w="5984" w:type="dxa"/>
            <w:vAlign w:val="center"/>
          </w:tcPr>
          <w:p w14:paraId="03A4F3C3" w14:textId="5501CF2B" w:rsidR="00016674" w:rsidRPr="00016674" w:rsidRDefault="00016674" w:rsidP="0073217E">
            <w:pPr>
              <w:spacing w:line="480" w:lineRule="auto"/>
              <w:contextualSpacing/>
              <w:rPr>
                <w:rFonts w:ascii="Times New Roman" w:eastAsia="Calibri" w:hAnsi="Times New Roman" w:cs="Times New Roman"/>
                <w:sz w:val="20"/>
                <w:szCs w:val="20"/>
              </w:rPr>
            </w:pPr>
            <w:r w:rsidRPr="00016674">
              <w:rPr>
                <w:rFonts w:ascii="Times New Roman" w:eastAsia="Calibri" w:hAnsi="Times New Roman" w:cs="Times New Roman"/>
                <w:sz w:val="20"/>
                <w:szCs w:val="20"/>
              </w:rPr>
              <w:t xml:space="preserve"> </w:t>
            </w:r>
            <w:r w:rsidR="00EF4FD9">
              <w:rPr>
                <w:rFonts w:ascii="Times New Roman" w:eastAsia="Calibri" w:hAnsi="Times New Roman" w:cs="Times New Roman"/>
                <w:sz w:val="20"/>
                <w:szCs w:val="20"/>
              </w:rPr>
              <w:t>S</w:t>
            </w:r>
            <w:r w:rsidR="00EF4FD9">
              <w:rPr>
                <w:rFonts w:ascii="Times New Roman" w:hAnsi="Times New Roman" w:cs="Times New Roman"/>
                <w:color w:val="000000" w:themeColor="text1"/>
                <w:sz w:val="20"/>
                <w:szCs w:val="20"/>
              </w:rPr>
              <w:t>oil-water solution (1:10)</w:t>
            </w:r>
          </w:p>
        </w:tc>
      </w:tr>
      <w:bookmarkEnd w:id="2"/>
    </w:tbl>
    <w:p w14:paraId="23F7B415" w14:textId="77777777" w:rsidR="00016674" w:rsidRPr="00D55DF5" w:rsidRDefault="00016674" w:rsidP="00016674">
      <w:pPr>
        <w:spacing w:after="200" w:line="360" w:lineRule="auto"/>
        <w:rPr>
          <w:rFonts w:ascii="Times New Roman" w:eastAsia="Calibri" w:hAnsi="Times New Roman" w:cs="Times New Roman"/>
          <w:color w:val="000000"/>
          <w:kern w:val="24"/>
        </w:rPr>
      </w:pPr>
    </w:p>
    <w:p w14:paraId="70C449B1" w14:textId="1D481F9E" w:rsidR="00016674" w:rsidRPr="00016674" w:rsidRDefault="00016674" w:rsidP="00016674">
      <w:pPr>
        <w:spacing w:after="200" w:line="480" w:lineRule="auto"/>
        <w:jc w:val="both"/>
        <w:rPr>
          <w:rFonts w:ascii="Times New Roman" w:eastAsia="Calibri" w:hAnsi="Times New Roman" w:cs="Times New Roman"/>
          <w:bCs/>
          <w:color w:val="000000"/>
          <w:kern w:val="24"/>
          <w:sz w:val="20"/>
          <w:szCs w:val="20"/>
        </w:rPr>
      </w:pPr>
      <w:r w:rsidRPr="00016674">
        <w:rPr>
          <w:rFonts w:ascii="Times New Roman" w:eastAsia="Calibri" w:hAnsi="Times New Roman" w:cs="Times New Roman"/>
          <w:b/>
          <w:color w:val="000000"/>
          <w:kern w:val="24"/>
          <w:sz w:val="20"/>
          <w:szCs w:val="20"/>
        </w:rPr>
        <w:t xml:space="preserve">Table S1 </w:t>
      </w:r>
      <w:r w:rsidRPr="00016674">
        <w:rPr>
          <w:rFonts w:ascii="Times New Roman" w:eastAsia="Calibri" w:hAnsi="Times New Roman" w:cs="Times New Roman"/>
          <w:bCs/>
          <w:color w:val="000000"/>
          <w:kern w:val="24"/>
          <w:sz w:val="20"/>
          <w:szCs w:val="20"/>
        </w:rPr>
        <w:t>Analytical methods used for the chemical characterization of soil</w:t>
      </w:r>
      <w:r w:rsidR="00DC4EB3">
        <w:rPr>
          <w:rFonts w:ascii="Times New Roman" w:eastAsia="Calibri" w:hAnsi="Times New Roman" w:cs="Times New Roman"/>
          <w:bCs/>
          <w:color w:val="000000"/>
          <w:kern w:val="24"/>
          <w:sz w:val="20"/>
          <w:szCs w:val="20"/>
        </w:rPr>
        <w:t xml:space="preserve"> </w:t>
      </w:r>
      <w:r w:rsidR="00DC4EB3">
        <w:rPr>
          <w:rFonts w:ascii="Times New Roman" w:eastAsia="Calibri" w:hAnsi="Times New Roman" w:cs="Times New Roman"/>
          <w:bCs/>
          <w:color w:val="000000"/>
          <w:kern w:val="24"/>
          <w:sz w:val="20"/>
          <w:szCs w:val="20"/>
        </w:rPr>
        <w:fldChar w:fldCharType="begin" w:fldLock="1"/>
      </w:r>
      <w:r w:rsidR="00DC4EB3">
        <w:rPr>
          <w:rFonts w:ascii="Times New Roman" w:eastAsia="Calibri" w:hAnsi="Times New Roman" w:cs="Times New Roman"/>
          <w:bCs/>
          <w:color w:val="000000"/>
          <w:kern w:val="24"/>
          <w:sz w:val="20"/>
          <w:szCs w:val="20"/>
        </w:rPr>
        <w:instrText>ADDIN CSL_CITATION {"citationItems":[{"id":"ITEM-1","itemData":{"DOI":"10.1186/s43014-019-0014-3","abstract":"Background: The uptake of arsenic by vegetables from soil irrigated with arsenic enriched groundwater poses a major health hazard. The edible portion of these vegetables transfer arsenic to the human beings. The uptake of arsenic was studied in bean (Phaseolus vulgaris L.) and lettuce (Lactuca sativa L.) in a controlled greenhouse pot culture with calcareous sandy soil as substrate. The plants were irrigated with water containing sodium arsenate at concentrations 0.1, 0.25 and 0.5 mg L − 1. The total arsenic concentration of the different plants parts was determined by ICP-MS, following microwave-assisted acid digestion. The change in plant biomass production and essential macroelements (Mg, P, K) and microelements concentration (Fe, Mn, Cu, Zn) was also studied. Results: The As concentration in the bean was in the order: root&gt;stem&gt;leaf&gt;bean fruit and in lettuce: root&gt;leaves. At the highest dose (0.5 mg L − 1) the As concentration in the bean fruit and lettuce leaves was 22.1 μg kg − 1 and 1207.5 μg kg − 1 DW, respectively. Increasing As concentration in the irrigation water resulted in decreased edible biomass production in bean, while in lettuce the edible biomass production increased. Neither plant exhibited any visible toxicity symptoms. No significant change was observed in the macro and microelements concentration. The total and the water-soluble arsenic in soil amounted to 3.5 mg kg − 1 and 0.023 mg kg − 1 , respectively. The transfer factor was found to increase with increase in the As treatment applied. The transfer factor range for bean from root to fruit was 0.003-0.005, and for lettuce from root to leaves was 0.14-0.24.","author":[{"dropping-particle":"","family":"Sandil","given":"Sirat","non-dropping-particle":"","parse-names":false,"suffix":""},{"dropping-particle":"","family":"Dobosy","given":"Péter","non-dropping-particle":"","parse-names":false,"suffix":""},{"dropping-particle":"","family":"Kröpfl","given":"Krisztina","non-dropping-particle":"","parse-names":false,"suffix":""},{"dropping-particle":"","family":"Füzy","given":"Anna","non-dropping-particle":"","parse-names":false,"suffix":""},{"dropping-particle":"","family":"Óvári","given":"Mihály","non-dropping-particle":"","parse-names":false,"suffix":""},{"dropping-particle":"","family":"Záray","given":"Gyula","non-dropping-particle":"","parse-names":false,"suffix":""}],"container-title":"Food Production, Processing and Nutrition","id":"ITEM-1","issue":"1","issued":{"date-parts":[["2019","12","27"]]},"page":"14","publisher":"Springer Science and Business Media LLC","title":"Effect of irrigation water containing arsenic on elemental composition of bean and lettuce plants cultivated in calcareous sandy soil","type":"article-journal","volume":"1"},"uris":["http://www.mendeley.com/documents/?uuid=39ad05d4-4ab2-382b-8343-3efe59f90805"]}],"mendeley":{"formattedCitation":"(Sandil et al. 2019)","manualFormatting":"(Sandil et al. 2019)","plainTextFormattedCitation":"(Sandil et al. 2019)","previouslyFormattedCitation":"(Sandil et al., 2019)"},"properties":{"noteIndex":0},"schema":"https://github.com/citation-style-language/schema/raw/master/csl-citation.json"}</w:instrText>
      </w:r>
      <w:r w:rsidR="00DC4EB3">
        <w:rPr>
          <w:rFonts w:ascii="Times New Roman" w:eastAsia="Calibri" w:hAnsi="Times New Roman" w:cs="Times New Roman"/>
          <w:bCs/>
          <w:color w:val="000000"/>
          <w:kern w:val="24"/>
          <w:sz w:val="20"/>
          <w:szCs w:val="20"/>
        </w:rPr>
        <w:fldChar w:fldCharType="separate"/>
      </w:r>
      <w:r w:rsidR="00DC4EB3" w:rsidRPr="00DC4EB3">
        <w:rPr>
          <w:rFonts w:ascii="Times New Roman" w:eastAsia="Calibri" w:hAnsi="Times New Roman" w:cs="Times New Roman"/>
          <w:bCs/>
          <w:noProof/>
          <w:color w:val="000000"/>
          <w:kern w:val="24"/>
          <w:sz w:val="20"/>
          <w:szCs w:val="20"/>
        </w:rPr>
        <w:t>(Sandil et al. 2019)</w:t>
      </w:r>
      <w:r w:rsidR="00DC4EB3">
        <w:rPr>
          <w:rFonts w:ascii="Times New Roman" w:eastAsia="Calibri" w:hAnsi="Times New Roman" w:cs="Times New Roman"/>
          <w:bCs/>
          <w:color w:val="000000"/>
          <w:kern w:val="24"/>
          <w:sz w:val="20"/>
          <w:szCs w:val="20"/>
        </w:rPr>
        <w:fldChar w:fldCharType="end"/>
      </w:r>
    </w:p>
    <w:p w14:paraId="3C137EFB" w14:textId="76541954" w:rsidR="006C15DA" w:rsidRDefault="006C15DA" w:rsidP="006C15DA">
      <w:pPr>
        <w:spacing w:line="480" w:lineRule="auto"/>
        <w:jc w:val="both"/>
        <w:rPr>
          <w:rFonts w:ascii="Times New Roman" w:hAnsi="Times New Roman" w:cs="Times New Roman"/>
          <w:color w:val="000000" w:themeColor="text1"/>
          <w:sz w:val="20"/>
          <w:szCs w:val="20"/>
        </w:rPr>
      </w:pPr>
    </w:p>
    <w:tbl>
      <w:tblPr>
        <w:tblpPr w:leftFromText="180" w:rightFromText="180" w:vertAnchor="text" w:horzAnchor="margin" w:tblpX="535" w:tblpY="292"/>
        <w:tblW w:w="7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990"/>
        <w:gridCol w:w="1000"/>
        <w:gridCol w:w="1070"/>
        <w:gridCol w:w="1075"/>
        <w:gridCol w:w="1080"/>
        <w:gridCol w:w="861"/>
      </w:tblGrid>
      <w:tr w:rsidR="00AB4BA1" w:rsidRPr="0076380C" w14:paraId="2424FB3D" w14:textId="77777777" w:rsidTr="00AB4BA1">
        <w:trPr>
          <w:trHeight w:val="319"/>
        </w:trPr>
        <w:tc>
          <w:tcPr>
            <w:tcW w:w="2250" w:type="dxa"/>
            <w:gridSpan w:val="2"/>
            <w:vMerge w:val="restart"/>
            <w:shd w:val="clear" w:color="auto" w:fill="auto"/>
            <w:noWrap/>
            <w:vAlign w:val="bottom"/>
            <w:hideMark/>
          </w:tcPr>
          <w:p w14:paraId="2909AB10"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p>
        </w:tc>
        <w:tc>
          <w:tcPr>
            <w:tcW w:w="5035" w:type="dxa"/>
            <w:gridSpan w:val="5"/>
            <w:shd w:val="clear" w:color="auto" w:fill="auto"/>
            <w:noWrap/>
            <w:vAlign w:val="bottom"/>
            <w:hideMark/>
          </w:tcPr>
          <w:p w14:paraId="72F46072" w14:textId="77777777" w:rsidR="0076380C" w:rsidRPr="00CE271C" w:rsidRDefault="0076380C" w:rsidP="00AB4BA1">
            <w:pPr>
              <w:spacing w:after="0" w:line="240" w:lineRule="auto"/>
              <w:jc w:val="center"/>
              <w:rPr>
                <w:rFonts w:ascii="Times New Roman" w:eastAsia="Times New Roman" w:hAnsi="Times New Roman" w:cs="Times New Roman"/>
                <w:b/>
                <w:color w:val="000000"/>
                <w:sz w:val="20"/>
                <w:szCs w:val="20"/>
                <w:lang w:eastAsia="en-GB"/>
              </w:rPr>
            </w:pPr>
            <w:r w:rsidRPr="00CE271C">
              <w:rPr>
                <w:rFonts w:ascii="Times New Roman" w:eastAsia="Times New Roman" w:hAnsi="Times New Roman" w:cs="Times New Roman"/>
                <w:b/>
                <w:color w:val="000000"/>
                <w:sz w:val="20"/>
                <w:szCs w:val="20"/>
                <w:lang w:eastAsia="en-GB"/>
              </w:rPr>
              <w:t>Plant development</w:t>
            </w:r>
            <w:r w:rsidRPr="0076380C">
              <w:rPr>
                <w:rFonts w:ascii="Times New Roman" w:eastAsia="Times New Roman" w:hAnsi="Times New Roman" w:cs="Times New Roman"/>
                <w:b/>
                <w:color w:val="000000"/>
                <w:sz w:val="20"/>
                <w:szCs w:val="20"/>
                <w:lang w:eastAsia="en-GB"/>
              </w:rPr>
              <w:t>al</w:t>
            </w:r>
            <w:r w:rsidRPr="00CE271C">
              <w:rPr>
                <w:rFonts w:ascii="Times New Roman" w:eastAsia="Times New Roman" w:hAnsi="Times New Roman" w:cs="Times New Roman"/>
                <w:b/>
                <w:color w:val="000000"/>
                <w:sz w:val="20"/>
                <w:szCs w:val="20"/>
                <w:lang w:eastAsia="en-GB"/>
              </w:rPr>
              <w:t xml:space="preserve"> stages</w:t>
            </w:r>
            <w:r w:rsidRPr="0076380C">
              <w:rPr>
                <w:rFonts w:ascii="Times New Roman" w:eastAsia="Times New Roman" w:hAnsi="Times New Roman" w:cs="Times New Roman"/>
                <w:b/>
                <w:color w:val="000000"/>
                <w:sz w:val="20"/>
                <w:szCs w:val="20"/>
                <w:lang w:eastAsia="en-GB"/>
              </w:rPr>
              <w:t xml:space="preserve"> </w:t>
            </w:r>
          </w:p>
        </w:tc>
      </w:tr>
      <w:tr w:rsidR="00AB4BA1" w:rsidRPr="0076380C" w14:paraId="4BCB1FC5" w14:textId="77777777" w:rsidTr="00AB4BA1">
        <w:trPr>
          <w:trHeight w:val="319"/>
        </w:trPr>
        <w:tc>
          <w:tcPr>
            <w:tcW w:w="2250" w:type="dxa"/>
            <w:gridSpan w:val="2"/>
            <w:vMerge/>
            <w:shd w:val="clear" w:color="auto" w:fill="auto"/>
            <w:noWrap/>
            <w:vAlign w:val="bottom"/>
            <w:hideMark/>
          </w:tcPr>
          <w:p w14:paraId="39C71685"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p>
        </w:tc>
        <w:tc>
          <w:tcPr>
            <w:tcW w:w="2070" w:type="dxa"/>
            <w:gridSpan w:val="2"/>
            <w:shd w:val="clear" w:color="auto" w:fill="auto"/>
            <w:noWrap/>
            <w:vAlign w:val="bottom"/>
            <w:hideMark/>
          </w:tcPr>
          <w:p w14:paraId="25B7D179" w14:textId="77777777"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Lettuce (2 level factor)</w:t>
            </w:r>
          </w:p>
        </w:tc>
        <w:tc>
          <w:tcPr>
            <w:tcW w:w="2965" w:type="dxa"/>
            <w:gridSpan w:val="3"/>
            <w:shd w:val="clear" w:color="auto" w:fill="auto"/>
            <w:noWrap/>
            <w:vAlign w:val="bottom"/>
            <w:hideMark/>
          </w:tcPr>
          <w:p w14:paraId="17EBCAAD" w14:textId="77777777"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Bean (3 level factor)</w:t>
            </w:r>
          </w:p>
        </w:tc>
      </w:tr>
      <w:tr w:rsidR="00AB4BA1" w:rsidRPr="0076380C" w14:paraId="66DF71FE" w14:textId="77777777" w:rsidTr="00AB4BA1">
        <w:trPr>
          <w:trHeight w:val="319"/>
        </w:trPr>
        <w:tc>
          <w:tcPr>
            <w:tcW w:w="2250" w:type="dxa"/>
            <w:gridSpan w:val="2"/>
            <w:vMerge/>
            <w:shd w:val="clear" w:color="auto" w:fill="auto"/>
            <w:noWrap/>
            <w:vAlign w:val="bottom"/>
            <w:hideMark/>
          </w:tcPr>
          <w:p w14:paraId="4A8EA900"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p>
        </w:tc>
        <w:tc>
          <w:tcPr>
            <w:tcW w:w="1000" w:type="dxa"/>
            <w:shd w:val="clear" w:color="auto" w:fill="auto"/>
            <w:noWrap/>
            <w:vAlign w:val="bottom"/>
            <w:hideMark/>
          </w:tcPr>
          <w:p w14:paraId="5DF63612"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Young</w:t>
            </w:r>
            <w:r w:rsidRPr="0076380C">
              <w:rPr>
                <w:rFonts w:ascii="Times New Roman" w:eastAsia="Times New Roman" w:hAnsi="Times New Roman" w:cs="Times New Roman"/>
                <w:color w:val="000000"/>
                <w:sz w:val="20"/>
                <w:szCs w:val="20"/>
                <w:lang w:eastAsia="en-GB"/>
              </w:rPr>
              <w:t xml:space="preserve"> </w:t>
            </w:r>
          </w:p>
        </w:tc>
        <w:tc>
          <w:tcPr>
            <w:tcW w:w="1070" w:type="dxa"/>
            <w:shd w:val="clear" w:color="auto" w:fill="auto"/>
            <w:noWrap/>
            <w:vAlign w:val="bottom"/>
            <w:hideMark/>
          </w:tcPr>
          <w:p w14:paraId="49853EE8"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Mature</w:t>
            </w:r>
          </w:p>
        </w:tc>
        <w:tc>
          <w:tcPr>
            <w:tcW w:w="1075" w:type="dxa"/>
            <w:shd w:val="clear" w:color="auto" w:fill="auto"/>
            <w:noWrap/>
            <w:vAlign w:val="bottom"/>
            <w:hideMark/>
          </w:tcPr>
          <w:p w14:paraId="17CB397A"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Young</w:t>
            </w:r>
          </w:p>
        </w:tc>
        <w:tc>
          <w:tcPr>
            <w:tcW w:w="1080" w:type="dxa"/>
            <w:shd w:val="clear" w:color="auto" w:fill="auto"/>
            <w:noWrap/>
            <w:vAlign w:val="bottom"/>
            <w:hideMark/>
          </w:tcPr>
          <w:p w14:paraId="6A68C613"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F</w:t>
            </w:r>
            <w:r w:rsidRPr="00CE271C">
              <w:rPr>
                <w:rFonts w:ascii="Times New Roman" w:eastAsia="Times New Roman" w:hAnsi="Times New Roman" w:cs="Times New Roman"/>
                <w:color w:val="000000"/>
                <w:sz w:val="20"/>
                <w:szCs w:val="20"/>
                <w:lang w:eastAsia="en-GB"/>
              </w:rPr>
              <w:t>lowering</w:t>
            </w:r>
          </w:p>
        </w:tc>
        <w:tc>
          <w:tcPr>
            <w:tcW w:w="810" w:type="dxa"/>
            <w:shd w:val="clear" w:color="auto" w:fill="auto"/>
            <w:noWrap/>
            <w:vAlign w:val="bottom"/>
            <w:hideMark/>
          </w:tcPr>
          <w:p w14:paraId="5083AF0D"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F</w:t>
            </w:r>
            <w:r w:rsidRPr="00CE271C">
              <w:rPr>
                <w:rFonts w:ascii="Times New Roman" w:eastAsia="Times New Roman" w:hAnsi="Times New Roman" w:cs="Times New Roman"/>
                <w:color w:val="000000"/>
                <w:sz w:val="20"/>
                <w:szCs w:val="20"/>
                <w:lang w:eastAsia="en-GB"/>
              </w:rPr>
              <w:t>ruiting</w:t>
            </w:r>
          </w:p>
        </w:tc>
      </w:tr>
      <w:tr w:rsidR="00AB4BA1" w:rsidRPr="0076380C" w14:paraId="1F875186" w14:textId="77777777" w:rsidTr="00AB4BA1">
        <w:trPr>
          <w:trHeight w:val="319"/>
        </w:trPr>
        <w:tc>
          <w:tcPr>
            <w:tcW w:w="1260" w:type="dxa"/>
            <w:vMerge w:val="restart"/>
            <w:shd w:val="clear" w:color="auto" w:fill="auto"/>
            <w:vAlign w:val="center"/>
            <w:hideMark/>
          </w:tcPr>
          <w:p w14:paraId="2525092C" w14:textId="77777777" w:rsidR="0076380C" w:rsidRPr="00CE271C" w:rsidRDefault="0076380C" w:rsidP="00AB4BA1">
            <w:pPr>
              <w:spacing w:after="0" w:line="240" w:lineRule="auto"/>
              <w:jc w:val="center"/>
              <w:rPr>
                <w:rFonts w:ascii="Times New Roman" w:eastAsia="Times New Roman" w:hAnsi="Times New Roman" w:cs="Times New Roman"/>
                <w:b/>
                <w:color w:val="000000"/>
                <w:sz w:val="20"/>
                <w:szCs w:val="20"/>
                <w:lang w:eastAsia="en-GB"/>
              </w:rPr>
            </w:pPr>
            <w:r w:rsidRPr="00CE271C">
              <w:rPr>
                <w:rFonts w:ascii="Times New Roman" w:eastAsia="Times New Roman" w:hAnsi="Times New Roman" w:cs="Times New Roman"/>
                <w:b/>
                <w:color w:val="000000"/>
                <w:sz w:val="20"/>
                <w:szCs w:val="20"/>
                <w:lang w:eastAsia="en-GB"/>
              </w:rPr>
              <w:t xml:space="preserve">Arsenic </w:t>
            </w:r>
            <w:r w:rsidRPr="0076380C">
              <w:rPr>
                <w:rFonts w:ascii="Times New Roman" w:eastAsia="Times New Roman" w:hAnsi="Times New Roman" w:cs="Times New Roman"/>
                <w:b/>
                <w:color w:val="000000"/>
                <w:sz w:val="20"/>
                <w:szCs w:val="20"/>
                <w:lang w:eastAsia="en-GB"/>
              </w:rPr>
              <w:t>t</w:t>
            </w:r>
            <w:r w:rsidRPr="00CE271C">
              <w:rPr>
                <w:rFonts w:ascii="Times New Roman" w:eastAsia="Times New Roman" w:hAnsi="Times New Roman" w:cs="Times New Roman"/>
                <w:b/>
                <w:color w:val="000000"/>
                <w:sz w:val="20"/>
                <w:szCs w:val="20"/>
                <w:lang w:eastAsia="en-GB"/>
              </w:rPr>
              <w:t xml:space="preserve">reatment </w:t>
            </w:r>
            <w:r w:rsidRPr="00CE271C">
              <w:rPr>
                <w:rFonts w:ascii="Times New Roman" w:eastAsia="Times New Roman" w:hAnsi="Times New Roman" w:cs="Times New Roman"/>
                <w:color w:val="000000"/>
                <w:sz w:val="20"/>
                <w:szCs w:val="20"/>
                <w:lang w:eastAsia="en-GB"/>
              </w:rPr>
              <w:t>(4 level factor)</w:t>
            </w:r>
          </w:p>
        </w:tc>
        <w:tc>
          <w:tcPr>
            <w:tcW w:w="990" w:type="dxa"/>
            <w:shd w:val="clear" w:color="auto" w:fill="auto"/>
            <w:noWrap/>
            <w:vAlign w:val="bottom"/>
            <w:hideMark/>
          </w:tcPr>
          <w:p w14:paraId="18DDA60B" w14:textId="4E56D95B"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0 mg/</w:t>
            </w:r>
            <w:r w:rsidR="008727EE">
              <w:rPr>
                <w:rFonts w:ascii="Times New Roman" w:eastAsia="Times New Roman" w:hAnsi="Times New Roman" w:cs="Times New Roman"/>
                <w:color w:val="000000"/>
                <w:sz w:val="20"/>
                <w:szCs w:val="20"/>
                <w:lang w:eastAsia="en-GB"/>
              </w:rPr>
              <w:t>L</w:t>
            </w:r>
          </w:p>
        </w:tc>
        <w:tc>
          <w:tcPr>
            <w:tcW w:w="1000" w:type="dxa"/>
            <w:shd w:val="clear" w:color="auto" w:fill="auto"/>
            <w:noWrap/>
            <w:vAlign w:val="bottom"/>
            <w:hideMark/>
          </w:tcPr>
          <w:p w14:paraId="0A37AB4C" w14:textId="4F40942C" w:rsidR="0076380C" w:rsidRPr="0076380C" w:rsidRDefault="00AB4BA1" w:rsidP="00AB4BA1">
            <w:pPr>
              <w:spacing w:after="0" w:line="240" w:lineRule="auto"/>
              <w:rPr>
                <w:rFonts w:ascii="Times New Roman" w:eastAsia="Times New Roman" w:hAnsi="Times New Roman" w:cs="Times New Roman"/>
                <w:color w:val="000000"/>
                <w:sz w:val="20"/>
                <w:szCs w:val="20"/>
                <w:lang w:eastAsia="en-GB"/>
              </w:rPr>
            </w:pPr>
            <w:r>
              <w:rPr>
                <w:noProof/>
                <w:lang w:val="hu-HU" w:eastAsia="hu-HU"/>
              </w:rPr>
              <w:drawing>
                <wp:inline distT="0" distB="0" distL="0" distR="0" wp14:anchorId="7B8131EC" wp14:editId="2665380D">
                  <wp:extent cx="494665" cy="410869"/>
                  <wp:effectExtent l="0" t="0" r="635"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14B33809"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0" w:type="dxa"/>
            <w:shd w:val="clear" w:color="auto" w:fill="auto"/>
            <w:noWrap/>
            <w:vAlign w:val="bottom"/>
            <w:hideMark/>
          </w:tcPr>
          <w:p w14:paraId="3A79784D" w14:textId="61431A86"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665D78F1" wp14:editId="2AF5B5D4">
                  <wp:extent cx="494665" cy="410869"/>
                  <wp:effectExtent l="0" t="0" r="635" b="825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6109034E"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5" w:type="dxa"/>
            <w:shd w:val="clear" w:color="auto" w:fill="auto"/>
            <w:noWrap/>
            <w:vAlign w:val="bottom"/>
            <w:hideMark/>
          </w:tcPr>
          <w:p w14:paraId="31D09F4E" w14:textId="325C21B1"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13854FF5" wp14:editId="1EDE6573">
                  <wp:extent cx="357845" cy="586740"/>
                  <wp:effectExtent l="0" t="0" r="4445" b="381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2B7C3041"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80" w:type="dxa"/>
            <w:shd w:val="clear" w:color="auto" w:fill="auto"/>
            <w:noWrap/>
            <w:vAlign w:val="bottom"/>
            <w:hideMark/>
          </w:tcPr>
          <w:p w14:paraId="5653FAF0" w14:textId="085FD1D8"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5F01FB6C" wp14:editId="6A1741A9">
                  <wp:extent cx="357845" cy="586740"/>
                  <wp:effectExtent l="0" t="0" r="4445" b="381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6ECEB468"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810" w:type="dxa"/>
            <w:shd w:val="clear" w:color="auto" w:fill="auto"/>
            <w:noWrap/>
            <w:vAlign w:val="bottom"/>
            <w:hideMark/>
          </w:tcPr>
          <w:p w14:paraId="0AEBF737" w14:textId="1ED78CCD"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4E4145ED" wp14:editId="39246A71">
                  <wp:extent cx="357845" cy="586740"/>
                  <wp:effectExtent l="0" t="0" r="4445"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1977AF28"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r>
      <w:tr w:rsidR="00AB4BA1" w:rsidRPr="0076380C" w14:paraId="5923A4FB" w14:textId="77777777" w:rsidTr="00AB4BA1">
        <w:trPr>
          <w:trHeight w:val="319"/>
        </w:trPr>
        <w:tc>
          <w:tcPr>
            <w:tcW w:w="1260" w:type="dxa"/>
            <w:vMerge/>
            <w:vAlign w:val="center"/>
            <w:hideMark/>
          </w:tcPr>
          <w:p w14:paraId="254F39CE"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p>
        </w:tc>
        <w:tc>
          <w:tcPr>
            <w:tcW w:w="990" w:type="dxa"/>
            <w:shd w:val="clear" w:color="auto" w:fill="auto"/>
            <w:noWrap/>
            <w:vAlign w:val="bottom"/>
            <w:hideMark/>
          </w:tcPr>
          <w:p w14:paraId="6B69492F" w14:textId="6C47E5D5"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0.1 mg/</w:t>
            </w:r>
            <w:r w:rsidR="008727EE">
              <w:rPr>
                <w:rFonts w:ascii="Times New Roman" w:eastAsia="Times New Roman" w:hAnsi="Times New Roman" w:cs="Times New Roman"/>
                <w:color w:val="000000"/>
                <w:sz w:val="20"/>
                <w:szCs w:val="20"/>
                <w:lang w:eastAsia="en-GB"/>
              </w:rPr>
              <w:t>L</w:t>
            </w:r>
          </w:p>
        </w:tc>
        <w:tc>
          <w:tcPr>
            <w:tcW w:w="1000" w:type="dxa"/>
            <w:shd w:val="clear" w:color="auto" w:fill="auto"/>
            <w:noWrap/>
            <w:vAlign w:val="bottom"/>
            <w:hideMark/>
          </w:tcPr>
          <w:p w14:paraId="41297680" w14:textId="472E95EB" w:rsidR="0076380C" w:rsidRPr="0076380C" w:rsidRDefault="00AB4BA1" w:rsidP="00AB4BA1">
            <w:pPr>
              <w:spacing w:after="0" w:line="240" w:lineRule="auto"/>
              <w:rPr>
                <w:rFonts w:ascii="Times New Roman" w:eastAsia="Times New Roman" w:hAnsi="Times New Roman" w:cs="Times New Roman"/>
                <w:color w:val="000000"/>
                <w:sz w:val="20"/>
                <w:szCs w:val="20"/>
                <w:lang w:eastAsia="en-GB"/>
              </w:rPr>
            </w:pPr>
            <w:r>
              <w:rPr>
                <w:noProof/>
                <w:lang w:val="hu-HU" w:eastAsia="hu-HU"/>
              </w:rPr>
              <w:drawing>
                <wp:inline distT="0" distB="0" distL="0" distR="0" wp14:anchorId="613A398D" wp14:editId="11BEC69E">
                  <wp:extent cx="494665" cy="410869"/>
                  <wp:effectExtent l="0" t="0" r="635"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6EB3F206"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0" w:type="dxa"/>
            <w:shd w:val="clear" w:color="auto" w:fill="auto"/>
            <w:noWrap/>
            <w:vAlign w:val="bottom"/>
            <w:hideMark/>
          </w:tcPr>
          <w:p w14:paraId="0858D51B" w14:textId="77777777" w:rsidR="0076380C" w:rsidRPr="0076380C" w:rsidRDefault="0076380C" w:rsidP="00AB4BA1">
            <w:pPr>
              <w:spacing w:after="0" w:line="240" w:lineRule="auto"/>
              <w:rPr>
                <w:rFonts w:ascii="Times New Roman" w:eastAsia="Times New Roman" w:hAnsi="Times New Roman" w:cs="Times New Roman"/>
                <w:sz w:val="20"/>
                <w:szCs w:val="20"/>
                <w:lang w:eastAsia="en-GB"/>
              </w:rPr>
            </w:pPr>
          </w:p>
          <w:p w14:paraId="52F42946" w14:textId="4635284D"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0057E094" wp14:editId="464F2FA2">
                  <wp:extent cx="494665" cy="410869"/>
                  <wp:effectExtent l="0" t="0" r="635"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7BE052AB"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5" w:type="dxa"/>
            <w:shd w:val="clear" w:color="auto" w:fill="auto"/>
            <w:noWrap/>
            <w:vAlign w:val="bottom"/>
            <w:hideMark/>
          </w:tcPr>
          <w:p w14:paraId="67D06E11" w14:textId="2059BEE8"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2DFD9D01" wp14:editId="757CF737">
                  <wp:extent cx="357845" cy="586740"/>
                  <wp:effectExtent l="0" t="0" r="4445"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421B7D6F"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80" w:type="dxa"/>
            <w:shd w:val="clear" w:color="auto" w:fill="auto"/>
            <w:noWrap/>
            <w:vAlign w:val="bottom"/>
            <w:hideMark/>
          </w:tcPr>
          <w:p w14:paraId="33A7DD72" w14:textId="6457D46A"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187CCFB6" wp14:editId="07392D7F">
                  <wp:extent cx="357845" cy="586740"/>
                  <wp:effectExtent l="0" t="0" r="4445" b="381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49E73B40"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810" w:type="dxa"/>
            <w:shd w:val="clear" w:color="auto" w:fill="auto"/>
            <w:noWrap/>
            <w:vAlign w:val="bottom"/>
            <w:hideMark/>
          </w:tcPr>
          <w:p w14:paraId="46D8E21D" w14:textId="35E605DF"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547C1A1F" wp14:editId="3802F67F">
                  <wp:extent cx="357845" cy="586740"/>
                  <wp:effectExtent l="0" t="0" r="4445" b="381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0967408A"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r>
      <w:tr w:rsidR="00AB4BA1" w:rsidRPr="0076380C" w14:paraId="49084E5B" w14:textId="77777777" w:rsidTr="00AB4BA1">
        <w:trPr>
          <w:trHeight w:val="319"/>
        </w:trPr>
        <w:tc>
          <w:tcPr>
            <w:tcW w:w="1260" w:type="dxa"/>
            <w:vMerge/>
            <w:vAlign w:val="center"/>
            <w:hideMark/>
          </w:tcPr>
          <w:p w14:paraId="477D0986"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p>
        </w:tc>
        <w:tc>
          <w:tcPr>
            <w:tcW w:w="990" w:type="dxa"/>
            <w:shd w:val="clear" w:color="auto" w:fill="auto"/>
            <w:noWrap/>
            <w:vAlign w:val="bottom"/>
            <w:hideMark/>
          </w:tcPr>
          <w:p w14:paraId="22E33971" w14:textId="14CF8070"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0.25 mg/</w:t>
            </w:r>
            <w:r w:rsidR="008727EE">
              <w:rPr>
                <w:rFonts w:ascii="Times New Roman" w:eastAsia="Times New Roman" w:hAnsi="Times New Roman" w:cs="Times New Roman"/>
                <w:color w:val="000000"/>
                <w:sz w:val="20"/>
                <w:szCs w:val="20"/>
                <w:lang w:eastAsia="en-GB"/>
              </w:rPr>
              <w:t>L</w:t>
            </w:r>
          </w:p>
        </w:tc>
        <w:tc>
          <w:tcPr>
            <w:tcW w:w="1000" w:type="dxa"/>
            <w:shd w:val="clear" w:color="auto" w:fill="auto"/>
            <w:noWrap/>
            <w:vAlign w:val="bottom"/>
            <w:hideMark/>
          </w:tcPr>
          <w:p w14:paraId="021F5CC7" w14:textId="75C4CD90" w:rsidR="0076380C" w:rsidRPr="0076380C" w:rsidRDefault="00AB4BA1" w:rsidP="00AB4BA1">
            <w:pPr>
              <w:spacing w:after="0" w:line="240" w:lineRule="auto"/>
              <w:rPr>
                <w:rFonts w:ascii="Times New Roman" w:eastAsia="Times New Roman" w:hAnsi="Times New Roman" w:cs="Times New Roman"/>
                <w:color w:val="000000"/>
                <w:sz w:val="20"/>
                <w:szCs w:val="20"/>
                <w:lang w:eastAsia="en-GB"/>
              </w:rPr>
            </w:pPr>
            <w:r>
              <w:rPr>
                <w:rFonts w:ascii="Times New Roman" w:eastAsia="Times New Roman" w:hAnsi="Times New Roman" w:cs="Times New Roman"/>
                <w:color w:val="000000"/>
                <w:sz w:val="20"/>
                <w:szCs w:val="20"/>
                <w:lang w:eastAsia="en-GB"/>
              </w:rPr>
              <w:t xml:space="preserve"> </w:t>
            </w:r>
            <w:r>
              <w:rPr>
                <w:noProof/>
                <w:lang w:val="hu-HU" w:eastAsia="hu-HU"/>
              </w:rPr>
              <w:drawing>
                <wp:inline distT="0" distB="0" distL="0" distR="0" wp14:anchorId="0C8F3F70" wp14:editId="6E8169CD">
                  <wp:extent cx="494665" cy="410869"/>
                  <wp:effectExtent l="0" t="0" r="635"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0836DEAA"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0" w:type="dxa"/>
            <w:shd w:val="clear" w:color="auto" w:fill="auto"/>
            <w:noWrap/>
            <w:vAlign w:val="bottom"/>
            <w:hideMark/>
          </w:tcPr>
          <w:p w14:paraId="3C08E538" w14:textId="4CFF644A"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7CB73C40" wp14:editId="1C8F6D7F">
                  <wp:extent cx="494665" cy="410869"/>
                  <wp:effectExtent l="0" t="0" r="635"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3C4E6E6D"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5" w:type="dxa"/>
            <w:shd w:val="clear" w:color="auto" w:fill="auto"/>
            <w:noWrap/>
            <w:vAlign w:val="bottom"/>
            <w:hideMark/>
          </w:tcPr>
          <w:p w14:paraId="27EF1507" w14:textId="6494E517" w:rsidR="0076380C" w:rsidRPr="0076380C" w:rsidRDefault="00AB4BA1" w:rsidP="00AB4BA1">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 </w:t>
            </w:r>
            <w:r>
              <w:rPr>
                <w:noProof/>
                <w:lang w:val="hu-HU" w:eastAsia="hu-HU"/>
              </w:rPr>
              <w:drawing>
                <wp:inline distT="0" distB="0" distL="0" distR="0" wp14:anchorId="3F2598B2" wp14:editId="205FA960">
                  <wp:extent cx="357845" cy="586740"/>
                  <wp:effectExtent l="0" t="0" r="4445"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1A0687AF"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80" w:type="dxa"/>
            <w:shd w:val="clear" w:color="auto" w:fill="auto"/>
            <w:noWrap/>
            <w:vAlign w:val="bottom"/>
            <w:hideMark/>
          </w:tcPr>
          <w:p w14:paraId="07900BC3" w14:textId="1E54B7FF"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332362F1" wp14:editId="6F977EF4">
                  <wp:extent cx="357845" cy="586740"/>
                  <wp:effectExtent l="0" t="0" r="444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3C1FDA62"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810" w:type="dxa"/>
            <w:shd w:val="clear" w:color="auto" w:fill="auto"/>
            <w:noWrap/>
            <w:vAlign w:val="bottom"/>
            <w:hideMark/>
          </w:tcPr>
          <w:p w14:paraId="2D09B154" w14:textId="501EC749"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47D020AC" wp14:editId="16824892">
                  <wp:extent cx="357845" cy="586740"/>
                  <wp:effectExtent l="0" t="0" r="4445"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67E4A12E"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r>
      <w:tr w:rsidR="00AB4BA1" w:rsidRPr="0076380C" w14:paraId="380DA278" w14:textId="77777777" w:rsidTr="00AB4BA1">
        <w:trPr>
          <w:trHeight w:val="319"/>
        </w:trPr>
        <w:tc>
          <w:tcPr>
            <w:tcW w:w="1260" w:type="dxa"/>
            <w:vMerge/>
            <w:vAlign w:val="center"/>
            <w:hideMark/>
          </w:tcPr>
          <w:p w14:paraId="5EB2E16F"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p>
        </w:tc>
        <w:tc>
          <w:tcPr>
            <w:tcW w:w="990" w:type="dxa"/>
            <w:shd w:val="clear" w:color="auto" w:fill="auto"/>
            <w:noWrap/>
            <w:vAlign w:val="bottom"/>
            <w:hideMark/>
          </w:tcPr>
          <w:p w14:paraId="0F7F3A24" w14:textId="5CB3D367" w:rsidR="0076380C" w:rsidRPr="00CE271C" w:rsidRDefault="0076380C" w:rsidP="00AB4BA1">
            <w:pPr>
              <w:spacing w:after="0" w:line="240" w:lineRule="auto"/>
              <w:jc w:val="center"/>
              <w:rPr>
                <w:rFonts w:ascii="Times New Roman" w:eastAsia="Times New Roman" w:hAnsi="Times New Roman" w:cs="Times New Roman"/>
                <w:color w:val="000000"/>
                <w:sz w:val="20"/>
                <w:szCs w:val="20"/>
                <w:lang w:eastAsia="en-GB"/>
              </w:rPr>
            </w:pPr>
            <w:r w:rsidRPr="00CE271C">
              <w:rPr>
                <w:rFonts w:ascii="Times New Roman" w:eastAsia="Times New Roman" w:hAnsi="Times New Roman" w:cs="Times New Roman"/>
                <w:color w:val="000000"/>
                <w:sz w:val="20"/>
                <w:szCs w:val="20"/>
                <w:lang w:eastAsia="en-GB"/>
              </w:rPr>
              <w:t>0.5 mg/</w:t>
            </w:r>
            <w:r w:rsidR="008727EE">
              <w:rPr>
                <w:rFonts w:ascii="Times New Roman" w:eastAsia="Times New Roman" w:hAnsi="Times New Roman" w:cs="Times New Roman"/>
                <w:color w:val="000000"/>
                <w:sz w:val="20"/>
                <w:szCs w:val="20"/>
                <w:lang w:eastAsia="en-GB"/>
              </w:rPr>
              <w:t>L</w:t>
            </w:r>
          </w:p>
        </w:tc>
        <w:tc>
          <w:tcPr>
            <w:tcW w:w="1000" w:type="dxa"/>
            <w:shd w:val="clear" w:color="auto" w:fill="auto"/>
            <w:noWrap/>
            <w:vAlign w:val="bottom"/>
            <w:hideMark/>
          </w:tcPr>
          <w:p w14:paraId="1EE63040" w14:textId="2A5071C9" w:rsidR="0076380C" w:rsidRPr="0076380C" w:rsidRDefault="0020312C" w:rsidP="00AB4BA1">
            <w:pPr>
              <w:spacing w:after="0" w:line="240" w:lineRule="auto"/>
              <w:rPr>
                <w:rFonts w:ascii="Times New Roman" w:eastAsia="Times New Roman" w:hAnsi="Times New Roman" w:cs="Times New Roman"/>
                <w:color w:val="000000"/>
                <w:sz w:val="20"/>
                <w:szCs w:val="20"/>
                <w:lang w:eastAsia="en-GB"/>
              </w:rPr>
            </w:pPr>
            <w:r>
              <w:rPr>
                <w:noProof/>
                <w:lang w:val="hu-HU" w:eastAsia="hu-HU"/>
              </w:rPr>
              <w:drawing>
                <wp:inline distT="0" distB="0" distL="0" distR="0" wp14:anchorId="2D4ED15F" wp14:editId="42BBBE5A">
                  <wp:extent cx="494665" cy="410869"/>
                  <wp:effectExtent l="0" t="0" r="635"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31630" cy="441572"/>
                          </a:xfrm>
                          <a:prstGeom prst="rect">
                            <a:avLst/>
                          </a:prstGeom>
                          <a:ln>
                            <a:noFill/>
                          </a:ln>
                          <a:extLst>
                            <a:ext uri="{53640926-AAD7-44D8-BBD7-CCE9431645EC}">
                              <a14:shadowObscured xmlns:a14="http://schemas.microsoft.com/office/drawing/2010/main"/>
                            </a:ext>
                          </a:extLst>
                        </pic:spPr>
                      </pic:pic>
                    </a:graphicData>
                  </a:graphic>
                </wp:inline>
              </w:drawing>
            </w:r>
          </w:p>
          <w:p w14:paraId="7FD5D16D" w14:textId="77777777" w:rsidR="0076380C" w:rsidRPr="00CE271C" w:rsidRDefault="0076380C" w:rsidP="00AB4BA1">
            <w:pPr>
              <w:spacing w:after="0" w:line="240" w:lineRule="auto"/>
              <w:rPr>
                <w:rFonts w:ascii="Times New Roman" w:eastAsia="Times New Roman" w:hAnsi="Times New Roman" w:cs="Times New Roman"/>
                <w:color w:val="000000"/>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0" w:type="dxa"/>
            <w:shd w:val="clear" w:color="auto" w:fill="auto"/>
            <w:noWrap/>
            <w:vAlign w:val="bottom"/>
            <w:hideMark/>
          </w:tcPr>
          <w:p w14:paraId="48D03C0E" w14:textId="1EBFD9AD" w:rsidR="0076380C" w:rsidRPr="0076380C" w:rsidRDefault="0020312C" w:rsidP="00AB4BA1">
            <w:pPr>
              <w:spacing w:after="0" w:line="240" w:lineRule="auto"/>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 </w:t>
            </w:r>
            <w:r>
              <w:rPr>
                <w:noProof/>
              </w:rPr>
              <w:t xml:space="preserve"> </w:t>
            </w:r>
            <w:r>
              <w:rPr>
                <w:noProof/>
                <w:lang w:val="hu-HU" w:eastAsia="hu-HU"/>
              </w:rPr>
              <w:drawing>
                <wp:inline distT="0" distB="0" distL="0" distR="0" wp14:anchorId="09EA14FC" wp14:editId="34465046">
                  <wp:extent cx="472440" cy="392409"/>
                  <wp:effectExtent l="0" t="0" r="381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8622" t="1544" r="3713" b="4556"/>
                          <a:stretch/>
                        </pic:blipFill>
                        <pic:spPr bwMode="auto">
                          <a:xfrm>
                            <a:off x="0" y="0"/>
                            <a:ext cx="505792" cy="420111"/>
                          </a:xfrm>
                          <a:prstGeom prst="rect">
                            <a:avLst/>
                          </a:prstGeom>
                          <a:ln>
                            <a:noFill/>
                          </a:ln>
                          <a:extLst>
                            <a:ext uri="{53640926-AAD7-44D8-BBD7-CCE9431645EC}">
                              <a14:shadowObscured xmlns:a14="http://schemas.microsoft.com/office/drawing/2010/main"/>
                            </a:ext>
                          </a:extLst>
                        </pic:spPr>
                      </pic:pic>
                    </a:graphicData>
                  </a:graphic>
                </wp:inline>
              </w:drawing>
            </w:r>
          </w:p>
          <w:p w14:paraId="779CCFDB"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75" w:type="dxa"/>
            <w:shd w:val="clear" w:color="auto" w:fill="auto"/>
            <w:noWrap/>
            <w:vAlign w:val="bottom"/>
            <w:hideMark/>
          </w:tcPr>
          <w:p w14:paraId="55DEFE8A" w14:textId="2AC4D504"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5C2CCB86" wp14:editId="3D88C20D">
                  <wp:extent cx="357845" cy="586740"/>
                  <wp:effectExtent l="0" t="0" r="4445" b="38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66D7E93E"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1080" w:type="dxa"/>
            <w:shd w:val="clear" w:color="auto" w:fill="auto"/>
            <w:noWrap/>
            <w:vAlign w:val="bottom"/>
            <w:hideMark/>
          </w:tcPr>
          <w:p w14:paraId="73BCFD88" w14:textId="24D85158" w:rsidR="00AB4BA1" w:rsidRDefault="00AB4BA1" w:rsidP="00AB4BA1">
            <w:pPr>
              <w:spacing w:after="0" w:line="240" w:lineRule="auto"/>
              <w:rPr>
                <w:rFonts w:ascii="Times New Roman" w:eastAsia="Times New Roman" w:hAnsi="Times New Roman" w:cs="Times New Roman"/>
                <w:color w:val="000000"/>
                <w:sz w:val="20"/>
                <w:szCs w:val="20"/>
                <w:lang w:eastAsia="en-GB"/>
              </w:rPr>
            </w:pPr>
            <w:r>
              <w:rPr>
                <w:noProof/>
                <w:lang w:val="hu-HU" w:eastAsia="hu-HU"/>
              </w:rPr>
              <w:drawing>
                <wp:inline distT="0" distB="0" distL="0" distR="0" wp14:anchorId="19B55EC2" wp14:editId="5E00FE62">
                  <wp:extent cx="357845" cy="586740"/>
                  <wp:effectExtent l="0" t="0" r="4445"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3E3BAA94" w14:textId="3457455D"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c>
          <w:tcPr>
            <w:tcW w:w="810" w:type="dxa"/>
            <w:shd w:val="clear" w:color="auto" w:fill="auto"/>
            <w:noWrap/>
            <w:vAlign w:val="bottom"/>
            <w:hideMark/>
          </w:tcPr>
          <w:p w14:paraId="120BD346" w14:textId="6557D904" w:rsidR="0076380C" w:rsidRPr="0076380C" w:rsidRDefault="00AB4BA1" w:rsidP="00AB4BA1">
            <w:pPr>
              <w:spacing w:after="0" w:line="240" w:lineRule="auto"/>
              <w:rPr>
                <w:rFonts w:ascii="Times New Roman" w:eastAsia="Times New Roman" w:hAnsi="Times New Roman" w:cs="Times New Roman"/>
                <w:sz w:val="20"/>
                <w:szCs w:val="20"/>
                <w:lang w:eastAsia="en-GB"/>
              </w:rPr>
            </w:pPr>
            <w:r>
              <w:rPr>
                <w:noProof/>
                <w:lang w:val="hu-HU" w:eastAsia="hu-HU"/>
              </w:rPr>
              <w:drawing>
                <wp:inline distT="0" distB="0" distL="0" distR="0" wp14:anchorId="762D4957" wp14:editId="4263751C">
                  <wp:extent cx="357845" cy="586740"/>
                  <wp:effectExtent l="0" t="0" r="4445"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9630" t="2109" r="15741" b="1944"/>
                          <a:stretch/>
                        </pic:blipFill>
                        <pic:spPr bwMode="auto">
                          <a:xfrm>
                            <a:off x="0" y="0"/>
                            <a:ext cx="380528" cy="623931"/>
                          </a:xfrm>
                          <a:prstGeom prst="rect">
                            <a:avLst/>
                          </a:prstGeom>
                          <a:ln>
                            <a:noFill/>
                          </a:ln>
                          <a:extLst>
                            <a:ext uri="{53640926-AAD7-44D8-BBD7-CCE9431645EC}">
                              <a14:shadowObscured xmlns:a14="http://schemas.microsoft.com/office/drawing/2010/main"/>
                            </a:ext>
                          </a:extLst>
                        </pic:spPr>
                      </pic:pic>
                    </a:graphicData>
                  </a:graphic>
                </wp:inline>
              </w:drawing>
            </w:r>
          </w:p>
          <w:p w14:paraId="6AB4E04C" w14:textId="77777777" w:rsidR="0076380C" w:rsidRPr="00CE271C" w:rsidRDefault="0076380C" w:rsidP="00AB4BA1">
            <w:pPr>
              <w:spacing w:after="0" w:line="240" w:lineRule="auto"/>
              <w:rPr>
                <w:rFonts w:ascii="Times New Roman" w:eastAsia="Times New Roman" w:hAnsi="Times New Roman" w:cs="Times New Roman"/>
                <w:sz w:val="20"/>
                <w:szCs w:val="20"/>
                <w:lang w:eastAsia="en-GB"/>
              </w:rPr>
            </w:pPr>
            <w:r w:rsidRPr="0076380C">
              <w:rPr>
                <w:rFonts w:ascii="Times New Roman" w:eastAsia="Times New Roman" w:hAnsi="Times New Roman" w:cs="Times New Roman"/>
                <w:color w:val="000000"/>
                <w:sz w:val="20"/>
                <w:szCs w:val="20"/>
                <w:lang w:eastAsia="en-GB"/>
              </w:rPr>
              <w:t xml:space="preserve">    n = 5</w:t>
            </w:r>
          </w:p>
        </w:tc>
      </w:tr>
    </w:tbl>
    <w:p w14:paraId="135C9ED5" w14:textId="77777777" w:rsidR="0076380C" w:rsidRDefault="0076380C" w:rsidP="006C15DA">
      <w:pPr>
        <w:spacing w:line="480" w:lineRule="auto"/>
        <w:jc w:val="both"/>
        <w:rPr>
          <w:rFonts w:ascii="Times New Roman" w:hAnsi="Times New Roman" w:cs="Times New Roman"/>
          <w:color w:val="000000" w:themeColor="text1"/>
          <w:sz w:val="20"/>
          <w:szCs w:val="20"/>
        </w:rPr>
      </w:pPr>
    </w:p>
    <w:p w14:paraId="2644CE07" w14:textId="6A90B791" w:rsidR="0076380C" w:rsidRDefault="0076380C" w:rsidP="006C15DA">
      <w:pPr>
        <w:spacing w:line="480" w:lineRule="auto"/>
        <w:jc w:val="both"/>
        <w:rPr>
          <w:rFonts w:ascii="Times New Roman" w:hAnsi="Times New Roman" w:cs="Times New Roman"/>
          <w:color w:val="000000" w:themeColor="text1"/>
          <w:sz w:val="20"/>
          <w:szCs w:val="20"/>
        </w:rPr>
      </w:pPr>
    </w:p>
    <w:p w14:paraId="4CDF217F" w14:textId="2BFED9D8" w:rsidR="0076380C" w:rsidRDefault="0076380C" w:rsidP="006C15DA">
      <w:pPr>
        <w:spacing w:line="480" w:lineRule="auto"/>
        <w:jc w:val="both"/>
        <w:rPr>
          <w:rFonts w:ascii="Times New Roman" w:hAnsi="Times New Roman" w:cs="Times New Roman"/>
          <w:color w:val="000000" w:themeColor="text1"/>
          <w:sz w:val="20"/>
          <w:szCs w:val="20"/>
        </w:rPr>
      </w:pPr>
    </w:p>
    <w:p w14:paraId="3CE20C9B" w14:textId="40930E63" w:rsidR="0076380C" w:rsidRDefault="0076380C" w:rsidP="006C15DA">
      <w:pPr>
        <w:spacing w:line="480" w:lineRule="auto"/>
        <w:jc w:val="both"/>
        <w:rPr>
          <w:rFonts w:ascii="Times New Roman" w:hAnsi="Times New Roman" w:cs="Times New Roman"/>
          <w:color w:val="000000" w:themeColor="text1"/>
          <w:sz w:val="20"/>
          <w:szCs w:val="20"/>
        </w:rPr>
      </w:pPr>
      <w:r w:rsidRPr="00016674">
        <w:rPr>
          <w:rFonts w:ascii="Times New Roman" w:eastAsia="Calibri" w:hAnsi="Times New Roman" w:cs="Times New Roman"/>
          <w:b/>
          <w:color w:val="000000"/>
          <w:kern w:val="24"/>
          <w:sz w:val="20"/>
          <w:szCs w:val="20"/>
        </w:rPr>
        <w:t>Table S</w:t>
      </w:r>
      <w:r>
        <w:rPr>
          <w:rFonts w:ascii="Times New Roman" w:eastAsia="Calibri" w:hAnsi="Times New Roman" w:cs="Times New Roman"/>
          <w:b/>
          <w:color w:val="000000"/>
          <w:kern w:val="24"/>
          <w:sz w:val="20"/>
          <w:szCs w:val="20"/>
        </w:rPr>
        <w:t>2</w:t>
      </w:r>
      <w:r w:rsidRPr="00016674">
        <w:rPr>
          <w:rFonts w:ascii="Times New Roman" w:eastAsia="Calibri" w:hAnsi="Times New Roman" w:cs="Times New Roman"/>
          <w:b/>
          <w:color w:val="000000"/>
          <w:kern w:val="24"/>
          <w:sz w:val="20"/>
          <w:szCs w:val="20"/>
        </w:rPr>
        <w:t xml:space="preserve"> </w:t>
      </w:r>
      <w:r w:rsidRPr="0076380C">
        <w:rPr>
          <w:rFonts w:ascii="Times New Roman" w:eastAsia="Calibri" w:hAnsi="Times New Roman" w:cs="Times New Roman"/>
          <w:color w:val="000000"/>
          <w:kern w:val="24"/>
          <w:sz w:val="20"/>
          <w:szCs w:val="20"/>
        </w:rPr>
        <w:t>Experimental design</w:t>
      </w:r>
      <w:r>
        <w:rPr>
          <w:rFonts w:ascii="Times New Roman" w:eastAsia="Calibri" w:hAnsi="Times New Roman" w:cs="Times New Roman"/>
          <w:color w:val="000000"/>
          <w:kern w:val="24"/>
          <w:sz w:val="20"/>
          <w:szCs w:val="20"/>
        </w:rPr>
        <w:t xml:space="preserve"> with the As treatments applied and the number of plants harvested at different growth stages in lettuce and bean.</w:t>
      </w:r>
    </w:p>
    <w:p w14:paraId="603FC8E5" w14:textId="77777777" w:rsidR="0076380C" w:rsidRPr="00F329BC" w:rsidRDefault="0076380C" w:rsidP="006C15DA">
      <w:pPr>
        <w:spacing w:line="480" w:lineRule="auto"/>
        <w:jc w:val="both"/>
        <w:rPr>
          <w:rFonts w:ascii="Times New Roman" w:hAnsi="Times New Roman" w:cs="Times New Roman"/>
          <w:color w:val="000000" w:themeColor="text1"/>
          <w:sz w:val="20"/>
          <w:szCs w:val="20"/>
        </w:rPr>
      </w:pPr>
    </w:p>
    <w:tbl>
      <w:tblPr>
        <w:tblStyle w:val="Rcsostblzat"/>
        <w:tblW w:w="0" w:type="auto"/>
        <w:tblLook w:val="04A0" w:firstRow="1" w:lastRow="0" w:firstColumn="1" w:lastColumn="0" w:noHBand="0" w:noVBand="1"/>
      </w:tblPr>
      <w:tblGrid>
        <w:gridCol w:w="2880"/>
        <w:gridCol w:w="2880"/>
        <w:gridCol w:w="2880"/>
      </w:tblGrid>
      <w:tr w:rsidR="006C15DA" w:rsidRPr="00F329BC" w14:paraId="4876015E" w14:textId="77777777" w:rsidTr="00A42786">
        <w:trPr>
          <w:trHeight w:val="20"/>
        </w:trPr>
        <w:tc>
          <w:tcPr>
            <w:tcW w:w="2880" w:type="dxa"/>
          </w:tcPr>
          <w:bookmarkEnd w:id="1"/>
          <w:p w14:paraId="52FB38A3" w14:textId="77777777" w:rsidR="006C15DA" w:rsidRPr="00F329BC" w:rsidRDefault="006C15DA" w:rsidP="00A42786">
            <w:pPr>
              <w:spacing w:line="360" w:lineRule="auto"/>
              <w:rPr>
                <w:rFonts w:ascii="Times New Roman" w:hAnsi="Times New Roman" w:cs="Times New Roman"/>
                <w:b/>
                <w:bCs/>
                <w:color w:val="000000" w:themeColor="text1"/>
                <w:sz w:val="20"/>
                <w:szCs w:val="20"/>
              </w:rPr>
            </w:pPr>
            <w:r w:rsidRPr="00F329BC">
              <w:rPr>
                <w:rFonts w:ascii="Times New Roman" w:hAnsi="Times New Roman" w:cs="Times New Roman"/>
                <w:b/>
                <w:bCs/>
                <w:color w:val="000000" w:themeColor="text1"/>
                <w:sz w:val="20"/>
                <w:szCs w:val="20"/>
              </w:rPr>
              <w:t>Parameters</w:t>
            </w:r>
          </w:p>
        </w:tc>
        <w:tc>
          <w:tcPr>
            <w:tcW w:w="2880" w:type="dxa"/>
          </w:tcPr>
          <w:p w14:paraId="0AB8A175" w14:textId="77777777" w:rsidR="006C15DA" w:rsidRPr="00F329BC" w:rsidRDefault="006C15DA" w:rsidP="00A42786">
            <w:pPr>
              <w:spacing w:line="360" w:lineRule="auto"/>
              <w:rPr>
                <w:rFonts w:ascii="Times New Roman" w:hAnsi="Times New Roman" w:cs="Times New Roman"/>
                <w:b/>
                <w:bCs/>
                <w:color w:val="000000" w:themeColor="text1"/>
                <w:sz w:val="20"/>
                <w:szCs w:val="20"/>
              </w:rPr>
            </w:pPr>
            <w:r w:rsidRPr="00F329BC">
              <w:rPr>
                <w:rFonts w:ascii="Times New Roman" w:hAnsi="Times New Roman" w:cs="Times New Roman"/>
                <w:b/>
                <w:bCs/>
                <w:color w:val="000000" w:themeColor="text1"/>
                <w:sz w:val="20"/>
                <w:szCs w:val="20"/>
              </w:rPr>
              <w:t>Values</w:t>
            </w:r>
          </w:p>
        </w:tc>
        <w:tc>
          <w:tcPr>
            <w:tcW w:w="2880" w:type="dxa"/>
          </w:tcPr>
          <w:p w14:paraId="6816A99E" w14:textId="77777777" w:rsidR="006C15DA" w:rsidRPr="00F329BC" w:rsidRDefault="006C15DA" w:rsidP="00A42786">
            <w:pPr>
              <w:spacing w:line="360" w:lineRule="auto"/>
              <w:rPr>
                <w:rFonts w:ascii="Times New Roman" w:hAnsi="Times New Roman" w:cs="Times New Roman"/>
                <w:b/>
                <w:bCs/>
                <w:color w:val="000000" w:themeColor="text1"/>
                <w:sz w:val="20"/>
                <w:szCs w:val="20"/>
              </w:rPr>
            </w:pPr>
            <w:r w:rsidRPr="00F329BC">
              <w:rPr>
                <w:rFonts w:ascii="Times New Roman" w:hAnsi="Times New Roman" w:cs="Times New Roman"/>
                <w:b/>
                <w:bCs/>
                <w:color w:val="000000" w:themeColor="text1"/>
                <w:sz w:val="20"/>
                <w:szCs w:val="20"/>
              </w:rPr>
              <w:t>Reference</w:t>
            </w:r>
          </w:p>
        </w:tc>
      </w:tr>
      <w:tr w:rsidR="006C15DA" w:rsidRPr="00F329BC" w14:paraId="65F6D56D" w14:textId="77777777" w:rsidTr="00A42786">
        <w:trPr>
          <w:trHeight w:val="20"/>
        </w:trPr>
        <w:tc>
          <w:tcPr>
            <w:tcW w:w="2880" w:type="dxa"/>
          </w:tcPr>
          <w:p w14:paraId="721F4D5C"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Arsenic concentration in vegetable (C)</w:t>
            </w:r>
          </w:p>
        </w:tc>
        <w:tc>
          <w:tcPr>
            <w:tcW w:w="2880" w:type="dxa"/>
          </w:tcPr>
          <w:p w14:paraId="35E7B6F0"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Varied depending on vegetable (mg/kg D.W.)</w:t>
            </w:r>
          </w:p>
        </w:tc>
        <w:tc>
          <w:tcPr>
            <w:tcW w:w="2880" w:type="dxa"/>
          </w:tcPr>
          <w:p w14:paraId="1561DA0D"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Present study</w:t>
            </w:r>
          </w:p>
        </w:tc>
      </w:tr>
      <w:tr w:rsidR="006C15DA" w:rsidRPr="00F329BC" w14:paraId="227834C2" w14:textId="77777777" w:rsidTr="00A42786">
        <w:trPr>
          <w:trHeight w:val="20"/>
        </w:trPr>
        <w:tc>
          <w:tcPr>
            <w:tcW w:w="2880" w:type="dxa"/>
          </w:tcPr>
          <w:p w14:paraId="496692FC"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Arsenic reference dose (</w:t>
            </w:r>
            <w:proofErr w:type="spellStart"/>
            <w:r w:rsidRPr="00F329BC">
              <w:rPr>
                <w:rFonts w:ascii="Times New Roman" w:hAnsi="Times New Roman" w:cs="Times New Roman"/>
                <w:color w:val="000000" w:themeColor="text1"/>
                <w:sz w:val="20"/>
                <w:szCs w:val="20"/>
              </w:rPr>
              <w:t>RfD</w:t>
            </w:r>
            <w:proofErr w:type="spellEnd"/>
            <w:r w:rsidRPr="00F329BC">
              <w:rPr>
                <w:rFonts w:ascii="Times New Roman" w:hAnsi="Times New Roman" w:cs="Times New Roman"/>
                <w:color w:val="000000" w:themeColor="text1"/>
                <w:sz w:val="20"/>
                <w:szCs w:val="20"/>
              </w:rPr>
              <w:t>)</w:t>
            </w:r>
          </w:p>
        </w:tc>
        <w:tc>
          <w:tcPr>
            <w:tcW w:w="2880" w:type="dxa"/>
          </w:tcPr>
          <w:p w14:paraId="7F21A5F5"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0.0003 mg/kg/day</w:t>
            </w:r>
          </w:p>
        </w:tc>
        <w:tc>
          <w:tcPr>
            <w:tcW w:w="2880" w:type="dxa"/>
          </w:tcPr>
          <w:p w14:paraId="48E8B518"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USEPA 2012</w:t>
            </w:r>
          </w:p>
        </w:tc>
      </w:tr>
      <w:tr w:rsidR="006C15DA" w:rsidRPr="00F329BC" w14:paraId="255793E3" w14:textId="77777777" w:rsidTr="00A42786">
        <w:trPr>
          <w:trHeight w:val="20"/>
        </w:trPr>
        <w:tc>
          <w:tcPr>
            <w:tcW w:w="2880" w:type="dxa"/>
          </w:tcPr>
          <w:p w14:paraId="788CC48C"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Arsenic cancer slope factor (CSF)</w:t>
            </w:r>
          </w:p>
        </w:tc>
        <w:tc>
          <w:tcPr>
            <w:tcW w:w="2880" w:type="dxa"/>
          </w:tcPr>
          <w:p w14:paraId="4B5D3967"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Adult: 1.5 kg day/mg</w:t>
            </w:r>
          </w:p>
          <w:p w14:paraId="526FF8B6"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Child: 4.5 kg day/mg</w:t>
            </w:r>
          </w:p>
        </w:tc>
        <w:tc>
          <w:tcPr>
            <w:tcW w:w="2880" w:type="dxa"/>
          </w:tcPr>
          <w:p w14:paraId="2CA54538"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USEPA 2012</w:t>
            </w:r>
          </w:p>
          <w:p w14:paraId="5B5D4CC9" w14:textId="34E03D7D"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{"citationItems":[{"id":"ITEM-1","itemData":{"DOI":"10.1016/j.scitotenv.2016.01.094","ISSN":"18791026","abstract":"Human exposures to arsenic (As) through different pathways (dietary and non-dietary) are considered to be one of the primary worldwide environmental health risks to humans. This study was conducted to investigate the presence of As in soil and vegetable samples collected from agricultural lands located in selected southern districts of Khyber Pakhtunkhwa (KPK) Province, Pakistan. We examined the concentrations of total arsenic (TAs), organic species of As such as monomethylarsonic acid (MMA) and dimethylarsonic acid (DMA), and inorganic species including arsenite (AsIII) and arsenate (AsV) in both soil and vegetables. The data were used to determine several parameters to evaluate human health risk, including bioconcentration factor (BCF) from soil to plant, average daily intake (ADI), health risk index (HRI), incremental lifetime cancer risk (ILTCR), and hazard quotient (HQ). The total As concentration in soil samples of the five districts ranged from 3.0-3.9 mg kg-1, exhibiting minimal variations from site to site. The mean As concentration in edible portions of vegetable samples ranged from 0.03-1.38 mg kg-1. It was observed that As concentrations in 75% of the vegetable samples exceeded the safe maximum allowable limit (0.1 mg kg-1) set by WHO/FAO. The highest value of ADI for As was measured for Momordica charantia, while the lowest was for Allium chinense. The results of this study revealed minimal health risk (HI&lt;1) associated with consumption of vegetables for the local inhabitants. The ILTCR values for inorganic As indicated a minimal potential cancer risk through ingestion of vegetables. In addition, the HQ values for total As were &lt;1, indicating minimal non-cancer risk.","author":[{"dropping-particle":"","family":"Rehman","given":"Zahir Ur","non-dropping-particle":"","parse-names":false,"suffix":""},{"dropping-particle":"","family":"Khan","given":"Sardar","non-dropping-particle":"","parse-names":false,"suffix":""},{"dropping-particle":"","family":"Qin","given":"Kun","non-dropping-particle":"","parse-names":false,"suffix":""},{"dropping-particle":"","family":"Brusseau","given":"Mark L.","non-dropping-particle":"","parse-names":false,"suffix":""},{"dropping-particle":"","family":"Shah","given":"Mohammad Tahir","non-dropping-particle":"","parse-names":false,"suffix":""},{"dropping-particle":"","family":"Din","given":"Islamud","non-dropping-particle":"","parse-names":false,"suffix":""}],"container-title":"Science of the Total Environment","id":"ITEM-1","issued":{"date-parts":[["2016"]]},"page":"321-329","publisher":"Elsevier B.V.","title":"Quantification of inorganic arsenic exposure and cancer risk via consumption of vegetables in southern selected districts of Pakistan","type":"article-journal","volume":"550"},"uris":["http://www.mendeley.com/documents/?uuid=cd391424-afbd-49f7-b7c3-2147237e89fd"]}],"mendeley":{"formattedCitation":"(Rehman et al. 2016)","manualFormatting":"Rehman et al. (2016","plainTextFormattedCitation":"(Rehman et al. 2016)","previouslyFormattedCitation":"(Rehman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Rehman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r w:rsidR="006C15DA" w:rsidRPr="00F329BC" w14:paraId="60918FB8" w14:textId="77777777" w:rsidTr="00A42786">
        <w:trPr>
          <w:trHeight w:val="20"/>
        </w:trPr>
        <w:tc>
          <w:tcPr>
            <w:tcW w:w="2880" w:type="dxa"/>
          </w:tcPr>
          <w:p w14:paraId="2BD12F47"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Body weight (B.W.)</w:t>
            </w:r>
          </w:p>
        </w:tc>
        <w:tc>
          <w:tcPr>
            <w:tcW w:w="2880" w:type="dxa"/>
          </w:tcPr>
          <w:p w14:paraId="130F7908"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Adult: 70.8 kg</w:t>
            </w:r>
          </w:p>
          <w:p w14:paraId="53A2F143"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Child: 32.7 kg</w:t>
            </w:r>
          </w:p>
        </w:tc>
        <w:tc>
          <w:tcPr>
            <w:tcW w:w="2880" w:type="dxa"/>
          </w:tcPr>
          <w:p w14:paraId="2D0E6A83" w14:textId="4B6B30A4"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{"citationItems":[{"id":"ITEM-1","itemData":{"DOI":"10.1186/1471-2458-12-439","ISSN":"14712458","PMID":"22709383","abstract":"Background: The energy requirement of species at each trophic level in an ecological pyramid is a function of the number of organisms and their average mass. Regarding human populations, although considerable attention is given to estimating the number of people, much less is given to estimating average mass, despite evidence that average body mass is increasing. We estimate global human biomass, its distribution by region and the proportion of biomass due to overweight and obesity. Methods: For each country we used data on body mass index (BMI) and height distribution to estimate average adult body mass. We calculated total biomass as the product of population size and average body mass. We estimated the percentage of the population that is overweight (BMI≤25) and obese (BMI≤30) and the biomass due to overweight and obesity. Results: In 2005, global adult human biomass was approximately 287 million tonnes, of which 15 million tonnes were due to overweight (BMI ≤ 25), a mass equivalent to that of 242 million people of average body mass (5% of global human biomass). Biomass due to obesity was 3.5 million tonnes, the mass equivalent of 56 million people of average body mass (1.2% of human biomass). North America has 6% of the world population but 34% of biomass due to obesity. Asia has 61% of the world population but 13% of biomass due to obesity. One tonne of human biomass corresponds to approximately 12 adults in North America and 17 adults in Asia. If all countries had the BMI distribution of the USA, the increase in human biomass of 58 million tonnes would be equivalent in mass to an extra 935 million people of average body mass, and have energy requirements equivalent to that of 473 million adults. Conclusions: Increasing population fatness could have the same implications for world food energy demands as an extra half a billion people living on the earth. © 2012 Walpole et al.; licensee BioMed Central Ltd.","author":[{"dropping-particle":"","family":"Walpole","given":"Sarah Catherine","non-dropping-particle":"","parse-names":false,"suffix":""},{"dropping-particle":"","family":"Prieto-Merino","given":"David","non-dropping-particle":"","parse-names":false,"suffix":""},{"dropping-particle":"","family":"Edwards","given":"Phil","non-dropping-particle":"","parse-names":false,"suffix":""},{"dropping-particle":"","family":"Cleland","given":"John","non-dropping-particle":"","parse-names":false,"suffix":""},{"dropping-particle":"","family":"Stevens","given":"Gretchen","non-dropping-particle":"","parse-names":false,"suffix":""},{"dropping-particle":"","family":"Roberts","given":"Ian","non-dropping-particle":"","parse-names":false,"suffix":""}],"container-title":"BMC Public Health","id":"ITEM-1","issue":"1","issued":{"date-parts":[["2012"]]},"title":"The weight of nations: An estimation of adult human biomass","type":"article-journal","volume":"12"},"uris":["http://www.mendeley.com/documents/?uuid=c46a1547-2fc9-4754-82da-91bbd7dc5510"]}],"mendeley":{"formattedCitation":"(Walpole et al. 2012)","manualFormatting":"Walpole et al. (2012","plainTextFormattedCitation":"(Walpole et al. 2012)","previouslyFormattedCitation":"(Walpole et al., 2012)"},"properties":{"noteIndex":0},"schema":"https://github.com/citation-style-language/schema/raw/master/csl-citation.json"}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Walpole et al. (2012</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p w14:paraId="1D18EEE5" w14:textId="7011C0DC"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{"citationItems":[{"id":"ITEM-1","itemData":{"DOI":"10.1007/s11356-019-05595-z","ISSN":"16147499","PMID":"31177413","abstract":"Arsenic exposure route for humans is through the drinking of contaminated water and intake of arsenic-contaminated foods, particularly in arsenic-exposed areas of Bengal delta. Transport of the arsenic-contaminated crops and vegetables grown using arsenic-contaminated groundwater and soil in arsenic-exposed areas to the uncontaminated sites and consequent dietary intakes leads to great threats for the population residing in non-endemic areas with respect to consumption of arsenic through drinking water. We have studied the food materials collected from 30 families and their dietary habits, apparently who consume arsenic-free drinking water as well as 9 well-known markets of Kolkata city. The total and inorganic arsenic intake has been estimated from the collected foodstuffs from the market basket survey (n = 93) and household survey (n = 139), respectively for human risk analysis. About 100% of the collected samples contained detectable amount of arsenic (range 24–324 μg/kg), since the origin of the food materials was somewhere from arsenic-endemic areas. The daily consumption of inorganic arsenic (iAs) from rice grain and vegetables for adult and children is 76 μg and 41.4 μg, respectively. Inorganic arsenic (mainly arsenite and arsenate) contributes approximately 88% of the total content of arsenic in vegetable. In most of the cases, insufficient nutrient intake by the studied population may lead to arsenic toxicity in the long run. An independent cancer risk assessment study on the same population indicates that the main risk of cancer might appear through the intake of arsenic-contaminated rice grain and cereals.","author":[{"dropping-particle":"","family":"Biswas","given":"Anirban","non-dropping-particle":"","parse-names":false,"suffix":""},{"dropping-particle":"","family":"Swain","given":"Shresthashree","non-dropping-particle":"","parse-names":false,"suffix":""},{"dropping-particle":"","family":"Chowdhury","given":"Nilanjana Roy","non-dropping-particle":"","parse-names":false,"suffix":""},{"dropping-particle":"","family":"Joardar","given":"Madhurima","non-dropping-particle":"","parse-names":false,"suffix":""},{"dropping-particle":"","family":"Das","given":"Antara","non-dropping-particle":"","parse-names":false,"suffix":""},{"dropping-particle":"","family":"Mukherjee","given":"Meenakshi","non-dropping-particle":"","parse-names":false,"suffix":""},{"dropping-particle":"","family":"Roychowdhury","given":"Tarit","non-dropping-particle":"","parse-names":false,"suffix":""}],"container-title":"Environmental Science and Pollution Research","id":"ITEM-1","issue":"22","issued":{"date-parts":[["2019"]]},"page":"22929-22944","publisher":"Environmental Science and Pollution Research","title":"Arsenic contamination in Kolkata metropolitan city: perspective of transportation of agricultural products from arsenic-endemic areas","type":"article-journal","volume":"26"},"uris":["http://www.mendeley.com/documents/?uuid=74d68df7-b52b-4f8e-9fa0-8e6f3c648128"]}],"mendeley":{"formattedCitation":"(Biswas et al. 2019)","manualFormatting":"Biswas et al. (2019","plainTextFormattedCitation":"(Biswas et al. 2019)","previouslyFormattedCitation":"(Biswas et al., 2019)"},"properties":{"noteIndex":0},"schema":"https://github.com/citation-style-language/schema/raw/master/csl-citation.json"}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Biswas et al. (2019</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r w:rsidR="006C15DA" w:rsidRPr="00F329BC" w14:paraId="78E0A810" w14:textId="77777777" w:rsidTr="00A42786">
        <w:trPr>
          <w:trHeight w:val="20"/>
        </w:trPr>
        <w:tc>
          <w:tcPr>
            <w:tcW w:w="2880" w:type="dxa"/>
          </w:tcPr>
          <w:p w14:paraId="4B437F74"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Conversion factor (Cf)</w:t>
            </w:r>
          </w:p>
        </w:tc>
        <w:tc>
          <w:tcPr>
            <w:tcW w:w="2880" w:type="dxa"/>
          </w:tcPr>
          <w:p w14:paraId="777D5769"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0.085</w:t>
            </w:r>
          </w:p>
        </w:tc>
        <w:tc>
          <w:tcPr>
            <w:tcW w:w="2880" w:type="dxa"/>
          </w:tcPr>
          <w:p w14:paraId="1E8F41EB" w14:textId="2C7BE76A"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{"citationItems":[{"id":"ITEM-1","itemData":{"DOI":"10.1016/j.scitotenv.2016.01.094","ISSN":"18791026","abstract":"Human exposures to arsenic (As) through different pathways (dietary and non-dietary) are considered to be one of the primary worldwide environmental health risks to humans. This study was conducted to investigate the presence of As in soil and vegetable samples collected from agricultural lands located in selected southern districts of Khyber Pakhtunkhwa (KPK) Province, Pakistan. We examined the concentrations of total arsenic (TAs), organic species of As such as monomethylarsonic acid (MMA) and dimethylarsonic acid (DMA), and inorganic species including arsenite (AsIII) and arsenate (AsV) in both soil and vegetables. The data were used to determine several parameters to evaluate human health risk, including bioconcentration factor (BCF) from soil to plant, average daily intake (ADI), health risk index (HRI), incremental lifetime cancer risk (ILTCR), and hazard quotient (HQ). The total As concentration in soil samples of the five districts ranged from 3.0-3.9 mg kg-1, exhibiting minimal variations from site to site. The mean As concentration in edible portions of vegetable samples ranged from 0.03-1.38 mg kg-1. It was observed that As concentrations in 75% of the vegetable samples exceeded the safe maximum allowable limit (0.1 mg kg-1) set by WHO/FAO. The highest value of ADI for As was measured for Momordica charantia, while the lowest was for Allium chinense. The results of this study revealed minimal health risk (HI&lt;1) associated with consumption of vegetables for the local inhabitants. The ILTCR values for inorganic As indicated a minimal potential cancer risk through ingestion of vegetables. In addition, the HQ values for total As were &lt;1, indicating minimal non-cancer risk.","author":[{"dropping-particle":"","family":"Rehman","given":"Zahir Ur","non-dropping-particle":"","parse-names":false,"suffix":""},{"dropping-particle":"","family":"Khan","given":"Sardar","non-dropping-particle":"","parse-names":false,"suffix":""},{"dropping-particle":"","family":"Qin","given":"Kun","non-dropping-particle":"","parse-names":false,"suffix":""},{"dropping-particle":"","family":"Brusseau","given":"Mark L.","non-dropping-particle":"","parse-names":false,"suffix":""},{"dropping-particle":"","family":"Shah","given":"Mohammad Tahir","non-dropping-particle":"","parse-names":false,"suffix":""},{"dropping-particle":"","family":"Din","given":"Islamud","non-dropping-particle":"","parse-names":false,"suffix":""}],"container-title":"Science of the Total Environment","id":"ITEM-1","issued":{"date-parts":[["2016"]]},"page":"321-329","publisher":"Elsevier B.V.","title":"Quantification of inorganic arsenic exposure and cancer risk via consumption of vegetables in southern selected districts of Pakistan","type":"article-journal","volume":"550"},"uris":["http://www.mendeley.com/documents/?uuid=cd391424-afbd-49f7-b7c3-2147237e89fd"]}],"mendeley":{"formattedCitation":"(Rehman et al. 2016)","manualFormatting":"Rehman et al. (2016","plainTextFormattedCitation":"(Rehman et al. 2016)","previouslyFormattedCitation":"(Rehman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Rehman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r w:rsidR="006C15DA" w:rsidRPr="00F329BC" w14:paraId="333F76AB" w14:textId="77777777" w:rsidTr="00A42786">
        <w:trPr>
          <w:trHeight w:val="20"/>
        </w:trPr>
        <w:tc>
          <w:tcPr>
            <w:tcW w:w="2880" w:type="dxa"/>
          </w:tcPr>
          <w:p w14:paraId="5D9C69E4"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Daily intake rate of vegetables (IR)</w:t>
            </w:r>
          </w:p>
        </w:tc>
        <w:tc>
          <w:tcPr>
            <w:tcW w:w="2880" w:type="dxa"/>
          </w:tcPr>
          <w:p w14:paraId="5497483D"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Adult: 500 g FW</w:t>
            </w:r>
          </w:p>
          <w:p w14:paraId="4ABB2207"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Child: 300 g FW</w:t>
            </w:r>
          </w:p>
        </w:tc>
        <w:tc>
          <w:tcPr>
            <w:tcW w:w="2880" w:type="dxa"/>
          </w:tcPr>
          <w:p w14:paraId="08154688" w14:textId="77777777"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t>Based on WHO recommendation</w:t>
            </w:r>
          </w:p>
        </w:tc>
      </w:tr>
      <w:tr w:rsidR="006C15DA" w:rsidRPr="00F329BC" w14:paraId="00921725" w14:textId="77777777" w:rsidTr="00A42786">
        <w:trPr>
          <w:trHeight w:val="809"/>
        </w:trPr>
        <w:tc>
          <w:tcPr>
            <w:tcW w:w="2880" w:type="dxa"/>
          </w:tcPr>
          <w:p w14:paraId="24B85EDB"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Exposure duration (ED)</w:t>
            </w:r>
          </w:p>
        </w:tc>
        <w:tc>
          <w:tcPr>
            <w:tcW w:w="2880" w:type="dxa"/>
          </w:tcPr>
          <w:p w14:paraId="501BBE24"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Adult: 70 years</w:t>
            </w:r>
          </w:p>
          <w:p w14:paraId="535A48F6"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Child: 10 years</w:t>
            </w:r>
          </w:p>
        </w:tc>
        <w:tc>
          <w:tcPr>
            <w:tcW w:w="2880" w:type="dxa"/>
          </w:tcPr>
          <w:p w14:paraId="49ADF60F" w14:textId="4154F41E"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{"citationItems":[{"id":"ITEM-1","itemData":{"DOI":"10.1016/j.scitotenv.2016.01.094","ISSN":"18791026","abstract":"Human exposures to arsenic (As) through different pathways (dietary and non-dietary) are considered to be one of the primary worldwide environmental health risks to humans. This study was conducted to investigate the presence of As in soil and vegetable samples collected from agricultural lands located in selected southern districts of Khyber Pakhtunkhwa (KPK) Province, Pakistan. We examined the concentrations of total arsenic (TAs), organic species of As such as monomethylarsonic acid (MMA) and dimethylarsonic acid (DMA), and inorganic species including arsenite (AsIII) and arsenate (AsV) in both soil and vegetables. The data were used to determine several parameters to evaluate human health risk, including bioconcentration factor (BCF) from soil to plant, average daily intake (ADI), health risk index (HRI), incremental lifetime cancer risk (ILTCR), and hazard quotient (HQ). The total As concentration in soil samples of the five districts ranged from 3.0-3.9 mg kg-1, exhibiting minimal variations from site to site. The mean As concentration in edible portions of vegetable samples ranged from 0.03-1.38 mg kg-1. It was observed that As concentrations in 75% of the vegetable samples exceeded the safe maximum allowable limit (0.1 mg kg-1) set by WHO/FAO. The highest value of ADI for As was measured for Momordica charantia, while the lowest was for Allium chinense. The results of this study revealed minimal health risk (HI&lt;1) associated with consumption of vegetables for the local inhabitants. The ILTCR values for inorganic As indicated a minimal potential cancer risk through ingestion of vegetables. In addition, the HQ values for total As were &lt;1, indicating minimal non-cancer risk.","author":[{"dropping-particle":"","family":"Rehman","given":"Zahir Ur","non-dropping-particle":"","parse-names":false,"suffix":""},{"dropping-particle":"","family":"Khan","given":"Sardar","non-dropping-particle":"","parse-names":false,"suffix":""},{"dropping-particle":"","family":"Qin","given":"Kun","non-dropping-particle":"","parse-names":false,"suffix":""},{"dropping-particle":"","family":"Brusseau","given":"Mark L.","non-dropping-particle":"","parse-names":false,"suffix":""},{"dropping-particle":"","family":"Shah","given":"Mohammad Tahir","non-dropping-particle":"","parse-names":false,"suffix":""},{"dropping-particle":"","family":"Din","given":"Islamud","non-dropping-particle":"","parse-names":false,"suffix":""}],"container-title":"Science of the Total Environment","id":"ITEM-1","issued":{"date-parts":[["2016"]]},"page":"321-329","publisher":"Elsevier B.V.","title":"Quantification of inorganic arsenic exposure and cancer risk via consumption of vegetables in southern selected districts of Pakistan","type":"article-journal","volume":"550"},"uris":["http://www.mendeley.com/documents/?uuid=cd391424-afbd-49f7-b7c3-2147237e89fd"]}],"mendeley":{"formattedCitation":"(Rehman et al. 2016)","manualFormatting":"Rehman et al. (2016","plainTextFormattedCitation":"(Rehman et al. 2016)","previouslyFormattedCitation":"(Rehman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Rehman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p w14:paraId="31C57E7C" w14:textId="633AA557"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{"citationItems":[{"id":"ITEM-1","itemData":{"DOI":"10.1007/s10661-016-5507-9","ISBN":"1066101655","ISSN":"15732959","abstract":"Arsenic (As) is a carcinogenic metalloid that enters food chain through food and water and poses health risk to living beings. It is important to assess the As status in the environment and risks associated with it. Hence, a risk assessment study was conducted across Ropar wetland, Punjab, India and its environs in pre-monsoon season of 2013, to estimate the risk posed to adults and children via daily consumption of As contaminated groundwater and wheat grains. Arsenic concentrations determined in groundwater, soil and wheat grain samples using atomic absorption spectrometer ranged from 2.90 to 10.56 μg L−1, 0.06 to 0.12 mg kg−1 and 0.03 to 0.21 mg kg−1, respectively. Arsenic in wheat grains showed significant negative correlation with phosphate content in soil indicating a competitive uptake of arsenate and phosphate ions by plants. Principal component analysis and cluster analysis suggested that both natural and anthropogenic factors contribute to variation in As content and other variables studied in soil and groundwater samples. Total cancer risk and hazard index were higher than the USEPA safety limits of 1.00 × 10−6 and 1, respectively, for both adults and children indicating a high risk of cancer and other health disorders. Consumption of As contaminated wheat grains was found to pose higher risk of cancer and non-cancer health disorders as compared to intake of As contaminated groundwater by both adults and children. Moreover, children were found to be more prone to cancer and other heath disorders due to As exposure via wheat grains and groundwater as compared to adults.","author":[{"dropping-particle":"","family":"Sharma","given":"Sakshi","non-dropping-particle":"","parse-names":false,"suffix":""},{"dropping-particle":"","family":"Kaur","given":"Jagdeep","non-dropping-particle":"","parse-names":false,"suffix":""},{"dropping-particle":"","family":"Nagpal","given":"Avinash Kaur","non-dropping-particle":"","parse-names":false,"suffix":""},{"dropping-particle":"","family":"Kaur","given":"Inderpreet","non-dropping-particle":"","parse-names":false,"suffix":""}],"container-title":"Environmental Monitoring and Assessment","id":"ITEM-1","issue":"9","issued":{"date-parts":[["2016"]]},"publisher":"Environmental Monitoring and Assessment","title":"Quantitative assessment of possible human health risk associated with consumption of arsenic contaminated groundwater and wheat grains from Ropar Wetand and its environs","type":"article-journal","volume":"188"},"uris":["http://www.mendeley.com/documents/?uuid=360aefc0-b5f1-410c-a1aa-0c6dc54425f9"]}],"mendeley":{"formattedCitation":"(Sharma et al. 2016)","manualFormatting":"Sharma et al. (2016","plainTextFormattedCitation":"(Sharma et al. 2016)","previouslyFormattedCitation":"(Sharma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Sharma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r w:rsidR="006C15DA" w:rsidRPr="00F329BC" w14:paraId="7B257F9C" w14:textId="77777777" w:rsidTr="00A42786">
        <w:trPr>
          <w:trHeight w:val="20"/>
        </w:trPr>
        <w:tc>
          <w:tcPr>
            <w:tcW w:w="2880" w:type="dxa"/>
          </w:tcPr>
          <w:p w14:paraId="7F8E8D7A"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Exposure frequency (EF)</w:t>
            </w:r>
          </w:p>
        </w:tc>
        <w:tc>
          <w:tcPr>
            <w:tcW w:w="2880" w:type="dxa"/>
          </w:tcPr>
          <w:p w14:paraId="1AD67384"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365 days/year</w:t>
            </w:r>
          </w:p>
        </w:tc>
        <w:tc>
          <w:tcPr>
            <w:tcW w:w="2880" w:type="dxa"/>
          </w:tcPr>
          <w:p w14:paraId="301A4713" w14:textId="26F9C784"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{"citationItems":[{"id":"ITEM-1","itemData":{"DOI":"10.1007/s10661-016-5507-9","ISBN":"1066101655","ISSN":"15732959","abstract":"Arsenic (As) is a carcinogenic metalloid that enters food chain through food and water and poses health risk to living beings. It is important to assess the As status in the environment and risks associated with it. Hence, a risk assessment study was conducted across Ropar wetland, Punjab, India and its environs in pre-monsoon season of 2013, to estimate the risk posed to adults and children via daily consumption of As contaminated groundwater and wheat grains. Arsenic concentrations determined in groundwater, soil and wheat grain samples using atomic absorption spectrometer ranged from 2.90 to 10.56 μg L−1, 0.06 to 0.12 mg kg−1 and 0.03 to 0.21 mg kg−1, respectively. Arsenic in wheat grains showed significant negative correlation with phosphate content in soil indicating a competitive uptake of arsenate and phosphate ions by plants. Principal component analysis and cluster analysis suggested that both natural and anthropogenic factors contribute to variation in As content and other variables studied in soil and groundwater samples. Total cancer risk and hazard index were higher than the USEPA safety limits of 1.00 × 10−6 and 1, respectively, for both adults and children indicating a high risk of cancer and other health disorders. Consumption of As contaminated wheat grains was found to pose higher risk of cancer and non-cancer health disorders as compared to intake of As contaminated groundwater by both adults and children. Moreover, children were found to be more prone to cancer and other heath disorders due to As exposure via wheat grains and groundwater as compared to adults.","author":[{"dropping-particle":"","family":"Sharma","given":"Sakshi","non-dropping-particle":"","parse-names":false,"suffix":""},{"dropping-particle":"","family":"Kaur","given":"Jagdeep","non-dropping-particle":"","parse-names":false,"suffix":""},{"dropping-particle":"","family":"Nagpal","given":"Avinash Kaur","non-dropping-particle":"","parse-names":false,"suffix":""},{"dropping-particle":"","family":"Kaur","given":"Inderpreet","non-dropping-particle":"","parse-names":false,"suffix":""}],"container-title":"Environmental Monitoring and Assessment","id":"ITEM-1","issue":"9","issued":{"date-parts":[["2016"]]},"publisher":"Environmental Monitoring and Assessment","title":"Quantitative assessment of possible human health risk associated with consumption of arsenic contaminated groundwater and wheat grains from Ropar Wetand and its environs","type":"article-journal","volume":"188"},"uris":["http://www.mendeley.com/documents/?uuid=360aefc0-b5f1-410c-a1aa-0c6dc54425f9"]}],"mendeley":{"formattedCitation":"(Sharma et al. 2016)","manualFormatting":"Sharma et al. (2016","plainTextFormattedCitation":"(Sharma et al. 2016)","previouslyFormattedCitation":"(Sharma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Sharma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r w:rsidR="006C15DA" w:rsidRPr="00F329BC" w14:paraId="4C911ED0" w14:textId="77777777" w:rsidTr="00A42786">
        <w:trPr>
          <w:trHeight w:val="755"/>
        </w:trPr>
        <w:tc>
          <w:tcPr>
            <w:tcW w:w="2880" w:type="dxa"/>
          </w:tcPr>
          <w:p w14:paraId="689D9076"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Life Expectancy (LE)</w:t>
            </w:r>
          </w:p>
        </w:tc>
        <w:tc>
          <w:tcPr>
            <w:tcW w:w="2880" w:type="dxa"/>
          </w:tcPr>
          <w:p w14:paraId="7FBBE464"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Adult: 25,550 days</w:t>
            </w:r>
          </w:p>
          <w:p w14:paraId="6635D540" w14:textId="77777777" w:rsidR="006C15DA" w:rsidRPr="00F329BC" w:rsidRDefault="006C15DA" w:rsidP="00A42786">
            <w:pPr>
              <w:spacing w:line="360" w:lineRule="auto"/>
              <w:rPr>
                <w:rFonts w:ascii="Times New Roman" w:hAnsi="Times New Roman" w:cs="Times New Roman"/>
                <w:color w:val="000000" w:themeColor="text1"/>
                <w:sz w:val="20"/>
                <w:szCs w:val="20"/>
              </w:rPr>
            </w:pPr>
            <w:r w:rsidRPr="00F329BC">
              <w:rPr>
                <w:rFonts w:ascii="Times New Roman" w:hAnsi="Times New Roman" w:cs="Times New Roman"/>
                <w:color w:val="000000" w:themeColor="text1"/>
                <w:sz w:val="20"/>
                <w:szCs w:val="20"/>
              </w:rPr>
              <w:t>Child: 3650 days</w:t>
            </w:r>
          </w:p>
        </w:tc>
        <w:tc>
          <w:tcPr>
            <w:tcW w:w="2880" w:type="dxa"/>
          </w:tcPr>
          <w:p w14:paraId="3A42DB15" w14:textId="75DFE6CC"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{"citationItems":[{"id":"ITEM-1","itemData":{"DOI":"10.1016/j.scitotenv.2016.01.094","ISSN":"18791026","abstract":"Human exposures to arsenic (As) through different pathways (dietary and non-dietary) are considered to be one of the primary worldwide environmental health risks to humans. This study was conducted to investigate the presence of As in soil and vegetable samples collected from agricultural lands located in selected southern districts of Khyber Pakhtunkhwa (KPK) Province, Pakistan. We examined the concentrations of total arsenic (TAs), organic species of As such as monomethylarsonic acid (MMA) and dimethylarsonic acid (DMA), and inorganic species including arsenite (AsIII) and arsenate (AsV) in both soil and vegetables. The data were used to determine several parameters to evaluate human health risk, including bioconcentration factor (BCF) from soil to plant, average daily intake (ADI), health risk index (HRI), incremental lifetime cancer risk (ILTCR), and hazard quotient (HQ). The total As concentration in soil samples of the five districts ranged from 3.0-3.9 mg kg-1, exhibiting minimal variations from site to site. The mean As concentration in edible portions of vegetable samples ranged from 0.03-1.38 mg kg-1. It was observed that As concentrations in 75% of the vegetable samples exceeded the safe maximum allowable limit (0.1 mg kg-1) set by WHO/FAO. The highest value of ADI for As was measured for Momordica charantia, while the lowest was for Allium chinense. The results of this study revealed minimal health risk (HI&lt;1) associated with consumption of vegetables for the local inhabitants. The ILTCR values for inorganic As indicated a minimal potential cancer risk through ingestion of vegetables. In addition, the HQ values for total As were &lt;1, indicating minimal non-cancer risk.","author":[{"dropping-particle":"","family":"Rehman","given":"Zahir Ur","non-dropping-particle":"","parse-names":false,"suffix":""},{"dropping-particle":"","family":"Khan","given":"Sardar","non-dropping-particle":"","parse-names":false,"suffix":""},{"dropping-particle":"","family":"Qin","given":"Kun","non-dropping-particle":"","parse-names":false,"suffix":""},{"dropping-particle":"","family":"Brusseau","given":"Mark L.","non-dropping-particle":"","parse-names":false,"suffix":""},{"dropping-particle":"","family":"Shah","given":"Mohammad Tahir","non-dropping-particle":"","parse-names":false,"suffix":""},{"dropping-particle":"","family":"Din","given":"Islamud","non-dropping-particle":"","parse-names":false,"suffix":""}],"container-title":"Science of the Total Environment","id":"ITEM-1","issued":{"date-parts":[["2016"]]},"page":"321-329","publisher":"Elsevier B.V.","title":"Quantification of inorganic arsenic exposure and cancer risk via consumption of vegetables in southern selected districts of Pakistan","type":"article-journal","volume":"550"},"uris":["http://www.mendeley.com/documents/?uuid=cd391424-afbd-49f7-b7c3-2147237e89fd"]}],"mendeley":{"formattedCitation":"(Rehman et al. 2016)","manualFormatting":"Rehman et al. (2016","plainTextFormattedCitation":"(Rehman et al. 2016)","previouslyFormattedCitation":"(Rehman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Rehman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p w14:paraId="31DB7E82" w14:textId="2DF7A78C" w:rsidR="006C15DA" w:rsidRPr="00F329BC" w:rsidRDefault="006C15DA" w:rsidP="00A42786">
            <w:pPr>
              <w:spacing w:line="360" w:lineRule="auto"/>
              <w:rPr>
                <w:rFonts w:ascii="Times New Roman" w:hAnsi="Times New Roman" w:cs="Times New Roman"/>
                <w:noProof/>
                <w:color w:val="000000" w:themeColor="text1"/>
                <w:sz w:val="20"/>
                <w:szCs w:val="20"/>
              </w:rPr>
            </w:pPr>
            <w:r w:rsidRPr="00F329BC">
              <w:rPr>
                <w:rFonts w:ascii="Times New Roman" w:hAnsi="Times New Roman" w:cs="Times New Roman"/>
                <w:noProof/>
                <w:color w:val="000000" w:themeColor="text1"/>
                <w:sz w:val="20"/>
                <w:szCs w:val="20"/>
              </w:rPr>
              <w:fldChar w:fldCharType="begin" w:fldLock="1"/>
            </w:r>
            <w:r w:rsidR="00DC4EB3">
              <w:rPr>
                <w:rFonts w:ascii="Times New Roman" w:hAnsi="Times New Roman" w:cs="Times New Roman"/>
                <w:noProof/>
                <w:color w:val="000000" w:themeColor="text1"/>
                <w:sz w:val="20"/>
                <w:szCs w:val="20"/>
              </w:rPr>
              <w:instrText>ADDIN CSL_CITATION {"citationItems":[{"id":"ITEM-1","itemData":{"DOI":"10.1007/s10661-016-5507-9","ISBN":"1066101655","ISSN":"15732959","abstract":"Arsenic (As) is a carcinogenic metalloid that enters food chain through food and water and poses health risk to living beings. It is important to assess the As status in the environment and risks associated with it. Hence, a risk assessment study was conducted across Ropar wetland, Punjab, India and its environs in pre-monsoon season of 2013, to estimate the risk posed to adults and children via daily consumption of As contaminated groundwater and wheat grains. Arsenic concentrations determined in groundwater, soil and wheat grain samples using atomic absorption spectrometer ranged from 2.90 to 10.56 μg L−1, 0.06 to 0.12 mg kg−1 and 0.03 to 0.21 mg kg−1, respectively. Arsenic in wheat grains showed significant negative correlation with phosphate content in soil indicating a competitive uptake of arsenate and phosphate ions by plants. Principal component analysis and cluster analysis suggested that both natural and anthropogenic factors contribute to variation in As content and other variables studied in soil and groundwater samples. Total cancer risk and hazard index were higher than the USEPA safety limits of 1.00 × 10−6 and 1, respectively, for both adults and children indicating a high risk of cancer and other health disorders. Consumption of As contaminated wheat grains was found to pose higher risk of cancer and non-cancer health disorders as compared to intake of As contaminated groundwater by both adults and children. Moreover, children were found to be more prone to cancer and other heath disorders due to As exposure via wheat grains and groundwater as compared to adults.","author":[{"dropping-particle":"","family":"Sharma","given":"Sakshi","non-dropping-particle":"","parse-names":false,"suffix":""},{"dropping-particle":"","family":"Kaur","given":"Jagdeep","non-dropping-particle":"","parse-names":false,"suffix":""},{"dropping-particle":"","family":"Nagpal","given":"Avinash Kaur","non-dropping-particle":"","parse-names":false,"suffix":""},{"dropping-particle":"","family":"Kaur","given":"Inderpreet","non-dropping-particle":"","parse-names":false,"suffix":""}],"container-title":"Environmental Monitoring and Assessment","id":"ITEM-1","issue":"9","issued":{"date-parts":[["2016"]]},"publisher":"Environmental Monitoring and Assessment","title":"Quantitative assessment of possible human health risk associated with consumption of arsenic contaminated groundwater and wheat grains from Ropar Wetand and its environs","type":"article-journal","volume":"188"},"uris":["http://www.mendeley.com/documents/?uuid=360aefc0-b5f1-410c-a1aa-0c6dc54425f9"]}],"mendeley":{"formattedCitation":"(Sharma et al. 2016)","manualFormatting":"Sharma et al. (2016","plainTextFormattedCitation":"(Sharma et al. 2016)","previouslyFormattedCitation":"(Sharma et al., 2016)"},"properties":{"noteIndex":0},"schema":"https://github.com/citation-style-language/schema/raw/master/csl-citation.json"}</w:instrText>
            </w:r>
            <w:r w:rsidRPr="00F329BC">
              <w:rPr>
                <w:rFonts w:ascii="Times New Roman" w:hAnsi="Times New Roman" w:cs="Times New Roman"/>
                <w:noProof/>
                <w:color w:val="000000" w:themeColor="text1"/>
                <w:sz w:val="20"/>
                <w:szCs w:val="20"/>
              </w:rPr>
              <w:fldChar w:fldCharType="separate"/>
            </w:r>
            <w:r w:rsidRPr="00F329BC">
              <w:rPr>
                <w:rFonts w:ascii="Times New Roman" w:hAnsi="Times New Roman" w:cs="Times New Roman"/>
                <w:noProof/>
                <w:color w:val="000000" w:themeColor="text1"/>
                <w:sz w:val="20"/>
                <w:szCs w:val="20"/>
              </w:rPr>
              <w:t>Sharma et al. (2016</w:t>
            </w:r>
            <w:r w:rsidRPr="00F329BC">
              <w:rPr>
                <w:rFonts w:ascii="Times New Roman" w:hAnsi="Times New Roman" w:cs="Times New Roman"/>
                <w:noProof/>
                <w:color w:val="000000" w:themeColor="text1"/>
                <w:sz w:val="20"/>
                <w:szCs w:val="20"/>
              </w:rPr>
              <w:fldChar w:fldCharType="end"/>
            </w:r>
            <w:r w:rsidRPr="00F329BC">
              <w:rPr>
                <w:rFonts w:ascii="Times New Roman" w:hAnsi="Times New Roman" w:cs="Times New Roman"/>
                <w:noProof/>
                <w:color w:val="000000" w:themeColor="text1"/>
                <w:sz w:val="20"/>
                <w:szCs w:val="20"/>
              </w:rPr>
              <w:t>)</w:t>
            </w:r>
          </w:p>
        </w:tc>
      </w:tr>
    </w:tbl>
    <w:p w14:paraId="7657E661" w14:textId="77777777" w:rsidR="006C15DA" w:rsidRPr="00F329BC" w:rsidRDefault="006C15DA" w:rsidP="006C15DA">
      <w:pPr>
        <w:spacing w:after="0" w:line="480" w:lineRule="auto"/>
        <w:jc w:val="both"/>
        <w:rPr>
          <w:rFonts w:ascii="Times New Roman" w:hAnsi="Times New Roman" w:cs="Times New Roman"/>
          <w:b/>
          <w:bCs/>
          <w:i/>
          <w:iCs/>
          <w:color w:val="000000" w:themeColor="text1"/>
          <w:sz w:val="20"/>
          <w:szCs w:val="20"/>
        </w:rPr>
      </w:pPr>
    </w:p>
    <w:p w14:paraId="22B513E6" w14:textId="4001B78E" w:rsidR="00134672" w:rsidRDefault="00615125" w:rsidP="00134672">
      <w:pPr>
        <w:spacing w:line="480" w:lineRule="auto"/>
        <w:jc w:val="both"/>
        <w:rPr>
          <w:rFonts w:ascii="Times New Roman" w:eastAsiaTheme="minorEastAsia" w:hAnsi="Times New Roman" w:cs="Times New Roman"/>
          <w:color w:val="000000" w:themeColor="text1"/>
          <w:sz w:val="20"/>
          <w:szCs w:val="20"/>
        </w:rPr>
      </w:pPr>
      <w:bookmarkStart w:id="3" w:name="_Hlk101137889"/>
      <w:r>
        <w:rPr>
          <w:rFonts w:ascii="Times New Roman" w:eastAsia="Calibri" w:hAnsi="Times New Roman" w:cs="Times New Roman"/>
          <w:b/>
          <w:color w:val="000000" w:themeColor="text1"/>
          <w:sz w:val="20"/>
          <w:szCs w:val="20"/>
          <w:lang w:val="en-IN"/>
        </w:rPr>
        <w:t xml:space="preserve">Table </w:t>
      </w:r>
      <w:r w:rsidR="008A02FE">
        <w:rPr>
          <w:rFonts w:ascii="Times New Roman" w:eastAsia="Calibri" w:hAnsi="Times New Roman" w:cs="Times New Roman"/>
          <w:b/>
          <w:color w:val="000000" w:themeColor="text1"/>
          <w:sz w:val="20"/>
          <w:szCs w:val="20"/>
          <w:lang w:val="en-IN"/>
        </w:rPr>
        <w:t>S</w:t>
      </w:r>
      <w:r w:rsidR="0076380C">
        <w:rPr>
          <w:rFonts w:ascii="Times New Roman" w:eastAsia="Calibri" w:hAnsi="Times New Roman" w:cs="Times New Roman"/>
          <w:b/>
          <w:color w:val="000000" w:themeColor="text1"/>
          <w:sz w:val="20"/>
          <w:szCs w:val="20"/>
          <w:lang w:val="en-IN"/>
        </w:rPr>
        <w:t>3</w:t>
      </w:r>
      <w:r>
        <w:rPr>
          <w:rFonts w:ascii="Times New Roman" w:hAnsi="Times New Roman" w:cs="Times New Roman"/>
          <w:color w:val="000000" w:themeColor="text1"/>
          <w:sz w:val="20"/>
          <w:szCs w:val="20"/>
        </w:rPr>
        <w:t xml:space="preserve"> Parameters used for the calculation of health</w:t>
      </w:r>
      <w:r>
        <w:rPr>
          <w:rFonts w:ascii="Times New Roman" w:eastAsiaTheme="minorEastAsia" w:hAnsi="Times New Roman" w:cs="Times New Roman"/>
          <w:color w:val="000000" w:themeColor="text1"/>
          <w:sz w:val="20"/>
          <w:szCs w:val="20"/>
        </w:rPr>
        <w:t xml:space="preserve"> risk assessment</w:t>
      </w:r>
    </w:p>
    <w:p w14:paraId="1CEB88DF" w14:textId="42C34B61" w:rsidR="00E40213" w:rsidRDefault="00E40213" w:rsidP="00134672">
      <w:pPr>
        <w:spacing w:line="480" w:lineRule="auto"/>
        <w:jc w:val="both"/>
        <w:rPr>
          <w:rFonts w:ascii="Times New Roman" w:hAnsi="Times New Roman" w:cs="Times New Roman"/>
          <w:color w:val="000000" w:themeColor="text1"/>
          <w:sz w:val="20"/>
          <w:szCs w:val="20"/>
        </w:rPr>
      </w:pPr>
    </w:p>
    <w:p w14:paraId="592F9B55" w14:textId="77777777" w:rsidR="00E40213" w:rsidRPr="00F329BC" w:rsidRDefault="00E40213" w:rsidP="00134672">
      <w:pPr>
        <w:spacing w:line="480" w:lineRule="auto"/>
        <w:jc w:val="both"/>
        <w:rPr>
          <w:rFonts w:ascii="Times New Roman" w:hAnsi="Times New Roman" w:cs="Times New Roman"/>
          <w:color w:val="000000" w:themeColor="text1"/>
          <w:sz w:val="20"/>
          <w:szCs w:val="20"/>
        </w:rPr>
      </w:pPr>
    </w:p>
    <w:tbl>
      <w:tblPr>
        <w:tblStyle w:val="Rcsostblzat"/>
        <w:tblpPr w:leftFromText="141" w:rightFromText="141" w:vertAnchor="text" w:tblpXSpec="center" w:tblpY="1"/>
        <w:tblOverlap w:val="never"/>
        <w:tblW w:w="0" w:type="auto"/>
        <w:tblLayout w:type="fixed"/>
        <w:tblLook w:val="0600" w:firstRow="0" w:lastRow="0" w:firstColumn="0" w:lastColumn="0" w:noHBand="1" w:noVBand="1"/>
      </w:tblPr>
      <w:tblGrid>
        <w:gridCol w:w="3059"/>
        <w:gridCol w:w="2342"/>
      </w:tblGrid>
      <w:tr w:rsidR="00134672" w:rsidRPr="00F329BC" w14:paraId="0C34EC2D" w14:textId="77777777" w:rsidTr="00A42786">
        <w:trPr>
          <w:trHeight w:val="288"/>
        </w:trPr>
        <w:tc>
          <w:tcPr>
            <w:tcW w:w="3059" w:type="dxa"/>
            <w:vAlign w:val="center"/>
            <w:hideMark/>
          </w:tcPr>
          <w:bookmarkEnd w:id="3"/>
          <w:p w14:paraId="17C9339A"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pH</w:t>
            </w:r>
          </w:p>
        </w:tc>
        <w:tc>
          <w:tcPr>
            <w:tcW w:w="2342" w:type="dxa"/>
            <w:vAlign w:val="center"/>
            <w:hideMark/>
          </w:tcPr>
          <w:p w14:paraId="1CCD54A4"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7.71</w:t>
            </w:r>
          </w:p>
        </w:tc>
      </w:tr>
      <w:tr w:rsidR="00134672" w:rsidRPr="00F329BC" w14:paraId="08249C80" w14:textId="77777777" w:rsidTr="00A42786">
        <w:trPr>
          <w:trHeight w:val="288"/>
        </w:trPr>
        <w:tc>
          <w:tcPr>
            <w:tcW w:w="3059" w:type="dxa"/>
            <w:vAlign w:val="center"/>
          </w:tcPr>
          <w:p w14:paraId="65553098"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Sand (%)</w:t>
            </w:r>
          </w:p>
        </w:tc>
        <w:tc>
          <w:tcPr>
            <w:tcW w:w="2342" w:type="dxa"/>
            <w:vAlign w:val="center"/>
          </w:tcPr>
          <w:p w14:paraId="1036248B"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81</w:t>
            </w:r>
          </w:p>
        </w:tc>
      </w:tr>
      <w:tr w:rsidR="00134672" w:rsidRPr="00F329BC" w14:paraId="6A1000E1" w14:textId="77777777" w:rsidTr="00A42786">
        <w:trPr>
          <w:trHeight w:val="288"/>
        </w:trPr>
        <w:tc>
          <w:tcPr>
            <w:tcW w:w="3059" w:type="dxa"/>
            <w:vAlign w:val="center"/>
          </w:tcPr>
          <w:p w14:paraId="7F949038"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proofErr w:type="spellStart"/>
            <w:r w:rsidRPr="00F329BC">
              <w:rPr>
                <w:color w:val="000000" w:themeColor="text1"/>
                <w:kern w:val="24"/>
                <w:sz w:val="20"/>
                <w:szCs w:val="20"/>
                <w:lang w:val="hu-HU"/>
              </w:rPr>
              <w:lastRenderedPageBreak/>
              <w:t>Silt</w:t>
            </w:r>
            <w:proofErr w:type="spellEnd"/>
            <w:r w:rsidRPr="00F329BC">
              <w:rPr>
                <w:color w:val="000000" w:themeColor="text1"/>
                <w:kern w:val="24"/>
                <w:sz w:val="20"/>
                <w:szCs w:val="20"/>
                <w:lang w:val="hu-HU"/>
              </w:rPr>
              <w:t xml:space="preserve"> (%)</w:t>
            </w:r>
          </w:p>
        </w:tc>
        <w:tc>
          <w:tcPr>
            <w:tcW w:w="2342" w:type="dxa"/>
            <w:vAlign w:val="center"/>
          </w:tcPr>
          <w:p w14:paraId="016DBD9E"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13</w:t>
            </w:r>
          </w:p>
        </w:tc>
      </w:tr>
      <w:tr w:rsidR="00134672" w:rsidRPr="00F329BC" w14:paraId="09C6A0DD" w14:textId="77777777" w:rsidTr="00A42786">
        <w:trPr>
          <w:trHeight w:val="288"/>
        </w:trPr>
        <w:tc>
          <w:tcPr>
            <w:tcW w:w="3059" w:type="dxa"/>
            <w:vAlign w:val="center"/>
          </w:tcPr>
          <w:p w14:paraId="02FEB792"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proofErr w:type="spellStart"/>
            <w:r w:rsidRPr="00F329BC">
              <w:rPr>
                <w:color w:val="000000" w:themeColor="text1"/>
                <w:kern w:val="24"/>
                <w:sz w:val="20"/>
                <w:szCs w:val="20"/>
                <w:lang w:val="hu-HU"/>
              </w:rPr>
              <w:t>Clay</w:t>
            </w:r>
            <w:proofErr w:type="spellEnd"/>
            <w:r w:rsidRPr="00F329BC">
              <w:rPr>
                <w:color w:val="000000" w:themeColor="text1"/>
                <w:kern w:val="24"/>
                <w:sz w:val="20"/>
                <w:szCs w:val="20"/>
                <w:lang w:val="hu-HU"/>
              </w:rPr>
              <w:t xml:space="preserve"> (%)</w:t>
            </w:r>
          </w:p>
        </w:tc>
        <w:tc>
          <w:tcPr>
            <w:tcW w:w="2342" w:type="dxa"/>
            <w:vAlign w:val="center"/>
          </w:tcPr>
          <w:p w14:paraId="00D51656"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6</w:t>
            </w:r>
          </w:p>
        </w:tc>
      </w:tr>
      <w:tr w:rsidR="00134672" w:rsidRPr="00F329BC" w14:paraId="2B042BB9" w14:textId="77777777" w:rsidTr="00A42786">
        <w:trPr>
          <w:trHeight w:val="288"/>
        </w:trPr>
        <w:tc>
          <w:tcPr>
            <w:tcW w:w="3059" w:type="dxa"/>
            <w:vAlign w:val="center"/>
            <w:hideMark/>
          </w:tcPr>
          <w:p w14:paraId="2415EA90"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proofErr w:type="spellStart"/>
            <w:r w:rsidRPr="00F329BC">
              <w:rPr>
                <w:color w:val="000000" w:themeColor="text1"/>
                <w:kern w:val="24"/>
                <w:sz w:val="20"/>
                <w:szCs w:val="20"/>
                <w:lang w:val="hu-HU"/>
              </w:rPr>
              <w:t>Organic</w:t>
            </w:r>
            <w:proofErr w:type="spellEnd"/>
            <w:r w:rsidRPr="00F329BC">
              <w:rPr>
                <w:color w:val="000000" w:themeColor="text1"/>
                <w:kern w:val="24"/>
                <w:sz w:val="20"/>
                <w:szCs w:val="20"/>
                <w:lang w:val="hu-HU"/>
              </w:rPr>
              <w:t xml:space="preserve"> </w:t>
            </w:r>
            <w:proofErr w:type="spellStart"/>
            <w:r w:rsidRPr="00F329BC">
              <w:rPr>
                <w:color w:val="000000" w:themeColor="text1"/>
                <w:kern w:val="24"/>
                <w:sz w:val="20"/>
                <w:szCs w:val="20"/>
                <w:lang w:val="hu-HU"/>
              </w:rPr>
              <w:t>matter</w:t>
            </w:r>
            <w:proofErr w:type="spellEnd"/>
            <w:r w:rsidRPr="00F329BC">
              <w:rPr>
                <w:color w:val="000000" w:themeColor="text1"/>
                <w:kern w:val="24"/>
                <w:sz w:val="20"/>
                <w:szCs w:val="20"/>
                <w:lang w:val="hu-HU"/>
              </w:rPr>
              <w:t xml:space="preserve"> (w/w%)</w:t>
            </w:r>
          </w:p>
        </w:tc>
        <w:tc>
          <w:tcPr>
            <w:tcW w:w="2342" w:type="dxa"/>
            <w:vAlign w:val="center"/>
            <w:hideMark/>
          </w:tcPr>
          <w:p w14:paraId="77D46A6F"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0.50</w:t>
            </w:r>
          </w:p>
        </w:tc>
      </w:tr>
      <w:tr w:rsidR="00134672" w:rsidRPr="00F329BC" w14:paraId="03F4E799" w14:textId="77777777" w:rsidTr="00A42786">
        <w:trPr>
          <w:trHeight w:val="288"/>
        </w:trPr>
        <w:tc>
          <w:tcPr>
            <w:tcW w:w="3059" w:type="dxa"/>
            <w:vAlign w:val="center"/>
            <w:hideMark/>
          </w:tcPr>
          <w:p w14:paraId="5A0E1460"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proofErr w:type="spellStart"/>
            <w:r w:rsidRPr="00F329BC">
              <w:rPr>
                <w:color w:val="000000" w:themeColor="text1"/>
                <w:kern w:val="24"/>
                <w:sz w:val="20"/>
                <w:szCs w:val="20"/>
                <w:lang w:val="hu-HU"/>
              </w:rPr>
              <w:t>CaCO</w:t>
            </w:r>
            <w:proofErr w:type="spellEnd"/>
            <w:r w:rsidRPr="00F329BC">
              <w:rPr>
                <w:color w:val="000000" w:themeColor="text1"/>
                <w:kern w:val="24"/>
                <w:position w:val="-6"/>
                <w:sz w:val="20"/>
                <w:szCs w:val="20"/>
                <w:vertAlign w:val="subscript"/>
                <w:lang w:val="hu-HU"/>
              </w:rPr>
              <w:t xml:space="preserve">3 </w:t>
            </w:r>
            <w:r w:rsidRPr="00F329BC">
              <w:rPr>
                <w:color w:val="000000" w:themeColor="text1"/>
                <w:kern w:val="24"/>
                <w:sz w:val="20"/>
                <w:szCs w:val="20"/>
                <w:lang w:val="hu-HU"/>
              </w:rPr>
              <w:t>(w/w%)</w:t>
            </w:r>
          </w:p>
        </w:tc>
        <w:tc>
          <w:tcPr>
            <w:tcW w:w="2342" w:type="dxa"/>
            <w:vAlign w:val="center"/>
            <w:hideMark/>
          </w:tcPr>
          <w:p w14:paraId="69307B3E"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16.1</w:t>
            </w:r>
          </w:p>
        </w:tc>
      </w:tr>
      <w:tr w:rsidR="00134672" w:rsidRPr="00F329BC" w14:paraId="3B399B2A" w14:textId="77777777" w:rsidTr="00A42786">
        <w:trPr>
          <w:trHeight w:val="288"/>
        </w:trPr>
        <w:tc>
          <w:tcPr>
            <w:tcW w:w="3059" w:type="dxa"/>
            <w:vAlign w:val="center"/>
          </w:tcPr>
          <w:p w14:paraId="65658589"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 xml:space="preserve">CEC (Na </w:t>
            </w:r>
            <w:proofErr w:type="spellStart"/>
            <w:r w:rsidRPr="00F329BC">
              <w:rPr>
                <w:color w:val="000000" w:themeColor="text1"/>
                <w:kern w:val="24"/>
                <w:sz w:val="20"/>
                <w:szCs w:val="20"/>
                <w:lang w:val="hu-HU"/>
              </w:rPr>
              <w:t>meq</w:t>
            </w:r>
            <w:proofErr w:type="spellEnd"/>
            <w:r w:rsidRPr="00F329BC">
              <w:rPr>
                <w:color w:val="000000" w:themeColor="text1"/>
                <w:kern w:val="24"/>
                <w:sz w:val="20"/>
                <w:szCs w:val="20"/>
                <w:lang w:val="hu-HU"/>
              </w:rPr>
              <w:t>/100g)</w:t>
            </w:r>
          </w:p>
        </w:tc>
        <w:tc>
          <w:tcPr>
            <w:tcW w:w="2342" w:type="dxa"/>
            <w:vAlign w:val="center"/>
          </w:tcPr>
          <w:p w14:paraId="02C0D860"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4.8</w:t>
            </w:r>
          </w:p>
        </w:tc>
      </w:tr>
      <w:tr w:rsidR="00134672" w:rsidRPr="00F329BC" w14:paraId="391D5E54" w14:textId="77777777" w:rsidTr="00A42786">
        <w:trPr>
          <w:trHeight w:val="288"/>
        </w:trPr>
        <w:tc>
          <w:tcPr>
            <w:tcW w:w="3059" w:type="dxa"/>
            <w:vAlign w:val="center"/>
            <w:hideMark/>
          </w:tcPr>
          <w:p w14:paraId="2C026E42"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AL-K</w:t>
            </w:r>
            <w:r w:rsidRPr="00F329BC">
              <w:rPr>
                <w:color w:val="000000" w:themeColor="text1"/>
                <w:kern w:val="24"/>
                <w:position w:val="-6"/>
                <w:sz w:val="20"/>
                <w:szCs w:val="20"/>
                <w:vertAlign w:val="subscript"/>
                <w:lang w:val="hu-HU"/>
              </w:rPr>
              <w:t>2</w:t>
            </w:r>
            <w:r w:rsidRPr="00F329BC">
              <w:rPr>
                <w:color w:val="000000" w:themeColor="text1"/>
                <w:kern w:val="24"/>
                <w:sz w:val="20"/>
                <w:szCs w:val="20"/>
                <w:lang w:val="hu-HU"/>
              </w:rPr>
              <w:t>O (mg/kg)</w:t>
            </w:r>
          </w:p>
        </w:tc>
        <w:tc>
          <w:tcPr>
            <w:tcW w:w="2342" w:type="dxa"/>
            <w:vAlign w:val="center"/>
            <w:hideMark/>
          </w:tcPr>
          <w:p w14:paraId="744C95D7" w14:textId="77777777" w:rsidR="00134672" w:rsidRPr="00F329BC" w:rsidRDefault="00134672" w:rsidP="00A42786">
            <w:pPr>
              <w:pStyle w:val="NormlWeb"/>
              <w:spacing w:before="0" w:beforeAutospacing="0" w:after="0" w:afterAutospacing="0" w:line="480" w:lineRule="auto"/>
              <w:jc w:val="both"/>
              <w:textAlignment w:val="top"/>
              <w:rPr>
                <w:color w:val="000000" w:themeColor="text1"/>
                <w:sz w:val="20"/>
                <w:szCs w:val="20"/>
              </w:rPr>
            </w:pPr>
            <w:r w:rsidRPr="00F329BC">
              <w:rPr>
                <w:color w:val="000000" w:themeColor="text1"/>
                <w:kern w:val="24"/>
                <w:sz w:val="20"/>
                <w:szCs w:val="20"/>
                <w:lang w:val="hu-HU"/>
              </w:rPr>
              <w:t>48</w:t>
            </w:r>
          </w:p>
        </w:tc>
      </w:tr>
      <w:tr w:rsidR="00134672" w:rsidRPr="00F329BC" w14:paraId="6B288382" w14:textId="77777777" w:rsidTr="00A42786">
        <w:trPr>
          <w:trHeight w:val="288"/>
        </w:trPr>
        <w:tc>
          <w:tcPr>
            <w:tcW w:w="3059" w:type="dxa"/>
            <w:vAlign w:val="center"/>
            <w:hideMark/>
          </w:tcPr>
          <w:p w14:paraId="36B894DB"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AL-P</w:t>
            </w:r>
            <w:r w:rsidRPr="00F329BC">
              <w:rPr>
                <w:color w:val="000000" w:themeColor="text1"/>
                <w:kern w:val="24"/>
                <w:position w:val="-6"/>
                <w:sz w:val="20"/>
                <w:szCs w:val="20"/>
                <w:vertAlign w:val="subscript"/>
                <w:lang w:val="hu-HU"/>
              </w:rPr>
              <w:t>2</w:t>
            </w:r>
            <w:r w:rsidRPr="00F329BC">
              <w:rPr>
                <w:color w:val="000000" w:themeColor="text1"/>
                <w:kern w:val="24"/>
                <w:sz w:val="20"/>
                <w:szCs w:val="20"/>
                <w:lang w:val="hu-HU"/>
              </w:rPr>
              <w:t>O</w:t>
            </w:r>
            <w:r w:rsidRPr="00F329BC">
              <w:rPr>
                <w:color w:val="000000" w:themeColor="text1"/>
                <w:kern w:val="24"/>
                <w:position w:val="-6"/>
                <w:sz w:val="20"/>
                <w:szCs w:val="20"/>
                <w:vertAlign w:val="subscript"/>
                <w:lang w:val="hu-HU"/>
              </w:rPr>
              <w:t xml:space="preserve">5 </w:t>
            </w:r>
            <w:r w:rsidRPr="00F329BC">
              <w:rPr>
                <w:color w:val="000000" w:themeColor="text1"/>
                <w:kern w:val="24"/>
                <w:sz w:val="20"/>
                <w:szCs w:val="20"/>
                <w:lang w:val="hu-HU"/>
              </w:rPr>
              <w:t>(mg/kg)</w:t>
            </w:r>
          </w:p>
        </w:tc>
        <w:tc>
          <w:tcPr>
            <w:tcW w:w="2342" w:type="dxa"/>
            <w:vAlign w:val="center"/>
            <w:hideMark/>
          </w:tcPr>
          <w:p w14:paraId="62337551" w14:textId="77777777" w:rsidR="00134672" w:rsidRPr="00F329BC" w:rsidRDefault="00134672" w:rsidP="00A42786">
            <w:pPr>
              <w:pStyle w:val="NormlWeb"/>
              <w:spacing w:before="0" w:beforeAutospacing="0" w:after="0" w:afterAutospacing="0" w:line="480" w:lineRule="auto"/>
              <w:jc w:val="both"/>
              <w:textAlignment w:val="top"/>
              <w:rPr>
                <w:color w:val="000000" w:themeColor="text1"/>
                <w:sz w:val="20"/>
                <w:szCs w:val="20"/>
              </w:rPr>
            </w:pPr>
            <w:r w:rsidRPr="00F329BC">
              <w:rPr>
                <w:color w:val="000000" w:themeColor="text1"/>
                <w:kern w:val="24"/>
                <w:sz w:val="20"/>
                <w:szCs w:val="20"/>
                <w:lang w:val="hu-HU"/>
              </w:rPr>
              <w:t>129</w:t>
            </w:r>
          </w:p>
        </w:tc>
      </w:tr>
      <w:tr w:rsidR="00134672" w:rsidRPr="00F329BC" w14:paraId="3986C11F" w14:textId="77777777" w:rsidTr="00A42786">
        <w:trPr>
          <w:trHeight w:val="288"/>
        </w:trPr>
        <w:tc>
          <w:tcPr>
            <w:tcW w:w="3059" w:type="dxa"/>
            <w:vAlign w:val="center"/>
          </w:tcPr>
          <w:p w14:paraId="0C49FF53" w14:textId="53ED1926"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 xml:space="preserve">Total </w:t>
            </w:r>
            <w:proofErr w:type="spellStart"/>
            <w:r w:rsidR="00016674">
              <w:rPr>
                <w:color w:val="000000" w:themeColor="text1"/>
                <w:kern w:val="24"/>
                <w:sz w:val="20"/>
                <w:szCs w:val="20"/>
                <w:lang w:val="hu-HU"/>
              </w:rPr>
              <w:t>nitrogen</w:t>
            </w:r>
            <w:proofErr w:type="spellEnd"/>
            <w:r w:rsidRPr="00F329BC">
              <w:rPr>
                <w:color w:val="000000" w:themeColor="text1"/>
                <w:kern w:val="24"/>
                <w:sz w:val="20"/>
                <w:szCs w:val="20"/>
                <w:lang w:val="hu-HU"/>
              </w:rPr>
              <w:t xml:space="preserve"> (w/w %)</w:t>
            </w:r>
          </w:p>
        </w:tc>
        <w:tc>
          <w:tcPr>
            <w:tcW w:w="2342" w:type="dxa"/>
            <w:vAlign w:val="center"/>
          </w:tcPr>
          <w:p w14:paraId="0DD4D89D" w14:textId="77777777" w:rsidR="00134672" w:rsidRPr="00F329BC" w:rsidRDefault="00134672" w:rsidP="00A42786">
            <w:pPr>
              <w:pStyle w:val="NormlWeb"/>
              <w:spacing w:before="0" w:beforeAutospacing="0" w:after="0" w:afterAutospacing="0" w:line="480" w:lineRule="auto"/>
              <w:jc w:val="both"/>
              <w:textAlignment w:val="top"/>
              <w:rPr>
                <w:color w:val="000000" w:themeColor="text1"/>
                <w:kern w:val="24"/>
                <w:sz w:val="20"/>
                <w:szCs w:val="20"/>
                <w:lang w:val="hu-HU"/>
              </w:rPr>
            </w:pPr>
            <w:r w:rsidRPr="00F329BC">
              <w:rPr>
                <w:color w:val="000000" w:themeColor="text1"/>
                <w:kern w:val="24"/>
                <w:sz w:val="20"/>
                <w:szCs w:val="20"/>
                <w:lang w:val="hu-HU"/>
              </w:rPr>
              <w:t>0.067</w:t>
            </w:r>
          </w:p>
        </w:tc>
      </w:tr>
      <w:tr w:rsidR="00134672" w:rsidRPr="00F329BC" w14:paraId="7A5F27B3" w14:textId="77777777" w:rsidTr="00A42786">
        <w:trPr>
          <w:trHeight w:val="288"/>
        </w:trPr>
        <w:tc>
          <w:tcPr>
            <w:tcW w:w="3059" w:type="dxa"/>
            <w:vAlign w:val="center"/>
            <w:hideMark/>
          </w:tcPr>
          <w:p w14:paraId="01ABA40C"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NH</w:t>
            </w:r>
            <w:r w:rsidRPr="00F329BC">
              <w:rPr>
                <w:color w:val="000000" w:themeColor="text1"/>
                <w:kern w:val="24"/>
                <w:position w:val="-6"/>
                <w:sz w:val="20"/>
                <w:szCs w:val="20"/>
                <w:vertAlign w:val="subscript"/>
                <w:lang w:val="hu-HU"/>
              </w:rPr>
              <w:t>4</w:t>
            </w:r>
            <w:r w:rsidRPr="00F329BC">
              <w:rPr>
                <w:color w:val="000000" w:themeColor="text1"/>
                <w:kern w:val="24"/>
                <w:sz w:val="20"/>
                <w:szCs w:val="20"/>
                <w:lang w:val="hu-HU"/>
              </w:rPr>
              <w:t>-N (mg/kg)</w:t>
            </w:r>
          </w:p>
        </w:tc>
        <w:tc>
          <w:tcPr>
            <w:tcW w:w="2342" w:type="dxa"/>
            <w:vAlign w:val="center"/>
            <w:hideMark/>
          </w:tcPr>
          <w:p w14:paraId="30C11569"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3.2</w:t>
            </w:r>
          </w:p>
        </w:tc>
      </w:tr>
      <w:tr w:rsidR="00134672" w:rsidRPr="00F329BC" w14:paraId="5C562176" w14:textId="77777777" w:rsidTr="00A42786">
        <w:trPr>
          <w:trHeight w:val="288"/>
        </w:trPr>
        <w:tc>
          <w:tcPr>
            <w:tcW w:w="3059" w:type="dxa"/>
            <w:vAlign w:val="center"/>
            <w:hideMark/>
          </w:tcPr>
          <w:p w14:paraId="2F82E49B"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NO</w:t>
            </w:r>
            <w:r w:rsidRPr="00F329BC">
              <w:rPr>
                <w:color w:val="000000" w:themeColor="text1"/>
                <w:kern w:val="24"/>
                <w:position w:val="-6"/>
                <w:sz w:val="20"/>
                <w:szCs w:val="20"/>
                <w:vertAlign w:val="subscript"/>
                <w:lang w:val="hu-HU"/>
              </w:rPr>
              <w:t>3</w:t>
            </w:r>
            <w:r w:rsidRPr="00F329BC">
              <w:rPr>
                <w:color w:val="000000" w:themeColor="text1"/>
                <w:kern w:val="24"/>
                <w:sz w:val="20"/>
                <w:szCs w:val="20"/>
                <w:lang w:val="hu-HU"/>
              </w:rPr>
              <w:t>-N (mg/kg)</w:t>
            </w:r>
          </w:p>
        </w:tc>
        <w:tc>
          <w:tcPr>
            <w:tcW w:w="2342" w:type="dxa"/>
            <w:vAlign w:val="center"/>
            <w:hideMark/>
          </w:tcPr>
          <w:p w14:paraId="4B88DB69"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sz w:val="20"/>
                <w:szCs w:val="20"/>
              </w:rPr>
            </w:pPr>
            <w:r w:rsidRPr="00F329BC">
              <w:rPr>
                <w:color w:val="000000" w:themeColor="text1"/>
                <w:kern w:val="24"/>
                <w:sz w:val="20"/>
                <w:szCs w:val="20"/>
                <w:lang w:val="hu-HU"/>
              </w:rPr>
              <w:t>3.2</w:t>
            </w:r>
          </w:p>
        </w:tc>
      </w:tr>
      <w:tr w:rsidR="00134672" w:rsidRPr="00F329BC" w14:paraId="21721B25" w14:textId="77777777" w:rsidTr="00A42786">
        <w:trPr>
          <w:trHeight w:val="288"/>
        </w:trPr>
        <w:tc>
          <w:tcPr>
            <w:tcW w:w="3059" w:type="dxa"/>
            <w:vAlign w:val="center"/>
          </w:tcPr>
          <w:p w14:paraId="6F4E8F4B"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proofErr w:type="spellStart"/>
            <w:r w:rsidRPr="00F329BC">
              <w:rPr>
                <w:color w:val="000000" w:themeColor="text1"/>
                <w:kern w:val="24"/>
                <w:sz w:val="20"/>
                <w:szCs w:val="20"/>
                <w:lang w:val="hu-HU"/>
              </w:rPr>
              <w:t>Pseudo-total</w:t>
            </w:r>
            <w:proofErr w:type="spellEnd"/>
            <w:r w:rsidRPr="00F329BC">
              <w:rPr>
                <w:color w:val="000000" w:themeColor="text1"/>
                <w:kern w:val="24"/>
                <w:sz w:val="20"/>
                <w:szCs w:val="20"/>
                <w:lang w:val="hu-HU"/>
              </w:rPr>
              <w:t xml:space="preserve"> </w:t>
            </w:r>
            <w:proofErr w:type="spellStart"/>
            <w:r w:rsidRPr="00F329BC">
              <w:rPr>
                <w:color w:val="000000" w:themeColor="text1"/>
                <w:kern w:val="24"/>
                <w:sz w:val="20"/>
                <w:szCs w:val="20"/>
                <w:lang w:val="hu-HU"/>
              </w:rPr>
              <w:t>As</w:t>
            </w:r>
            <w:proofErr w:type="spellEnd"/>
            <w:r w:rsidRPr="00F329BC">
              <w:rPr>
                <w:color w:val="000000" w:themeColor="text1"/>
                <w:kern w:val="24"/>
                <w:sz w:val="20"/>
                <w:szCs w:val="20"/>
                <w:lang w:val="hu-HU"/>
              </w:rPr>
              <w:t xml:space="preserve"> (mg/kg)</w:t>
            </w:r>
          </w:p>
        </w:tc>
        <w:tc>
          <w:tcPr>
            <w:tcW w:w="2342" w:type="dxa"/>
            <w:vAlign w:val="center"/>
          </w:tcPr>
          <w:p w14:paraId="33DC31E0"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3.5</w:t>
            </w:r>
          </w:p>
        </w:tc>
      </w:tr>
      <w:tr w:rsidR="00134672" w:rsidRPr="00F329BC" w14:paraId="22FEBE01" w14:textId="77777777" w:rsidTr="00A42786">
        <w:trPr>
          <w:trHeight w:val="288"/>
        </w:trPr>
        <w:tc>
          <w:tcPr>
            <w:tcW w:w="3059" w:type="dxa"/>
            <w:vAlign w:val="center"/>
          </w:tcPr>
          <w:p w14:paraId="318819D5"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proofErr w:type="spellStart"/>
            <w:r w:rsidRPr="00F329BC">
              <w:rPr>
                <w:color w:val="000000" w:themeColor="text1"/>
                <w:kern w:val="24"/>
                <w:sz w:val="20"/>
                <w:szCs w:val="20"/>
                <w:lang w:val="hu-HU"/>
              </w:rPr>
              <w:t>Water-soluble</w:t>
            </w:r>
            <w:proofErr w:type="spellEnd"/>
            <w:r w:rsidRPr="00F329BC">
              <w:rPr>
                <w:color w:val="000000" w:themeColor="text1"/>
                <w:kern w:val="24"/>
                <w:sz w:val="20"/>
                <w:szCs w:val="20"/>
                <w:lang w:val="hu-HU"/>
              </w:rPr>
              <w:t xml:space="preserve"> </w:t>
            </w:r>
            <w:proofErr w:type="spellStart"/>
            <w:r w:rsidRPr="00F329BC">
              <w:rPr>
                <w:color w:val="000000" w:themeColor="text1"/>
                <w:kern w:val="24"/>
                <w:sz w:val="20"/>
                <w:szCs w:val="20"/>
                <w:lang w:val="hu-HU"/>
              </w:rPr>
              <w:t>As</w:t>
            </w:r>
            <w:proofErr w:type="spellEnd"/>
            <w:r w:rsidRPr="00F329BC">
              <w:rPr>
                <w:color w:val="000000" w:themeColor="text1"/>
                <w:kern w:val="24"/>
                <w:sz w:val="20"/>
                <w:szCs w:val="20"/>
                <w:lang w:val="hu-HU"/>
              </w:rPr>
              <w:t xml:space="preserve"> (mg/kg)</w:t>
            </w:r>
          </w:p>
        </w:tc>
        <w:tc>
          <w:tcPr>
            <w:tcW w:w="2342" w:type="dxa"/>
            <w:vAlign w:val="center"/>
          </w:tcPr>
          <w:p w14:paraId="4D53CD7B"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lang w:val="hu-HU"/>
              </w:rPr>
              <w:t>0.023</w:t>
            </w:r>
          </w:p>
        </w:tc>
      </w:tr>
      <w:tr w:rsidR="00134672" w:rsidRPr="00F329BC" w14:paraId="4DBF8725" w14:textId="77777777" w:rsidTr="00A42786">
        <w:trPr>
          <w:trHeight w:val="288"/>
        </w:trPr>
        <w:tc>
          <w:tcPr>
            <w:tcW w:w="3059" w:type="dxa"/>
            <w:vAlign w:val="center"/>
          </w:tcPr>
          <w:tbl>
            <w:tblPr>
              <w:tblW w:w="0" w:type="auto"/>
              <w:tblBorders>
                <w:top w:val="nil"/>
                <w:left w:val="nil"/>
                <w:bottom w:val="nil"/>
                <w:right w:val="nil"/>
              </w:tblBorders>
              <w:tblLayout w:type="fixed"/>
              <w:tblLook w:val="0000" w:firstRow="0" w:lastRow="0" w:firstColumn="0" w:lastColumn="0" w:noHBand="0" w:noVBand="0"/>
            </w:tblPr>
            <w:tblGrid>
              <w:gridCol w:w="1290"/>
              <w:gridCol w:w="236"/>
            </w:tblGrid>
            <w:tr w:rsidR="00134672" w:rsidRPr="00F329BC" w14:paraId="3AC6F9B0" w14:textId="77777777" w:rsidTr="00A42786">
              <w:trPr>
                <w:trHeight w:val="100"/>
              </w:trPr>
              <w:tc>
                <w:tcPr>
                  <w:tcW w:w="1290" w:type="dxa"/>
                </w:tcPr>
                <w:p w14:paraId="21CBE96F" w14:textId="77777777" w:rsidR="00134672" w:rsidRPr="00F329BC" w:rsidRDefault="00134672" w:rsidP="00A42786">
                  <w:pPr>
                    <w:pStyle w:val="NormlWeb"/>
                    <w:framePr w:hSpace="141" w:wrap="around" w:vAnchor="text" w:hAnchor="text" w:xAlign="center" w:y="1"/>
                    <w:spacing w:line="480" w:lineRule="auto"/>
                    <w:suppressOverlap/>
                    <w:jc w:val="both"/>
                    <w:textAlignment w:val="bottom"/>
                    <w:rPr>
                      <w:color w:val="000000" w:themeColor="text1"/>
                      <w:kern w:val="24"/>
                      <w:sz w:val="20"/>
                      <w:szCs w:val="20"/>
                    </w:rPr>
                  </w:pPr>
                  <w:r w:rsidRPr="00F329BC">
                    <w:rPr>
                      <w:color w:val="000000" w:themeColor="text1"/>
                      <w:kern w:val="24"/>
                      <w:sz w:val="20"/>
                      <w:szCs w:val="20"/>
                    </w:rPr>
                    <w:t xml:space="preserve">Al (mg/kg) </w:t>
                  </w:r>
                </w:p>
              </w:tc>
              <w:tc>
                <w:tcPr>
                  <w:tcW w:w="222" w:type="dxa"/>
                </w:tcPr>
                <w:p w14:paraId="26C6FC3A" w14:textId="77777777" w:rsidR="00134672" w:rsidRPr="00F329BC" w:rsidRDefault="00134672" w:rsidP="00A42786">
                  <w:pPr>
                    <w:pStyle w:val="NormlWeb"/>
                    <w:framePr w:hSpace="141" w:wrap="around" w:vAnchor="text" w:hAnchor="text" w:xAlign="center" w:y="1"/>
                    <w:spacing w:line="480" w:lineRule="auto"/>
                    <w:suppressOverlap/>
                    <w:jc w:val="both"/>
                    <w:textAlignment w:val="bottom"/>
                    <w:rPr>
                      <w:color w:val="000000" w:themeColor="text1"/>
                      <w:kern w:val="24"/>
                      <w:sz w:val="20"/>
                      <w:szCs w:val="20"/>
                    </w:rPr>
                  </w:pPr>
                </w:p>
              </w:tc>
            </w:tr>
          </w:tbl>
          <w:p w14:paraId="7E65ACC0"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p>
        </w:tc>
        <w:tc>
          <w:tcPr>
            <w:tcW w:w="2342" w:type="dxa"/>
            <w:vAlign w:val="center"/>
          </w:tcPr>
          <w:p w14:paraId="1DA13D76"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lang w:val="hu-HU"/>
              </w:rPr>
            </w:pPr>
            <w:r w:rsidRPr="00F329BC">
              <w:rPr>
                <w:color w:val="000000" w:themeColor="text1"/>
                <w:kern w:val="24"/>
                <w:sz w:val="20"/>
                <w:szCs w:val="20"/>
              </w:rPr>
              <w:t>0.79</w:t>
            </w:r>
          </w:p>
        </w:tc>
      </w:tr>
      <w:tr w:rsidR="00134672" w:rsidRPr="00F329BC" w14:paraId="7CED1B30" w14:textId="77777777" w:rsidTr="00A42786">
        <w:trPr>
          <w:trHeight w:val="288"/>
        </w:trPr>
        <w:tc>
          <w:tcPr>
            <w:tcW w:w="3059" w:type="dxa"/>
            <w:vAlign w:val="center"/>
          </w:tcPr>
          <w:tbl>
            <w:tblPr>
              <w:tblW w:w="0" w:type="auto"/>
              <w:tblBorders>
                <w:top w:val="nil"/>
                <w:left w:val="nil"/>
                <w:bottom w:val="nil"/>
                <w:right w:val="nil"/>
              </w:tblBorders>
              <w:tblLayout w:type="fixed"/>
              <w:tblLook w:val="0000" w:firstRow="0" w:lastRow="0" w:firstColumn="0" w:lastColumn="0" w:noHBand="0" w:noVBand="0"/>
            </w:tblPr>
            <w:tblGrid>
              <w:gridCol w:w="1330"/>
              <w:gridCol w:w="236"/>
            </w:tblGrid>
            <w:tr w:rsidR="00134672" w:rsidRPr="00F329BC" w14:paraId="409E28F7" w14:textId="77777777" w:rsidTr="00A42786">
              <w:trPr>
                <w:trHeight w:val="100"/>
              </w:trPr>
              <w:tc>
                <w:tcPr>
                  <w:tcW w:w="1330" w:type="dxa"/>
                </w:tcPr>
                <w:p w14:paraId="47B087E2" w14:textId="77777777" w:rsidR="00134672" w:rsidRPr="00F329BC" w:rsidRDefault="00134672" w:rsidP="00A42786">
                  <w:pPr>
                    <w:pStyle w:val="NormlWeb"/>
                    <w:framePr w:hSpace="141" w:wrap="around" w:vAnchor="text" w:hAnchor="text" w:xAlign="center" w:y="1"/>
                    <w:spacing w:line="480" w:lineRule="auto"/>
                    <w:suppressOverlap/>
                    <w:jc w:val="both"/>
                    <w:textAlignment w:val="bottom"/>
                    <w:rPr>
                      <w:color w:val="000000" w:themeColor="text1"/>
                      <w:kern w:val="24"/>
                      <w:sz w:val="20"/>
                      <w:szCs w:val="20"/>
                    </w:rPr>
                  </w:pPr>
                  <w:r w:rsidRPr="00F329BC">
                    <w:rPr>
                      <w:color w:val="000000" w:themeColor="text1"/>
                      <w:kern w:val="24"/>
                      <w:sz w:val="20"/>
                      <w:szCs w:val="20"/>
                    </w:rPr>
                    <w:t xml:space="preserve">Cu (mg/kg) </w:t>
                  </w:r>
                </w:p>
              </w:tc>
              <w:tc>
                <w:tcPr>
                  <w:tcW w:w="222" w:type="dxa"/>
                </w:tcPr>
                <w:p w14:paraId="5A59C317" w14:textId="77777777" w:rsidR="00134672" w:rsidRPr="00F329BC" w:rsidRDefault="00134672" w:rsidP="00A42786">
                  <w:pPr>
                    <w:pStyle w:val="NormlWeb"/>
                    <w:framePr w:hSpace="141" w:wrap="around" w:vAnchor="text" w:hAnchor="text" w:xAlign="center" w:y="1"/>
                    <w:spacing w:line="480" w:lineRule="auto"/>
                    <w:suppressOverlap/>
                    <w:jc w:val="both"/>
                    <w:textAlignment w:val="bottom"/>
                    <w:rPr>
                      <w:color w:val="000000" w:themeColor="text1"/>
                      <w:kern w:val="24"/>
                      <w:sz w:val="20"/>
                      <w:szCs w:val="20"/>
                    </w:rPr>
                  </w:pPr>
                </w:p>
              </w:tc>
            </w:tr>
          </w:tbl>
          <w:p w14:paraId="0E965CE2"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rPr>
            </w:pPr>
          </w:p>
        </w:tc>
        <w:tc>
          <w:tcPr>
            <w:tcW w:w="2342" w:type="dxa"/>
            <w:vAlign w:val="center"/>
          </w:tcPr>
          <w:p w14:paraId="3975F2B7"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rPr>
            </w:pPr>
            <w:r w:rsidRPr="00F329BC">
              <w:rPr>
                <w:color w:val="000000" w:themeColor="text1"/>
                <w:kern w:val="24"/>
                <w:sz w:val="20"/>
                <w:szCs w:val="20"/>
              </w:rPr>
              <w:t>4.43</w:t>
            </w:r>
          </w:p>
        </w:tc>
      </w:tr>
      <w:tr w:rsidR="00134672" w:rsidRPr="00F329BC" w14:paraId="73FDB4B2" w14:textId="77777777" w:rsidTr="00A42786">
        <w:trPr>
          <w:trHeight w:val="288"/>
        </w:trPr>
        <w:tc>
          <w:tcPr>
            <w:tcW w:w="3059" w:type="dxa"/>
            <w:vAlign w:val="center"/>
          </w:tcPr>
          <w:tbl>
            <w:tblPr>
              <w:tblW w:w="0" w:type="auto"/>
              <w:tblBorders>
                <w:top w:val="nil"/>
                <w:left w:val="nil"/>
                <w:bottom w:val="nil"/>
                <w:right w:val="nil"/>
              </w:tblBorders>
              <w:tblLayout w:type="fixed"/>
              <w:tblLook w:val="0000" w:firstRow="0" w:lastRow="0" w:firstColumn="0" w:lastColumn="0" w:noHBand="0" w:noVBand="0"/>
            </w:tblPr>
            <w:tblGrid>
              <w:gridCol w:w="1316"/>
            </w:tblGrid>
            <w:tr w:rsidR="00134672" w:rsidRPr="00F329BC" w14:paraId="36596217" w14:textId="77777777" w:rsidTr="00A42786">
              <w:trPr>
                <w:trHeight w:val="100"/>
              </w:trPr>
              <w:tc>
                <w:tcPr>
                  <w:tcW w:w="1316" w:type="dxa"/>
                </w:tcPr>
                <w:p w14:paraId="2F38EFEF" w14:textId="77777777" w:rsidR="00134672" w:rsidRPr="00F329BC" w:rsidRDefault="00134672" w:rsidP="00A42786">
                  <w:pPr>
                    <w:pStyle w:val="NormlWeb"/>
                    <w:framePr w:hSpace="141" w:wrap="around" w:vAnchor="text" w:hAnchor="text" w:xAlign="center" w:y="1"/>
                    <w:spacing w:before="0" w:beforeAutospacing="0" w:after="0" w:afterAutospacing="0" w:line="480" w:lineRule="auto"/>
                    <w:suppressOverlap/>
                    <w:jc w:val="both"/>
                    <w:textAlignment w:val="bottom"/>
                    <w:rPr>
                      <w:color w:val="000000" w:themeColor="text1"/>
                      <w:kern w:val="24"/>
                      <w:sz w:val="20"/>
                      <w:szCs w:val="20"/>
                    </w:rPr>
                  </w:pPr>
                  <w:r w:rsidRPr="00F329BC">
                    <w:rPr>
                      <w:color w:val="000000" w:themeColor="text1"/>
                      <w:kern w:val="24"/>
                      <w:sz w:val="20"/>
                      <w:szCs w:val="20"/>
                    </w:rPr>
                    <w:t xml:space="preserve">Zn (mg/kg) </w:t>
                  </w:r>
                </w:p>
              </w:tc>
            </w:tr>
          </w:tbl>
          <w:p w14:paraId="1E14E406"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rPr>
            </w:pPr>
          </w:p>
        </w:tc>
        <w:tc>
          <w:tcPr>
            <w:tcW w:w="2342" w:type="dxa"/>
            <w:vAlign w:val="center"/>
          </w:tcPr>
          <w:p w14:paraId="227C8197" w14:textId="77777777" w:rsidR="00134672" w:rsidRPr="00F329BC" w:rsidRDefault="00134672" w:rsidP="00A42786">
            <w:pPr>
              <w:rPr>
                <w:rFonts w:ascii="Times New Roman" w:eastAsia="Times New Roman" w:hAnsi="Times New Roman" w:cs="Times New Roman"/>
                <w:color w:val="000000" w:themeColor="text1"/>
                <w:kern w:val="24"/>
                <w:sz w:val="20"/>
                <w:szCs w:val="20"/>
              </w:rPr>
            </w:pPr>
            <w:r w:rsidRPr="00F329BC">
              <w:rPr>
                <w:rFonts w:ascii="Times New Roman" w:eastAsia="Times New Roman" w:hAnsi="Times New Roman" w:cs="Times New Roman"/>
                <w:color w:val="000000" w:themeColor="text1"/>
                <w:kern w:val="24"/>
                <w:sz w:val="20"/>
                <w:szCs w:val="20"/>
              </w:rPr>
              <w:t>8.17</w:t>
            </w:r>
          </w:p>
          <w:p w14:paraId="1D84354E" w14:textId="77777777" w:rsidR="00134672" w:rsidRPr="00F329BC" w:rsidRDefault="00134672" w:rsidP="00A42786">
            <w:pPr>
              <w:pStyle w:val="NormlWeb"/>
              <w:spacing w:before="0" w:beforeAutospacing="0" w:after="0" w:afterAutospacing="0" w:line="480" w:lineRule="auto"/>
              <w:jc w:val="both"/>
              <w:textAlignment w:val="bottom"/>
              <w:rPr>
                <w:color w:val="000000" w:themeColor="text1"/>
                <w:kern w:val="24"/>
                <w:sz w:val="20"/>
                <w:szCs w:val="20"/>
              </w:rPr>
            </w:pPr>
          </w:p>
        </w:tc>
      </w:tr>
    </w:tbl>
    <w:p w14:paraId="6709F5D1" w14:textId="77777777" w:rsidR="00134672" w:rsidRPr="00F329BC" w:rsidRDefault="00134672" w:rsidP="00134672">
      <w:pPr>
        <w:spacing w:line="480" w:lineRule="auto"/>
        <w:ind w:firstLine="576"/>
        <w:jc w:val="both"/>
        <w:rPr>
          <w:rFonts w:ascii="Times New Roman" w:hAnsi="Times New Roman" w:cs="Times New Roman"/>
          <w:color w:val="000000" w:themeColor="text1"/>
          <w:sz w:val="20"/>
          <w:szCs w:val="20"/>
        </w:rPr>
      </w:pPr>
    </w:p>
    <w:p w14:paraId="04283529" w14:textId="77777777" w:rsidR="00134672" w:rsidRPr="00F329BC" w:rsidRDefault="00134672" w:rsidP="00134672">
      <w:pPr>
        <w:spacing w:line="480" w:lineRule="auto"/>
        <w:jc w:val="both"/>
        <w:rPr>
          <w:rFonts w:ascii="Times New Roman" w:hAnsi="Times New Roman" w:cs="Times New Roman"/>
          <w:b/>
          <w:bCs/>
          <w:i/>
          <w:iCs/>
          <w:color w:val="000000" w:themeColor="text1"/>
          <w:sz w:val="20"/>
          <w:szCs w:val="20"/>
        </w:rPr>
      </w:pPr>
    </w:p>
    <w:p w14:paraId="54DE5223" w14:textId="77777777" w:rsidR="00134672" w:rsidRDefault="00134672" w:rsidP="00134672">
      <w:pPr>
        <w:pStyle w:val="Cmsor3"/>
        <w:spacing w:before="0" w:line="480" w:lineRule="auto"/>
        <w:jc w:val="both"/>
        <w:rPr>
          <w:rFonts w:ascii="Times New Roman" w:hAnsi="Times New Roman" w:cs="Times New Roman"/>
          <w:b/>
          <w:bCs/>
          <w:color w:val="000000" w:themeColor="text1"/>
          <w:sz w:val="20"/>
          <w:szCs w:val="20"/>
        </w:rPr>
      </w:pPr>
    </w:p>
    <w:p w14:paraId="1D46A204" w14:textId="77777777" w:rsidR="00486EF2" w:rsidRDefault="00486EF2" w:rsidP="00486EF2"/>
    <w:p w14:paraId="17196575" w14:textId="77777777" w:rsidR="00EB2746" w:rsidRDefault="00EB2746" w:rsidP="00486EF2">
      <w:pPr>
        <w:spacing w:line="480" w:lineRule="auto"/>
        <w:rPr>
          <w:rFonts w:ascii="Times New Roman" w:eastAsia="Calibri" w:hAnsi="Times New Roman" w:cs="Times New Roman"/>
          <w:b/>
          <w:color w:val="000000" w:themeColor="text1"/>
          <w:sz w:val="20"/>
          <w:szCs w:val="20"/>
          <w:lang w:val="en-IN"/>
        </w:rPr>
      </w:pPr>
    </w:p>
    <w:p w14:paraId="19D783C0" w14:textId="77777777" w:rsidR="00EB2746" w:rsidRDefault="00EB2746" w:rsidP="00486EF2">
      <w:pPr>
        <w:spacing w:line="480" w:lineRule="auto"/>
        <w:rPr>
          <w:rFonts w:ascii="Times New Roman" w:eastAsia="Calibri" w:hAnsi="Times New Roman" w:cs="Times New Roman"/>
          <w:b/>
          <w:color w:val="000000" w:themeColor="text1"/>
          <w:sz w:val="20"/>
          <w:szCs w:val="20"/>
          <w:lang w:val="en-IN"/>
        </w:rPr>
      </w:pPr>
    </w:p>
    <w:p w14:paraId="2217ADBB" w14:textId="77777777" w:rsidR="00EB2746" w:rsidRDefault="00EB2746" w:rsidP="00486EF2">
      <w:pPr>
        <w:spacing w:line="480" w:lineRule="auto"/>
        <w:rPr>
          <w:rFonts w:ascii="Times New Roman" w:eastAsia="Calibri" w:hAnsi="Times New Roman" w:cs="Times New Roman"/>
          <w:b/>
          <w:color w:val="000000" w:themeColor="text1"/>
          <w:sz w:val="20"/>
          <w:szCs w:val="20"/>
          <w:lang w:val="en-IN"/>
        </w:rPr>
      </w:pPr>
    </w:p>
    <w:p w14:paraId="6C836E75" w14:textId="77777777" w:rsidR="004C0C46" w:rsidRDefault="004C0C46" w:rsidP="00D11787">
      <w:pPr>
        <w:spacing w:line="480" w:lineRule="auto"/>
        <w:jc w:val="both"/>
        <w:rPr>
          <w:rFonts w:ascii="Times New Roman" w:eastAsia="Calibri" w:hAnsi="Times New Roman" w:cs="Times New Roman"/>
          <w:b/>
          <w:color w:val="000000" w:themeColor="text1"/>
          <w:sz w:val="20"/>
          <w:szCs w:val="20"/>
          <w:lang w:val="en-IN"/>
        </w:rPr>
      </w:pPr>
    </w:p>
    <w:p w14:paraId="47B79B74" w14:textId="77777777" w:rsidR="004C0C46" w:rsidRDefault="004C0C46" w:rsidP="00D11787">
      <w:pPr>
        <w:spacing w:line="480" w:lineRule="auto"/>
        <w:jc w:val="both"/>
        <w:rPr>
          <w:rFonts w:ascii="Times New Roman" w:eastAsia="Calibri" w:hAnsi="Times New Roman" w:cs="Times New Roman"/>
          <w:b/>
          <w:color w:val="000000" w:themeColor="text1"/>
          <w:sz w:val="20"/>
          <w:szCs w:val="20"/>
          <w:lang w:val="en-IN"/>
        </w:rPr>
      </w:pPr>
    </w:p>
    <w:p w14:paraId="73B86EA7" w14:textId="77777777" w:rsidR="004C0C46" w:rsidRDefault="004C0C46" w:rsidP="00D11787">
      <w:pPr>
        <w:spacing w:line="480" w:lineRule="auto"/>
        <w:jc w:val="both"/>
        <w:rPr>
          <w:rFonts w:ascii="Times New Roman" w:eastAsia="Calibri" w:hAnsi="Times New Roman" w:cs="Times New Roman"/>
          <w:b/>
          <w:color w:val="000000" w:themeColor="text1"/>
          <w:sz w:val="20"/>
          <w:szCs w:val="20"/>
          <w:lang w:val="en-IN"/>
        </w:rPr>
      </w:pPr>
    </w:p>
    <w:p w14:paraId="34D55E1A" w14:textId="77777777" w:rsidR="004C0C46" w:rsidRDefault="004C0C46" w:rsidP="00D11787">
      <w:pPr>
        <w:spacing w:line="480" w:lineRule="auto"/>
        <w:jc w:val="both"/>
        <w:rPr>
          <w:rFonts w:ascii="Times New Roman" w:eastAsia="Calibri" w:hAnsi="Times New Roman" w:cs="Times New Roman"/>
          <w:b/>
          <w:color w:val="000000" w:themeColor="text1"/>
          <w:sz w:val="20"/>
          <w:szCs w:val="20"/>
          <w:lang w:val="en-IN"/>
        </w:rPr>
      </w:pPr>
    </w:p>
    <w:p w14:paraId="1A6D78DA" w14:textId="77777777" w:rsidR="004C0C46" w:rsidRDefault="004C0C46" w:rsidP="00D11787">
      <w:pPr>
        <w:spacing w:line="480" w:lineRule="auto"/>
        <w:jc w:val="both"/>
        <w:rPr>
          <w:rFonts w:ascii="Times New Roman" w:eastAsia="Calibri" w:hAnsi="Times New Roman" w:cs="Times New Roman"/>
          <w:b/>
          <w:color w:val="000000" w:themeColor="text1"/>
          <w:sz w:val="20"/>
          <w:szCs w:val="20"/>
          <w:lang w:val="en-IN"/>
        </w:rPr>
      </w:pPr>
    </w:p>
    <w:p w14:paraId="7261F5D0" w14:textId="77777777" w:rsidR="00E40213" w:rsidRDefault="00E40213" w:rsidP="00D11787">
      <w:pPr>
        <w:spacing w:line="480" w:lineRule="auto"/>
        <w:jc w:val="both"/>
        <w:rPr>
          <w:rFonts w:ascii="Times New Roman" w:eastAsia="Calibri" w:hAnsi="Times New Roman" w:cs="Times New Roman"/>
          <w:b/>
          <w:color w:val="000000" w:themeColor="text1"/>
          <w:sz w:val="20"/>
          <w:szCs w:val="20"/>
          <w:lang w:val="en-IN"/>
        </w:rPr>
      </w:pPr>
    </w:p>
    <w:p w14:paraId="74428E4B" w14:textId="77777777" w:rsidR="00E40213" w:rsidRDefault="00E40213" w:rsidP="00D11787">
      <w:pPr>
        <w:spacing w:line="480" w:lineRule="auto"/>
        <w:jc w:val="both"/>
        <w:rPr>
          <w:rFonts w:ascii="Times New Roman" w:eastAsia="Calibri" w:hAnsi="Times New Roman" w:cs="Times New Roman"/>
          <w:b/>
          <w:color w:val="000000" w:themeColor="text1"/>
          <w:sz w:val="20"/>
          <w:szCs w:val="20"/>
          <w:lang w:val="en-IN"/>
        </w:rPr>
      </w:pPr>
    </w:p>
    <w:p w14:paraId="7DC5F8CF" w14:textId="33202BF1" w:rsidR="00134672" w:rsidRPr="00D11787" w:rsidRDefault="00615125" w:rsidP="00D11787">
      <w:pPr>
        <w:spacing w:line="480" w:lineRule="auto"/>
        <w:jc w:val="both"/>
        <w:rPr>
          <w:rFonts w:ascii="Times New Roman" w:hAnsi="Times New Roman" w:cs="Times New Roman"/>
          <w:color w:val="000000" w:themeColor="text1"/>
          <w:sz w:val="20"/>
          <w:szCs w:val="20"/>
        </w:rPr>
      </w:pPr>
      <w:r>
        <w:rPr>
          <w:rFonts w:ascii="Times New Roman" w:eastAsia="Calibri" w:hAnsi="Times New Roman" w:cs="Times New Roman"/>
          <w:b/>
          <w:color w:val="000000" w:themeColor="text1"/>
          <w:sz w:val="20"/>
          <w:szCs w:val="20"/>
          <w:lang w:val="en-IN"/>
        </w:rPr>
        <w:t xml:space="preserve">Table </w:t>
      </w:r>
      <w:r w:rsidR="008A02FE">
        <w:rPr>
          <w:rFonts w:ascii="Times New Roman" w:eastAsia="Calibri" w:hAnsi="Times New Roman" w:cs="Times New Roman"/>
          <w:b/>
          <w:color w:val="000000" w:themeColor="text1"/>
          <w:sz w:val="20"/>
          <w:szCs w:val="20"/>
          <w:lang w:val="en-IN"/>
        </w:rPr>
        <w:t>S</w:t>
      </w:r>
      <w:r w:rsidR="0076380C">
        <w:rPr>
          <w:rFonts w:ascii="Times New Roman" w:eastAsia="Calibri" w:hAnsi="Times New Roman" w:cs="Times New Roman"/>
          <w:b/>
          <w:color w:val="000000" w:themeColor="text1"/>
          <w:sz w:val="20"/>
          <w:szCs w:val="20"/>
          <w:lang w:val="en-IN"/>
        </w:rPr>
        <w:t>4</w:t>
      </w:r>
      <w:r>
        <w:rPr>
          <w:rFonts w:ascii="Times New Roman" w:hAnsi="Times New Roman" w:cs="Times New Roman"/>
          <w:color w:val="000000" w:themeColor="text1"/>
          <w:sz w:val="20"/>
          <w:szCs w:val="20"/>
        </w:rPr>
        <w:t xml:space="preserve"> Physical and chemical parameters of the soi</w:t>
      </w:r>
      <w:r w:rsidR="00D11787">
        <w:rPr>
          <w:rFonts w:ascii="Times New Roman" w:hAnsi="Times New Roman" w:cs="Times New Roman"/>
          <w:color w:val="000000" w:themeColor="text1"/>
          <w:sz w:val="20"/>
          <w:szCs w:val="20"/>
        </w:rPr>
        <w:t>l</w:t>
      </w:r>
    </w:p>
    <w:p w14:paraId="7D82EC6D" w14:textId="633CA0EB" w:rsidR="00134672" w:rsidRDefault="00134672"/>
    <w:p w14:paraId="154CC7D3" w14:textId="07C739A4" w:rsidR="00875ADF" w:rsidRDefault="00875ADF" w:rsidP="00357B17">
      <w:pPr>
        <w:spacing w:line="480" w:lineRule="auto"/>
        <w:jc w:val="both"/>
      </w:pPr>
    </w:p>
    <w:p w14:paraId="00FAF803" w14:textId="77777777" w:rsidR="004C0C46" w:rsidRDefault="004C0C46" w:rsidP="00357B17">
      <w:pPr>
        <w:spacing w:line="480" w:lineRule="auto"/>
        <w:jc w:val="both"/>
        <w:rPr>
          <w:rFonts w:ascii="Times New Roman" w:eastAsia="Calibri" w:hAnsi="Times New Roman" w:cs="Times New Roman"/>
          <w:b/>
          <w:color w:val="000000" w:themeColor="text1"/>
          <w:sz w:val="24"/>
          <w:szCs w:val="24"/>
          <w:lang w:val="en-IN"/>
        </w:rPr>
      </w:pPr>
    </w:p>
    <w:p w14:paraId="54D0F940" w14:textId="466E6CB2" w:rsidR="00357B17" w:rsidRDefault="00357B17" w:rsidP="00357B17">
      <w:pPr>
        <w:spacing w:line="480" w:lineRule="auto"/>
        <w:jc w:val="both"/>
        <w:rPr>
          <w:rFonts w:ascii="Times New Roman" w:eastAsia="Calibri" w:hAnsi="Times New Roman" w:cs="Times New Roman"/>
          <w:b/>
          <w:color w:val="000000" w:themeColor="text1"/>
          <w:sz w:val="24"/>
          <w:szCs w:val="24"/>
          <w:lang w:val="en-IN"/>
        </w:rPr>
      </w:pPr>
      <w:r w:rsidRPr="00357B17">
        <w:rPr>
          <w:rFonts w:ascii="Times New Roman" w:eastAsia="Calibri" w:hAnsi="Times New Roman" w:cs="Times New Roman"/>
          <w:b/>
          <w:color w:val="000000" w:themeColor="text1"/>
          <w:sz w:val="24"/>
          <w:szCs w:val="24"/>
          <w:lang w:val="en-IN"/>
        </w:rPr>
        <w:t>References</w:t>
      </w:r>
    </w:p>
    <w:p w14:paraId="5339ECE5" w14:textId="6A516679" w:rsidR="00DC4EB3" w:rsidRPr="00DC4EB3" w:rsidRDefault="00357B17" w:rsidP="00DC4EB3">
      <w:pPr>
        <w:widowControl w:val="0"/>
        <w:autoSpaceDE w:val="0"/>
        <w:autoSpaceDN w:val="0"/>
        <w:adjustRightInd w:val="0"/>
        <w:spacing w:line="480" w:lineRule="auto"/>
        <w:ind w:left="480" w:hanging="480"/>
        <w:rPr>
          <w:rFonts w:ascii="Times New Roman" w:hAnsi="Times New Roman" w:cs="Times New Roman"/>
          <w:noProof/>
          <w:sz w:val="20"/>
          <w:szCs w:val="24"/>
        </w:rPr>
      </w:pPr>
      <w:r w:rsidRPr="00875ADF">
        <w:rPr>
          <w:rFonts w:ascii="Times New Roman" w:eastAsia="Calibri" w:hAnsi="Times New Roman" w:cs="Times New Roman"/>
          <w:b/>
          <w:color w:val="000000" w:themeColor="text1"/>
          <w:sz w:val="20"/>
          <w:szCs w:val="20"/>
          <w:lang w:val="en-IN"/>
        </w:rPr>
        <w:fldChar w:fldCharType="begin" w:fldLock="1"/>
      </w:r>
      <w:r w:rsidRPr="00875ADF">
        <w:rPr>
          <w:rFonts w:ascii="Times New Roman" w:eastAsia="Calibri" w:hAnsi="Times New Roman" w:cs="Times New Roman"/>
          <w:b/>
          <w:color w:val="000000" w:themeColor="text1"/>
          <w:sz w:val="20"/>
          <w:szCs w:val="20"/>
          <w:lang w:val="en-IN"/>
        </w:rPr>
        <w:instrText xml:space="preserve">ADDIN Mendeley Bibliography CSL_BIBLIOGRAPHY </w:instrText>
      </w:r>
      <w:r w:rsidRPr="00875ADF">
        <w:rPr>
          <w:rFonts w:ascii="Times New Roman" w:eastAsia="Calibri" w:hAnsi="Times New Roman" w:cs="Times New Roman"/>
          <w:b/>
          <w:color w:val="000000" w:themeColor="text1"/>
          <w:sz w:val="20"/>
          <w:szCs w:val="20"/>
          <w:lang w:val="en-IN"/>
        </w:rPr>
        <w:fldChar w:fldCharType="separate"/>
      </w:r>
      <w:r w:rsidR="00DC4EB3" w:rsidRPr="00DC4EB3">
        <w:rPr>
          <w:rFonts w:ascii="Times New Roman" w:hAnsi="Times New Roman" w:cs="Times New Roman"/>
          <w:noProof/>
          <w:sz w:val="20"/>
          <w:szCs w:val="24"/>
        </w:rPr>
        <w:t>Biswas A, Swain S, Chowdhury NR, et al (2019) Arsenic contamination in Kolkata metropolitan city: perspective of transportation of agricultural products from arsenic-endemic areas. Environ Sci Pollut Res 26:22929–22944. https://doi.org/10.1007/s11356-019-05595-z</w:t>
      </w:r>
    </w:p>
    <w:p w14:paraId="7041F9FC" w14:textId="77777777" w:rsidR="00DC4EB3" w:rsidRPr="00DC4EB3" w:rsidRDefault="00DC4EB3" w:rsidP="00DC4EB3">
      <w:pPr>
        <w:widowControl w:val="0"/>
        <w:autoSpaceDE w:val="0"/>
        <w:autoSpaceDN w:val="0"/>
        <w:adjustRightInd w:val="0"/>
        <w:spacing w:line="480" w:lineRule="auto"/>
        <w:ind w:left="480" w:hanging="480"/>
        <w:rPr>
          <w:rFonts w:ascii="Times New Roman" w:hAnsi="Times New Roman" w:cs="Times New Roman"/>
          <w:noProof/>
          <w:sz w:val="20"/>
          <w:szCs w:val="24"/>
        </w:rPr>
      </w:pPr>
      <w:r w:rsidRPr="00DC4EB3">
        <w:rPr>
          <w:rFonts w:ascii="Times New Roman" w:hAnsi="Times New Roman" w:cs="Times New Roman"/>
          <w:noProof/>
          <w:sz w:val="20"/>
          <w:szCs w:val="24"/>
        </w:rPr>
        <w:lastRenderedPageBreak/>
        <w:t>Rehman ZU, Khan S, Qin K, et al (2016) Quantification of inorganic arsenic exposure and cancer risk via consumption of vegetables in southern selected districts of Pakistan. Sci Total Environ 550:321–329. https://doi.org/10.1016/j.scitotenv.2016.01.094</w:t>
      </w:r>
    </w:p>
    <w:p w14:paraId="2E202EDC" w14:textId="77777777" w:rsidR="00DC4EB3" w:rsidRPr="00DC4EB3" w:rsidRDefault="00DC4EB3" w:rsidP="00DC4EB3">
      <w:pPr>
        <w:widowControl w:val="0"/>
        <w:autoSpaceDE w:val="0"/>
        <w:autoSpaceDN w:val="0"/>
        <w:adjustRightInd w:val="0"/>
        <w:spacing w:line="480" w:lineRule="auto"/>
        <w:ind w:left="480" w:hanging="480"/>
        <w:rPr>
          <w:rFonts w:ascii="Times New Roman" w:hAnsi="Times New Roman" w:cs="Times New Roman"/>
          <w:noProof/>
          <w:sz w:val="20"/>
          <w:szCs w:val="24"/>
        </w:rPr>
      </w:pPr>
      <w:r w:rsidRPr="00DC4EB3">
        <w:rPr>
          <w:rFonts w:ascii="Times New Roman" w:hAnsi="Times New Roman" w:cs="Times New Roman"/>
          <w:noProof/>
          <w:sz w:val="20"/>
          <w:szCs w:val="24"/>
        </w:rPr>
        <w:t>Sandil S, Dobosy P, Kröpfl K, et al (2019) Effect of irrigation water containing arsenic on elemental composition of bean and lettuce plants cultivated in calcareous sandy soil. Food Prod Process Nutr 1:14. https://doi.org/10.1186/s43014-019-0014-3</w:t>
      </w:r>
    </w:p>
    <w:p w14:paraId="23B28092" w14:textId="77777777" w:rsidR="00DC4EB3" w:rsidRPr="00DC4EB3" w:rsidRDefault="00DC4EB3" w:rsidP="00DC4EB3">
      <w:pPr>
        <w:widowControl w:val="0"/>
        <w:autoSpaceDE w:val="0"/>
        <w:autoSpaceDN w:val="0"/>
        <w:adjustRightInd w:val="0"/>
        <w:spacing w:line="480" w:lineRule="auto"/>
        <w:ind w:left="480" w:hanging="480"/>
        <w:rPr>
          <w:rFonts w:ascii="Times New Roman" w:hAnsi="Times New Roman" w:cs="Times New Roman"/>
          <w:noProof/>
          <w:sz w:val="20"/>
          <w:szCs w:val="24"/>
        </w:rPr>
      </w:pPr>
      <w:r w:rsidRPr="00DC4EB3">
        <w:rPr>
          <w:rFonts w:ascii="Times New Roman" w:hAnsi="Times New Roman" w:cs="Times New Roman"/>
          <w:noProof/>
          <w:sz w:val="20"/>
          <w:szCs w:val="24"/>
        </w:rPr>
        <w:t>Sharma S, Kaur J, Nagpal AK, Kaur I (2016) Quantitative assessment of possible human health risk associated with consumption of arsenic contaminated groundwater and wheat grains from Ropar Wetand and its environs. Environ Monit Assess 188:. https://doi.org/10.1007/s10661-016-5507-9</w:t>
      </w:r>
    </w:p>
    <w:p w14:paraId="5D5AACF7" w14:textId="77777777" w:rsidR="00664AB6" w:rsidRDefault="00664AB6" w:rsidP="00664AB6">
      <w:pPr>
        <w:widowControl w:val="0"/>
        <w:autoSpaceDE w:val="0"/>
        <w:autoSpaceDN w:val="0"/>
        <w:adjustRightInd w:val="0"/>
        <w:spacing w:after="0" w:line="480" w:lineRule="auto"/>
        <w:ind w:left="480" w:hanging="480"/>
        <w:rPr>
          <w:rFonts w:ascii="Times New Roman" w:hAnsi="Times New Roman" w:cs="Times New Roman"/>
          <w:noProof/>
          <w:sz w:val="20"/>
          <w:szCs w:val="24"/>
        </w:rPr>
      </w:pPr>
      <w:bookmarkStart w:id="4" w:name="_Hlk113375688"/>
      <w:r>
        <w:rPr>
          <w:rFonts w:ascii="Times New Roman" w:hAnsi="Times New Roman" w:cs="Times New Roman"/>
          <w:noProof/>
          <w:sz w:val="20"/>
          <w:szCs w:val="24"/>
        </w:rPr>
        <w:t>USEPA. 2012. Integrated risk information system (IRIS). Available at:  https://www.epa.gov/iris</w:t>
      </w:r>
      <w:bookmarkEnd w:id="4"/>
    </w:p>
    <w:p w14:paraId="11FB21EE" w14:textId="77777777" w:rsidR="00DC4EB3" w:rsidRPr="00DC4EB3" w:rsidRDefault="00DC4EB3" w:rsidP="00DC4EB3">
      <w:pPr>
        <w:widowControl w:val="0"/>
        <w:autoSpaceDE w:val="0"/>
        <w:autoSpaceDN w:val="0"/>
        <w:adjustRightInd w:val="0"/>
        <w:spacing w:line="480" w:lineRule="auto"/>
        <w:ind w:left="480" w:hanging="480"/>
        <w:rPr>
          <w:rFonts w:ascii="Times New Roman" w:hAnsi="Times New Roman" w:cs="Times New Roman"/>
          <w:noProof/>
          <w:sz w:val="20"/>
        </w:rPr>
      </w:pPr>
      <w:r w:rsidRPr="00DC4EB3">
        <w:rPr>
          <w:rFonts w:ascii="Times New Roman" w:hAnsi="Times New Roman" w:cs="Times New Roman"/>
          <w:noProof/>
          <w:sz w:val="20"/>
          <w:szCs w:val="24"/>
        </w:rPr>
        <w:t>Walpole SC, Prieto-Merino D, Edwards P, et al (2012) The weight of nations: An estimation of adult human biomass. BMC Public Health 12:. https://doi.org/10.1186/1471-2458-12-439</w:t>
      </w:r>
    </w:p>
    <w:p w14:paraId="78E543BC" w14:textId="3EF8A095" w:rsidR="00357B17" w:rsidRDefault="00357B17" w:rsidP="00357B17">
      <w:pPr>
        <w:spacing w:line="480" w:lineRule="auto"/>
        <w:jc w:val="both"/>
        <w:rPr>
          <w:rFonts w:ascii="Times New Roman" w:eastAsia="Calibri" w:hAnsi="Times New Roman" w:cs="Times New Roman"/>
          <w:b/>
          <w:color w:val="000000" w:themeColor="text1"/>
          <w:sz w:val="24"/>
          <w:szCs w:val="24"/>
          <w:lang w:val="en-IN"/>
        </w:rPr>
      </w:pPr>
      <w:r w:rsidRPr="00875ADF">
        <w:rPr>
          <w:rFonts w:ascii="Times New Roman" w:eastAsia="Calibri" w:hAnsi="Times New Roman" w:cs="Times New Roman"/>
          <w:b/>
          <w:color w:val="000000" w:themeColor="text1"/>
          <w:sz w:val="20"/>
          <w:szCs w:val="20"/>
          <w:lang w:val="en-IN"/>
        </w:rPr>
        <w:fldChar w:fldCharType="end"/>
      </w:r>
    </w:p>
    <w:p w14:paraId="0BE1E636" w14:textId="77777777" w:rsidR="00357B17" w:rsidRPr="00357B17" w:rsidRDefault="00357B17" w:rsidP="00357B17">
      <w:pPr>
        <w:spacing w:line="480" w:lineRule="auto"/>
        <w:jc w:val="both"/>
        <w:rPr>
          <w:rFonts w:ascii="Times New Roman" w:eastAsia="Calibri" w:hAnsi="Times New Roman" w:cs="Times New Roman"/>
          <w:b/>
          <w:color w:val="000000" w:themeColor="text1"/>
          <w:sz w:val="24"/>
          <w:szCs w:val="24"/>
          <w:lang w:val="en-IN"/>
        </w:rPr>
      </w:pPr>
    </w:p>
    <w:sectPr w:rsidR="00357B17" w:rsidRPr="00357B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EB3CFA"/>
    <w:multiLevelType w:val="multilevel"/>
    <w:tmpl w:val="42F06D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19473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A2MwKRBhaGJpamSjpKwanFxZn5eSAFhga1AECBufQtAAAA"/>
  </w:docVars>
  <w:rsids>
    <w:rsidRoot w:val="00BB6528"/>
    <w:rsid w:val="00016674"/>
    <w:rsid w:val="00086C06"/>
    <w:rsid w:val="000A5CA8"/>
    <w:rsid w:val="000B08E5"/>
    <w:rsid w:val="000C1958"/>
    <w:rsid w:val="0011311F"/>
    <w:rsid w:val="00134672"/>
    <w:rsid w:val="001C7D7A"/>
    <w:rsid w:val="001F5386"/>
    <w:rsid w:val="001F7E36"/>
    <w:rsid w:val="002029E2"/>
    <w:rsid w:val="0020312C"/>
    <w:rsid w:val="002F0662"/>
    <w:rsid w:val="002F22C2"/>
    <w:rsid w:val="00314AF5"/>
    <w:rsid w:val="00357B17"/>
    <w:rsid w:val="003D460F"/>
    <w:rsid w:val="00486EF2"/>
    <w:rsid w:val="004B5CBC"/>
    <w:rsid w:val="004C0C46"/>
    <w:rsid w:val="00547BD5"/>
    <w:rsid w:val="00600F0E"/>
    <w:rsid w:val="006030B3"/>
    <w:rsid w:val="00615125"/>
    <w:rsid w:val="00620FEE"/>
    <w:rsid w:val="00664AB6"/>
    <w:rsid w:val="006C15DA"/>
    <w:rsid w:val="0076380C"/>
    <w:rsid w:val="0077520B"/>
    <w:rsid w:val="007B2E61"/>
    <w:rsid w:val="0080249C"/>
    <w:rsid w:val="00856D11"/>
    <w:rsid w:val="008727EE"/>
    <w:rsid w:val="00875ADF"/>
    <w:rsid w:val="008A02FE"/>
    <w:rsid w:val="008E1339"/>
    <w:rsid w:val="008F18C1"/>
    <w:rsid w:val="009B17B9"/>
    <w:rsid w:val="00A06218"/>
    <w:rsid w:val="00A06C16"/>
    <w:rsid w:val="00A42786"/>
    <w:rsid w:val="00AB4BA1"/>
    <w:rsid w:val="00AD7D97"/>
    <w:rsid w:val="00AE6068"/>
    <w:rsid w:val="00B61277"/>
    <w:rsid w:val="00BB6528"/>
    <w:rsid w:val="00BC6FB5"/>
    <w:rsid w:val="00C1797C"/>
    <w:rsid w:val="00C728E3"/>
    <w:rsid w:val="00D11787"/>
    <w:rsid w:val="00D24EC7"/>
    <w:rsid w:val="00D30D63"/>
    <w:rsid w:val="00D42B95"/>
    <w:rsid w:val="00DB3A4F"/>
    <w:rsid w:val="00DB42B0"/>
    <w:rsid w:val="00DC4EB3"/>
    <w:rsid w:val="00E40213"/>
    <w:rsid w:val="00EA73F4"/>
    <w:rsid w:val="00EB2746"/>
    <w:rsid w:val="00EC25FE"/>
    <w:rsid w:val="00EF4FD9"/>
    <w:rsid w:val="00F20F63"/>
    <w:rsid w:val="00F663CE"/>
    <w:rsid w:val="00FF7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9DF74"/>
  <w15:docId w15:val="{52536829-AD28-40B6-AEFA-57B3472C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C15DA"/>
  </w:style>
  <w:style w:type="paragraph" w:styleId="Cmsor3">
    <w:name w:val="heading 3"/>
    <w:basedOn w:val="Norml"/>
    <w:next w:val="Norml"/>
    <w:link w:val="Cmsor3Char"/>
    <w:uiPriority w:val="9"/>
    <w:unhideWhenUsed/>
    <w:qFormat/>
    <w:rsid w:val="0013467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59"/>
    <w:rsid w:val="006C15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3Char">
    <w:name w:val="Címsor 3 Char"/>
    <w:basedOn w:val="Bekezdsalapbettpusa"/>
    <w:link w:val="Cmsor3"/>
    <w:uiPriority w:val="9"/>
    <w:rsid w:val="00134672"/>
    <w:rPr>
      <w:rFonts w:asciiTheme="majorHAnsi" w:eastAsiaTheme="majorEastAsia" w:hAnsiTheme="majorHAnsi" w:cstheme="majorBidi"/>
      <w:color w:val="1F3763" w:themeColor="accent1" w:themeShade="7F"/>
      <w:sz w:val="24"/>
      <w:szCs w:val="24"/>
    </w:rPr>
  </w:style>
  <w:style w:type="paragraph" w:styleId="NormlWeb">
    <w:name w:val="Normal (Web)"/>
    <w:basedOn w:val="Norml"/>
    <w:uiPriority w:val="99"/>
    <w:unhideWhenUsed/>
    <w:rsid w:val="00134672"/>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
    <w:name w:val="Table Grid3"/>
    <w:basedOn w:val="Normltblzat"/>
    <w:next w:val="Rcsostblzat"/>
    <w:uiPriority w:val="59"/>
    <w:rsid w:val="00486EF2"/>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Normltblzat"/>
    <w:next w:val="Rcsostblzat"/>
    <w:uiPriority w:val="59"/>
    <w:rsid w:val="00C728E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D24EC7"/>
    <w:rPr>
      <w:color w:val="0563C1" w:themeColor="hyperlink"/>
      <w:u w:val="single"/>
    </w:rPr>
  </w:style>
  <w:style w:type="paragraph" w:styleId="Cm">
    <w:name w:val="Title"/>
    <w:basedOn w:val="Norml"/>
    <w:next w:val="Norml"/>
    <w:link w:val="CmChar"/>
    <w:uiPriority w:val="10"/>
    <w:qFormat/>
    <w:rsid w:val="00547B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547BD5"/>
    <w:rPr>
      <w:rFonts w:asciiTheme="majorHAnsi" w:eastAsiaTheme="majorEastAsia" w:hAnsiTheme="majorHAnsi" w:cstheme="majorBidi"/>
      <w:spacing w:val="-10"/>
      <w:kern w:val="28"/>
      <w:sz w:val="56"/>
      <w:szCs w:val="56"/>
    </w:rPr>
  </w:style>
  <w:style w:type="paragraph" w:customStyle="1" w:styleId="MDPI16affiliation">
    <w:name w:val="MDPI_1.6_affiliation"/>
    <w:basedOn w:val="Norml"/>
    <w:uiPriority w:val="99"/>
    <w:qFormat/>
    <w:rsid w:val="00547BD5"/>
    <w:pPr>
      <w:adjustRightInd w:val="0"/>
      <w:snapToGrid w:val="0"/>
      <w:spacing w:after="0" w:line="200" w:lineRule="atLeast"/>
      <w:ind w:left="311" w:hanging="198"/>
    </w:pPr>
    <w:rPr>
      <w:rFonts w:ascii="Palatino Linotype" w:eastAsia="Times New Roman" w:hAnsi="Palatino Linotype" w:cs="Times New Roman"/>
      <w:color w:val="000000"/>
      <w:kern w:val="24"/>
      <w:sz w:val="18"/>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750372">
      <w:bodyDiv w:val="1"/>
      <w:marLeft w:val="0"/>
      <w:marRight w:val="0"/>
      <w:marTop w:val="0"/>
      <w:marBottom w:val="0"/>
      <w:divBdr>
        <w:top w:val="none" w:sz="0" w:space="0" w:color="auto"/>
        <w:left w:val="none" w:sz="0" w:space="0" w:color="auto"/>
        <w:bottom w:val="none" w:sz="0" w:space="0" w:color="auto"/>
        <w:right w:val="none" w:sz="0" w:space="0" w:color="auto"/>
      </w:divBdr>
    </w:div>
    <w:div w:id="302394852">
      <w:bodyDiv w:val="1"/>
      <w:marLeft w:val="0"/>
      <w:marRight w:val="0"/>
      <w:marTop w:val="0"/>
      <w:marBottom w:val="0"/>
      <w:divBdr>
        <w:top w:val="none" w:sz="0" w:space="0" w:color="auto"/>
        <w:left w:val="none" w:sz="0" w:space="0" w:color="auto"/>
        <w:bottom w:val="none" w:sz="0" w:space="0" w:color="auto"/>
        <w:right w:val="none" w:sz="0" w:space="0" w:color="auto"/>
      </w:divBdr>
    </w:div>
    <w:div w:id="988435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dredi.anett@ecolres.hu" TargetMode="External"/><Relationship Id="rId13" Type="http://schemas.openxmlformats.org/officeDocument/2006/relationships/image" Target="media/image2.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mailto:zaray.gyula@ecolres.hu" TargetMode="External"/><Relationship Id="rId12" Type="http://schemas.openxmlformats.org/officeDocument/2006/relationships/image" Target="media/image1.tiff"/><Relationship Id="rId17" Type="http://schemas.openxmlformats.org/officeDocument/2006/relationships/image" Target="media/image6.tif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sirat.sandil@ecolres.hucom" TargetMode="External"/><Relationship Id="rId11" Type="http://schemas.openxmlformats.org/officeDocument/2006/relationships/hyperlink" Target="mailto:dobosy.peter@ecolres.hu" TargetMode="External"/><Relationship Id="rId5" Type="http://schemas.openxmlformats.org/officeDocument/2006/relationships/webSettings" Target="webSettings.xml"/><Relationship Id="rId15" Type="http://schemas.openxmlformats.org/officeDocument/2006/relationships/image" Target="media/image4.tiff"/><Relationship Id="rId10" Type="http://schemas.openxmlformats.org/officeDocument/2006/relationships/hyperlink" Target="mailto:takacs.tunde@atk.hu"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dobosy.peter@ecolres.hu" TargetMode="External"/><Relationship Id="rId14"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C4B05-CC45-4A55-AAC1-2306008D6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4883</Words>
  <Characters>33695</Characters>
  <Application>Microsoft Office Word</Application>
  <DocSecurity>0</DocSecurity>
  <Lines>280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Sirat Sandil</dc:creator>
  <cp:keywords/>
  <dc:description/>
  <cp:lastModifiedBy>Péter Dobosy</cp:lastModifiedBy>
  <cp:revision>2</cp:revision>
  <dcterms:created xsi:type="dcterms:W3CDTF">2023-10-24T19:16:00Z</dcterms:created>
  <dcterms:modified xsi:type="dcterms:W3CDTF">2023-10-24T19:16:00Z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http://www.zotero.org/styles/environmental-science-and-pollution-research</vt:lpwstr>
  </property>
  <property fmtid="{D5CDD505-2E9C-101B-9397-08002B2CF9AE}" pid="4" name="Mendeley Unique User Id_1">
    <vt:lpwstr>f71057ce-948b-3fe4-b413-aa1fe7407839</vt:lpwstr>
  </property>
  <property fmtid="{D5CDD505-2E9C-101B-9397-08002B2CF9AE}" pid="5" name="Mendeley Recent Style Id 0_1">
    <vt:lpwstr>http://www.zotero.org/styles/american-sociological-association</vt:lpwstr>
  </property>
  <property fmtid="{D5CDD505-2E9C-101B-9397-08002B2CF9AE}" pid="6" name="Mendeley Recent Style Name 0_1">
    <vt:lpwstr>American Sociological Association 6th edition</vt:lpwstr>
  </property>
  <property fmtid="{D5CDD505-2E9C-101B-9397-08002B2CF9AE}" pid="7" name="Mendeley Recent Style Id 1_1">
    <vt:lpwstr>http://www.zotero.org/styles/chemosphere</vt:lpwstr>
  </property>
  <property fmtid="{D5CDD505-2E9C-101B-9397-08002B2CF9AE}" pid="8" name="Mendeley Recent Style Name 1_1">
    <vt:lpwstr>Chemosphere</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11th edition - Harvard</vt:lpwstr>
  </property>
  <property fmtid="{D5CDD505-2E9C-101B-9397-08002B2CF9AE}" pid="13" name="Mendeley Recent Style Id 4_1">
    <vt:lpwstr>http://www.zotero.org/styles/ecotoxicology-and-environmental-safety</vt:lpwstr>
  </property>
  <property fmtid="{D5CDD505-2E9C-101B-9397-08002B2CF9AE}" pid="14" name="Mendeley Recent Style Name 4_1">
    <vt:lpwstr>Ecotoxicology and Environmental Safety</vt:lpwstr>
  </property>
  <property fmtid="{D5CDD505-2E9C-101B-9397-08002B2CF9AE}" pid="15" name="Mendeley Recent Style Id 5_1">
    <vt:lpwstr>http://www.zotero.org/styles/environmental-science-and-pollution-research</vt:lpwstr>
  </property>
  <property fmtid="{D5CDD505-2E9C-101B-9397-08002B2CF9AE}" pid="16" name="Mendeley Recent Style Name 5_1">
    <vt:lpwstr>Environmental Science and Pollution Research</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http://www.zotero.org/styles/science-of-the-total-environment</vt:lpwstr>
  </property>
  <property fmtid="{D5CDD505-2E9C-101B-9397-08002B2CF9AE}" pid="24" name="Mendeley Recent Style Name 9_1">
    <vt:lpwstr>Science of the Total Environment</vt:lpwstr>
  </property>
</Properties>
</file>