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3914243" w14:textId="77777777" w:rsidR="00A13107" w:rsidRPr="00695C87" w:rsidRDefault="00A13107" w:rsidP="00A13107">
      <w:pPr>
        <w:spacing w:line="48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 w:eastAsia="de-DE"/>
        </w:rPr>
      </w:pPr>
      <w:bookmarkStart w:id="0" w:name="_GoBack"/>
      <w:bookmarkEnd w:id="0"/>
      <w:r w:rsidRPr="00695C87">
        <w:rPr>
          <w:rFonts w:ascii="Times New Roman" w:eastAsia="Times New Roman" w:hAnsi="Times New Roman" w:cs="Times New Roman"/>
          <w:b/>
          <w:sz w:val="24"/>
          <w:szCs w:val="24"/>
          <w:lang w:val="en-US" w:eastAsia="de-DE"/>
        </w:rPr>
        <w:t>Supplementary materials</w:t>
      </w:r>
    </w:p>
    <w:p w14:paraId="76A7B2F1" w14:textId="78B7C682" w:rsidR="00A13107" w:rsidRPr="0001074B" w:rsidRDefault="00A13107" w:rsidP="00A13107">
      <w:pPr>
        <w:spacing w:line="48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de-DE"/>
        </w:rPr>
      </w:pPr>
      <w:r w:rsidRPr="0001074B">
        <w:rPr>
          <w:rFonts w:ascii="Times New Roman" w:hAnsi="Times New Roman" w:cs="Times New Roman"/>
          <w:b/>
          <w:sz w:val="20"/>
          <w:szCs w:val="20"/>
          <w:lang w:val="en-US"/>
        </w:rPr>
        <w:t>Fig. S1:</w:t>
      </w:r>
      <w:r w:rsidRPr="00731153">
        <w:rPr>
          <w:rFonts w:ascii="Times New Roman" w:hAnsi="Times New Roman" w:cs="Times New Roman"/>
          <w:sz w:val="20"/>
          <w:szCs w:val="20"/>
          <w:lang w:val="en-US"/>
        </w:rPr>
        <w:t xml:space="preserve"> Hazard ratio</w:t>
      </w:r>
      <w:r>
        <w:rPr>
          <w:rFonts w:ascii="Times New Roman" w:hAnsi="Times New Roman" w:cs="Times New Roman"/>
          <w:sz w:val="20"/>
          <w:szCs w:val="20"/>
          <w:lang w:val="en-US"/>
        </w:rPr>
        <w:t>s</w:t>
      </w:r>
      <w:r w:rsidR="0001074B">
        <w:rPr>
          <w:rFonts w:ascii="Times New Roman" w:hAnsi="Times New Roman" w:cs="Times New Roman"/>
          <w:sz w:val="20"/>
          <w:szCs w:val="20"/>
          <w:lang w:val="en-US"/>
        </w:rPr>
        <w:t xml:space="preserve"> (HR) </w:t>
      </w:r>
      <w:r w:rsidRPr="00731153">
        <w:rPr>
          <w:rFonts w:ascii="Times New Roman" w:hAnsi="Times New Roman" w:cs="Times New Roman"/>
          <w:sz w:val="20"/>
          <w:szCs w:val="20"/>
          <w:lang w:val="en-US"/>
        </w:rPr>
        <w:t>of tested products and their combination</w:t>
      </w:r>
      <w:r w:rsidR="000F5115">
        <w:rPr>
          <w:rFonts w:ascii="Times New Roman" w:hAnsi="Times New Roman" w:cs="Times New Roman"/>
          <w:sz w:val="20"/>
          <w:szCs w:val="20"/>
          <w:lang w:val="en-US"/>
        </w:rPr>
        <w:t xml:space="preserve"> after (A) chronic or (B) acute exposure</w:t>
      </w:r>
      <w:r w:rsidRPr="00731153">
        <w:rPr>
          <w:rFonts w:ascii="Times New Roman" w:hAnsi="Times New Roman" w:cs="Times New Roman"/>
          <w:sz w:val="20"/>
          <w:szCs w:val="20"/>
          <w:lang w:val="en-US"/>
        </w:rPr>
        <w:t>. (K</w:t>
      </w:r>
      <w:r>
        <w:rPr>
          <w:rFonts w:ascii="Times New Roman" w:hAnsi="Times New Roman" w:cs="Times New Roman"/>
          <w:sz w:val="20"/>
          <w:szCs w:val="20"/>
          <w:lang w:val="en-US"/>
        </w:rPr>
        <w:t>) control, (N) Naturalis</w:t>
      </w:r>
      <w:r w:rsidRPr="0001074B">
        <w:rPr>
          <w:rFonts w:ascii="Times New Roman" w:eastAsia="Times New Roman" w:hAnsi="Times New Roman" w:cs="Times New Roman"/>
          <w:color w:val="000000"/>
          <w:sz w:val="20"/>
          <w:szCs w:val="20"/>
          <w:vertAlign w:val="superscript"/>
          <w:lang w:val="en-US" w:eastAsia="de-DE"/>
        </w:rPr>
        <w:t>®</w:t>
      </w:r>
      <w:r>
        <w:rPr>
          <w:rFonts w:ascii="Times New Roman" w:hAnsi="Times New Roman" w:cs="Times New Roman"/>
          <w:sz w:val="20"/>
          <w:szCs w:val="20"/>
          <w:lang w:val="en-US"/>
        </w:rPr>
        <w:t>, (L.P)</w:t>
      </w:r>
      <w:r w:rsidRPr="0001074B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de-DE"/>
        </w:rPr>
        <w:t xml:space="preserve"> Lepinox</w:t>
      </w:r>
      <w:r w:rsidRPr="0001074B">
        <w:rPr>
          <w:rFonts w:ascii="Times New Roman" w:eastAsia="Times New Roman" w:hAnsi="Times New Roman" w:cs="Times New Roman"/>
          <w:color w:val="000000"/>
          <w:sz w:val="20"/>
          <w:szCs w:val="20"/>
          <w:vertAlign w:val="superscript"/>
          <w:lang w:val="en-US" w:eastAsia="de-DE"/>
        </w:rPr>
        <w:t>®</w:t>
      </w:r>
      <w:r w:rsidRPr="0001074B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de-DE"/>
        </w:rPr>
        <w:t xml:space="preserve"> Plus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, (M.M) </w:t>
      </w:r>
      <w:r w:rsidRPr="00EF0218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de-DE"/>
        </w:rPr>
        <w:t>Madex</w:t>
      </w:r>
      <w:r w:rsidRPr="00EF0218">
        <w:rPr>
          <w:rFonts w:ascii="Times New Roman" w:eastAsia="Times New Roman" w:hAnsi="Times New Roman" w:cs="Times New Roman"/>
          <w:color w:val="000000"/>
          <w:sz w:val="20"/>
          <w:szCs w:val="20"/>
          <w:vertAlign w:val="superscript"/>
          <w:lang w:val="en-US" w:eastAsia="de-DE"/>
        </w:rPr>
        <w:t>®</w:t>
      </w:r>
      <w:r w:rsidRPr="00EF0218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de-DE"/>
        </w:rPr>
        <w:t xml:space="preserve"> MAX</w:t>
      </w:r>
      <w:r>
        <w:rPr>
          <w:rFonts w:ascii="Times New Roman" w:hAnsi="Times New Roman" w:cs="Times New Roman"/>
          <w:sz w:val="20"/>
          <w:szCs w:val="20"/>
          <w:lang w:val="en-US"/>
        </w:rPr>
        <w:t>,</w:t>
      </w:r>
      <w:r w:rsidRPr="00731153">
        <w:rPr>
          <w:rFonts w:ascii="Times New Roman" w:hAnsi="Times New Roman" w:cs="Times New Roman"/>
          <w:sz w:val="20"/>
          <w:szCs w:val="20"/>
          <w:lang w:val="en-US"/>
        </w:rPr>
        <w:t xml:space="preserve"> (F.B)</w:t>
      </w:r>
      <w:r>
        <w:rPr>
          <w:rFonts w:ascii="Times New Roman" w:hAnsi="Times New Roman" w:cs="Times New Roman"/>
          <w:sz w:val="20"/>
          <w:szCs w:val="20"/>
          <w:lang w:val="en-US"/>
        </w:rPr>
        <w:t>;</w:t>
      </w:r>
      <w:r w:rsidRPr="00A158C2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de-DE"/>
        </w:rPr>
        <w:t xml:space="preserve"> </w:t>
      </w:r>
      <w:r w:rsidRPr="00EF0218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de-DE"/>
        </w:rPr>
        <w:t>FlorBac</w:t>
      </w:r>
      <w:r w:rsidRPr="00EF0218">
        <w:rPr>
          <w:rFonts w:ascii="Times New Roman" w:eastAsia="Times New Roman" w:hAnsi="Times New Roman" w:cs="Times New Roman"/>
          <w:color w:val="000000"/>
          <w:sz w:val="20"/>
          <w:szCs w:val="20"/>
          <w:vertAlign w:val="superscript"/>
          <w:lang w:val="en-US" w:eastAsia="de-DE"/>
        </w:rPr>
        <w:t>®</w:t>
      </w:r>
      <w:r w:rsidRPr="00731153">
        <w:rPr>
          <w:rFonts w:ascii="Times New Roman" w:hAnsi="Times New Roman" w:cs="Times New Roman"/>
          <w:sz w:val="20"/>
          <w:szCs w:val="20"/>
          <w:lang w:val="en-US"/>
        </w:rPr>
        <w:t xml:space="preserve"> (S.A.)</w:t>
      </w:r>
      <w:r>
        <w:rPr>
          <w:rFonts w:ascii="Times New Roman" w:hAnsi="Times New Roman" w:cs="Times New Roman"/>
          <w:sz w:val="20"/>
          <w:szCs w:val="20"/>
          <w:lang w:val="en-US"/>
        </w:rPr>
        <w:t>,</w:t>
      </w:r>
      <w:r w:rsidRPr="00731153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en-US"/>
        </w:rPr>
        <w:t>Snerade ASO,</w:t>
      </w:r>
      <w:r w:rsidRPr="005D1065">
        <w:rPr>
          <w:rFonts w:ascii="Times New Roman" w:hAnsi="Times New Roman" w:cs="Times New Roman"/>
          <w:sz w:val="20"/>
          <w:szCs w:val="20"/>
          <w:lang w:val="en-US"/>
        </w:rPr>
        <w:t xml:space="preserve"> (T1)</w:t>
      </w:r>
      <w:r w:rsidRPr="00A158C2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de-DE"/>
        </w:rPr>
        <w:t xml:space="preserve"> </w:t>
      </w:r>
      <w:r w:rsidRPr="00EF0218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de-DE"/>
        </w:rPr>
        <w:t>Naturalis</w:t>
      </w:r>
      <w:r w:rsidRPr="00EF0218">
        <w:rPr>
          <w:rFonts w:ascii="Times New Roman" w:eastAsia="Times New Roman" w:hAnsi="Times New Roman" w:cs="Times New Roman"/>
          <w:color w:val="000000"/>
          <w:sz w:val="20"/>
          <w:szCs w:val="20"/>
          <w:vertAlign w:val="superscript"/>
          <w:lang w:val="en-US" w:eastAsia="de-DE"/>
        </w:rPr>
        <w:t>®</w:t>
      </w:r>
      <w:r w:rsidRPr="00EF0218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de-DE"/>
        </w:rPr>
        <w:t xml:space="preserve"> + FlorBac</w:t>
      </w:r>
      <w:r w:rsidRPr="00EF0218">
        <w:rPr>
          <w:rFonts w:ascii="Times New Roman" w:eastAsia="Times New Roman" w:hAnsi="Times New Roman" w:cs="Times New Roman"/>
          <w:color w:val="000000"/>
          <w:sz w:val="20"/>
          <w:szCs w:val="20"/>
          <w:vertAlign w:val="superscript"/>
          <w:lang w:val="en-US" w:eastAsia="de-DE"/>
        </w:rPr>
        <w:t>®</w:t>
      </w:r>
      <w:r>
        <w:rPr>
          <w:rFonts w:ascii="Times New Roman" w:hAnsi="Times New Roman" w:cs="Times New Roman"/>
          <w:sz w:val="20"/>
          <w:szCs w:val="20"/>
          <w:lang w:val="en-US"/>
        </w:rPr>
        <w:t>, (T2)</w:t>
      </w:r>
      <w:r w:rsidRPr="00A158C2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de-DE"/>
        </w:rPr>
        <w:t xml:space="preserve"> </w:t>
      </w:r>
      <w:r w:rsidRPr="00EF0218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de-DE"/>
        </w:rPr>
        <w:t>Naturalis</w:t>
      </w:r>
      <w:r w:rsidRPr="00EF0218">
        <w:rPr>
          <w:rFonts w:ascii="Times New Roman" w:eastAsia="Times New Roman" w:hAnsi="Times New Roman" w:cs="Times New Roman"/>
          <w:color w:val="000000"/>
          <w:sz w:val="20"/>
          <w:szCs w:val="20"/>
          <w:vertAlign w:val="superscript"/>
          <w:lang w:val="en-US" w:eastAsia="de-DE"/>
        </w:rPr>
        <w:t>®</w:t>
      </w:r>
      <w:r w:rsidRPr="00EF0218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de-DE"/>
        </w:rPr>
        <w:t xml:space="preserve"> + </w:t>
      </w:r>
      <w:r w:rsidRPr="0069454C">
        <w:rPr>
          <w:rFonts w:ascii="Times New Roman" w:hAnsi="Times New Roman" w:cs="Times New Roman"/>
          <w:sz w:val="20"/>
          <w:szCs w:val="20"/>
          <w:lang w:val="en-US"/>
        </w:rPr>
        <w:t>Madex</w:t>
      </w:r>
      <w:r w:rsidRPr="00EF0218">
        <w:rPr>
          <w:rFonts w:ascii="Times New Roman" w:eastAsia="Times New Roman" w:hAnsi="Times New Roman" w:cs="Times New Roman"/>
          <w:color w:val="000000"/>
          <w:sz w:val="20"/>
          <w:szCs w:val="20"/>
          <w:vertAlign w:val="superscript"/>
          <w:lang w:val="en-US" w:eastAsia="de-DE"/>
        </w:rPr>
        <w:t>®</w:t>
      </w:r>
      <w:r w:rsidRPr="00EF0218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de-DE"/>
        </w:rPr>
        <w:t xml:space="preserve"> MAX</w:t>
      </w:r>
      <w:r w:rsidRPr="005D1065">
        <w:rPr>
          <w:rFonts w:ascii="Times New Roman" w:hAnsi="Times New Roman" w:cs="Times New Roman"/>
          <w:sz w:val="20"/>
          <w:szCs w:val="20"/>
          <w:lang w:val="en-US"/>
        </w:rPr>
        <w:t>, (T3)</w:t>
      </w:r>
      <w:r w:rsidRPr="0001074B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de-DE"/>
        </w:rPr>
        <w:t xml:space="preserve"> Naturalis</w:t>
      </w:r>
      <w:r w:rsidRPr="0001074B">
        <w:rPr>
          <w:rFonts w:ascii="Times New Roman" w:eastAsia="Times New Roman" w:hAnsi="Times New Roman" w:cs="Times New Roman"/>
          <w:color w:val="000000"/>
          <w:sz w:val="20"/>
          <w:szCs w:val="20"/>
          <w:vertAlign w:val="superscript"/>
          <w:lang w:val="en-US" w:eastAsia="de-DE"/>
        </w:rPr>
        <w:t>®</w:t>
      </w:r>
      <w:r w:rsidRPr="0001074B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de-DE"/>
        </w:rPr>
        <w:t xml:space="preserve"> + Lepinox</w:t>
      </w:r>
      <w:r w:rsidRPr="0001074B">
        <w:rPr>
          <w:rFonts w:ascii="Times New Roman" w:eastAsia="Times New Roman" w:hAnsi="Times New Roman" w:cs="Times New Roman"/>
          <w:color w:val="000000"/>
          <w:sz w:val="20"/>
          <w:szCs w:val="20"/>
          <w:vertAlign w:val="superscript"/>
          <w:lang w:val="en-US" w:eastAsia="de-DE"/>
        </w:rPr>
        <w:t>®</w:t>
      </w:r>
      <w:r w:rsidRPr="0001074B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de-DE"/>
        </w:rPr>
        <w:t xml:space="preserve"> Plus</w:t>
      </w:r>
      <w:r w:rsidRPr="005D1065">
        <w:rPr>
          <w:rFonts w:ascii="Times New Roman" w:hAnsi="Times New Roman" w:cs="Times New Roman"/>
          <w:sz w:val="20"/>
          <w:szCs w:val="20"/>
          <w:lang w:val="en-US"/>
        </w:rPr>
        <w:t>, (T4)</w:t>
      </w:r>
      <w:r w:rsidRPr="0001074B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de-DE"/>
        </w:rPr>
        <w:t xml:space="preserve"> Madex</w:t>
      </w:r>
      <w:r w:rsidRPr="0001074B">
        <w:rPr>
          <w:rFonts w:ascii="Times New Roman" w:eastAsia="Times New Roman" w:hAnsi="Times New Roman" w:cs="Times New Roman"/>
          <w:color w:val="000000"/>
          <w:sz w:val="20"/>
          <w:szCs w:val="20"/>
          <w:vertAlign w:val="superscript"/>
          <w:lang w:val="en-US" w:eastAsia="de-DE"/>
        </w:rPr>
        <w:t>®</w:t>
      </w:r>
      <w:r w:rsidRPr="0001074B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de-DE"/>
        </w:rPr>
        <w:t xml:space="preserve"> MAX + Serenade</w:t>
      </w:r>
      <w:r w:rsidRPr="0001074B">
        <w:rPr>
          <w:rFonts w:ascii="Times New Roman" w:eastAsia="Times New Roman" w:hAnsi="Times New Roman" w:cs="Times New Roman"/>
          <w:color w:val="000000"/>
          <w:sz w:val="20"/>
          <w:szCs w:val="20"/>
          <w:vertAlign w:val="superscript"/>
          <w:lang w:val="en-US" w:eastAsia="de-DE"/>
        </w:rPr>
        <w:t>®</w:t>
      </w:r>
      <w:r w:rsidRPr="0001074B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de-DE"/>
        </w:rPr>
        <w:t xml:space="preserve"> ASO</w:t>
      </w:r>
      <w:r>
        <w:rPr>
          <w:rFonts w:ascii="Times New Roman" w:hAnsi="Times New Roman" w:cs="Times New Roman"/>
          <w:sz w:val="20"/>
          <w:szCs w:val="20"/>
          <w:lang w:val="en-US"/>
        </w:rPr>
        <w:t>, (T5)</w:t>
      </w:r>
      <w:r w:rsidRPr="0001074B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de-DE"/>
        </w:rPr>
        <w:t xml:space="preserve"> FlorBac</w:t>
      </w:r>
      <w:r w:rsidRPr="0001074B">
        <w:rPr>
          <w:rFonts w:ascii="Times New Roman" w:eastAsia="Times New Roman" w:hAnsi="Times New Roman" w:cs="Times New Roman"/>
          <w:color w:val="000000"/>
          <w:sz w:val="20"/>
          <w:szCs w:val="20"/>
          <w:vertAlign w:val="superscript"/>
          <w:lang w:val="en-US" w:eastAsia="de-DE"/>
        </w:rPr>
        <w:t>®</w:t>
      </w:r>
      <w:r w:rsidRPr="0001074B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de-DE"/>
        </w:rPr>
        <w:t xml:space="preserve"> + Serenade</w:t>
      </w:r>
      <w:r w:rsidRPr="0001074B">
        <w:rPr>
          <w:rFonts w:ascii="Times New Roman" w:eastAsia="Times New Roman" w:hAnsi="Times New Roman" w:cs="Times New Roman"/>
          <w:color w:val="000000"/>
          <w:sz w:val="20"/>
          <w:szCs w:val="20"/>
          <w:vertAlign w:val="superscript"/>
          <w:lang w:val="en-US" w:eastAsia="de-DE"/>
        </w:rPr>
        <w:t>®</w:t>
      </w:r>
      <w:r w:rsidRPr="0001074B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de-DE"/>
        </w:rPr>
        <w:t xml:space="preserve"> ASO</w:t>
      </w:r>
      <w:r w:rsidRPr="005D1065">
        <w:rPr>
          <w:rFonts w:ascii="Times New Roman" w:hAnsi="Times New Roman" w:cs="Times New Roman"/>
          <w:sz w:val="20"/>
          <w:szCs w:val="20"/>
          <w:lang w:val="en-US"/>
        </w:rPr>
        <w:t>, (T6)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01074B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de-DE"/>
        </w:rPr>
        <w:t>Lepinox</w:t>
      </w:r>
      <w:r w:rsidRPr="0001074B">
        <w:rPr>
          <w:rFonts w:ascii="Times New Roman" w:eastAsia="Times New Roman" w:hAnsi="Times New Roman" w:cs="Times New Roman"/>
          <w:color w:val="000000"/>
          <w:sz w:val="20"/>
          <w:szCs w:val="20"/>
          <w:vertAlign w:val="superscript"/>
          <w:lang w:val="en-US" w:eastAsia="de-DE"/>
        </w:rPr>
        <w:t>®</w:t>
      </w:r>
      <w:r w:rsidRPr="0001074B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de-DE"/>
        </w:rPr>
        <w:t xml:space="preserve"> Plus + Madex</w:t>
      </w:r>
      <w:r w:rsidRPr="0001074B">
        <w:rPr>
          <w:rFonts w:ascii="Times New Roman" w:eastAsia="Times New Roman" w:hAnsi="Times New Roman" w:cs="Times New Roman"/>
          <w:color w:val="000000"/>
          <w:sz w:val="20"/>
          <w:szCs w:val="20"/>
          <w:vertAlign w:val="superscript"/>
          <w:lang w:val="en-US" w:eastAsia="de-DE"/>
        </w:rPr>
        <w:t>®</w:t>
      </w:r>
      <w:r w:rsidRPr="0001074B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de-DE"/>
        </w:rPr>
        <w:t xml:space="preserve"> MAX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; </w:t>
      </w:r>
      <w:r w:rsidR="00CC58B9">
        <w:rPr>
          <w:rFonts w:ascii="Times New Roman" w:hAnsi="Times New Roman" w:cs="Times New Roman"/>
          <w:sz w:val="20"/>
          <w:szCs w:val="20"/>
          <w:lang w:val="en-US"/>
        </w:rPr>
        <w:t>A</w:t>
      </w:r>
      <w:r w:rsidR="00CC58B9" w:rsidRPr="00343EB1">
        <w:rPr>
          <w:rFonts w:ascii="Times New Roman" w:hAnsi="Times New Roman" w:cs="Times New Roman"/>
          <w:sz w:val="20"/>
          <w:szCs w:val="20"/>
          <w:lang w:val="en-US"/>
        </w:rPr>
        <w:t>utoclaved mixtures</w:t>
      </w:r>
      <w:r w:rsidR="00CC58B9">
        <w:rPr>
          <w:rFonts w:ascii="Times New Roman" w:hAnsi="Times New Roman" w:cs="Times New Roman"/>
          <w:sz w:val="20"/>
          <w:szCs w:val="20"/>
          <w:lang w:val="en-US"/>
        </w:rPr>
        <w:t xml:space="preserve"> (AT1-  </w:t>
      </w:r>
      <w:r>
        <w:rPr>
          <w:rFonts w:ascii="Times New Roman" w:hAnsi="Times New Roman" w:cs="Times New Roman"/>
          <w:sz w:val="20"/>
          <w:szCs w:val="20"/>
          <w:lang w:val="en-US"/>
        </w:rPr>
        <w:t>(*** p &lt; 0.001, * p &lt; 0.05)</w:t>
      </w:r>
      <w:r w:rsidR="00C05A39">
        <w:rPr>
          <w:rFonts w:ascii="Times New Roman" w:hAnsi="Times New Roman" w:cs="Times New Roman"/>
          <w:sz w:val="20"/>
          <w:szCs w:val="20"/>
          <w:lang w:val="en-US"/>
        </w:rPr>
        <w:t xml:space="preserve">. </w:t>
      </w:r>
      <w:r w:rsidR="0001074B" w:rsidRPr="00996C01">
        <w:rPr>
          <w:rFonts w:ascii="Times New Roman" w:hAnsi="Times New Roman" w:cs="Times New Roman"/>
          <w:lang w:val="en-US"/>
        </w:rPr>
        <w:t xml:space="preserve">Vertical dashed lines represent </w:t>
      </w:r>
      <w:r w:rsidR="0001074B">
        <w:rPr>
          <w:rFonts w:ascii="Times New Roman" w:hAnsi="Times New Roman" w:cs="Times New Roman"/>
          <w:lang w:val="en-US"/>
        </w:rPr>
        <w:t xml:space="preserve">a </w:t>
      </w:r>
      <w:r w:rsidR="0001074B" w:rsidRPr="00996C01">
        <w:rPr>
          <w:rFonts w:ascii="Times New Roman" w:hAnsi="Times New Roman" w:cs="Times New Roman"/>
          <w:lang w:val="en-US"/>
        </w:rPr>
        <w:t>HR = 1. Each bar indicates HR and 95% confidence interval</w:t>
      </w:r>
      <w:r w:rsidR="0001074B">
        <w:rPr>
          <w:rFonts w:ascii="Times New Roman" w:hAnsi="Times New Roman" w:cs="Times New Roman"/>
          <w:lang w:val="en-US"/>
        </w:rPr>
        <w:t>s</w:t>
      </w:r>
      <w:r w:rsidR="0001074B" w:rsidRPr="00996C01">
        <w:rPr>
          <w:rFonts w:ascii="Times New Roman" w:hAnsi="Times New Roman" w:cs="Times New Roman"/>
          <w:lang w:val="en-US"/>
        </w:rPr>
        <w:t>.</w:t>
      </w:r>
    </w:p>
    <w:p w14:paraId="1A88C702" w14:textId="77777777" w:rsidR="000F5115" w:rsidRPr="005D1065" w:rsidRDefault="000F5115" w:rsidP="00A13107">
      <w:pPr>
        <w:spacing w:line="48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0F5115">
        <w:rPr>
          <w:noProof/>
          <w:lang w:eastAsia="de-DE"/>
        </w:rPr>
        <w:drawing>
          <wp:inline distT="0" distB="0" distL="0" distR="0" wp14:anchorId="43A0F148" wp14:editId="105532CC">
            <wp:extent cx="5760720" cy="6458539"/>
            <wp:effectExtent l="0" t="0" r="0" b="0"/>
            <wp:docPr id="6" name="Grafi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4585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474A28" w14:textId="77777777" w:rsidR="00A13107" w:rsidRPr="005D1065" w:rsidRDefault="00A13107" w:rsidP="00A131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de-DE"/>
        </w:rPr>
      </w:pPr>
    </w:p>
    <w:p w14:paraId="25F49D60" w14:textId="77777777" w:rsidR="00A13107" w:rsidRPr="005D1065" w:rsidRDefault="000F5115" w:rsidP="00A131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de-DE"/>
        </w:rPr>
      </w:pPr>
      <w:r w:rsidRPr="000F5115">
        <w:rPr>
          <w:noProof/>
          <w:lang w:eastAsia="de-DE"/>
        </w:rPr>
        <w:drawing>
          <wp:inline distT="0" distB="0" distL="0" distR="0" wp14:anchorId="2F8A7535" wp14:editId="6DBF3576">
            <wp:extent cx="5760720" cy="5529489"/>
            <wp:effectExtent l="0" t="0" r="0" b="0"/>
            <wp:docPr id="5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529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46323C" w14:textId="77777777" w:rsidR="00A13107" w:rsidRPr="005D1065" w:rsidRDefault="00A13107" w:rsidP="00A131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de-DE"/>
        </w:rPr>
      </w:pPr>
    </w:p>
    <w:p w14:paraId="0401F0C8" w14:textId="77777777" w:rsidR="000F5115" w:rsidRDefault="000F5115" w:rsidP="000F5115">
      <w:pPr>
        <w:spacing w:line="48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14:paraId="597ED8FC" w14:textId="77777777" w:rsidR="000F5115" w:rsidRDefault="000F5115" w:rsidP="000F5115">
      <w:pPr>
        <w:spacing w:line="48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14:paraId="72571B74" w14:textId="77777777" w:rsidR="000F5115" w:rsidRDefault="000F5115" w:rsidP="000F5115">
      <w:pPr>
        <w:spacing w:line="48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01074B">
        <w:rPr>
          <w:rFonts w:ascii="Times New Roman" w:hAnsi="Times New Roman" w:cs="Times New Roman"/>
          <w:b/>
          <w:sz w:val="20"/>
          <w:szCs w:val="20"/>
          <w:lang w:val="en-US"/>
        </w:rPr>
        <w:t>Fig. S2:</w:t>
      </w:r>
      <w:r w:rsidRPr="005D1065">
        <w:rPr>
          <w:rFonts w:ascii="Times New Roman" w:hAnsi="Times New Roman" w:cs="Times New Roman"/>
          <w:sz w:val="20"/>
          <w:szCs w:val="20"/>
          <w:lang w:val="en-US"/>
        </w:rPr>
        <w:t xml:space="preserve"> Daily food consumption of 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honey </w:t>
      </w:r>
      <w:r w:rsidRPr="005D1065">
        <w:rPr>
          <w:rFonts w:ascii="Times New Roman" w:hAnsi="Times New Roman" w:cs="Times New Roman"/>
          <w:sz w:val="20"/>
          <w:szCs w:val="20"/>
          <w:lang w:val="en-US"/>
        </w:rPr>
        <w:t>bees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 (µl/bee/day)</w:t>
      </w:r>
      <w:r w:rsidRPr="005D1065">
        <w:rPr>
          <w:rFonts w:ascii="Times New Roman" w:hAnsi="Times New Roman" w:cs="Times New Roman"/>
          <w:sz w:val="20"/>
          <w:szCs w:val="20"/>
          <w:lang w:val="en-US"/>
        </w:rPr>
        <w:t xml:space="preserve"> after acute exposure. Treatments are shown as boxplots with median; the edges of the box indicate the 25</w:t>
      </w:r>
      <w:r w:rsidRPr="005D1065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th</w:t>
      </w:r>
      <w:r w:rsidRPr="005D1065">
        <w:rPr>
          <w:rFonts w:ascii="Times New Roman" w:hAnsi="Times New Roman" w:cs="Times New Roman"/>
          <w:sz w:val="20"/>
          <w:szCs w:val="20"/>
          <w:lang w:val="en-US"/>
        </w:rPr>
        <w:t xml:space="preserve"> and 75</w:t>
      </w:r>
      <w:r w:rsidRPr="005D1065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th</w:t>
      </w:r>
      <w:r w:rsidRPr="005D1065">
        <w:rPr>
          <w:rFonts w:ascii="Times New Roman" w:hAnsi="Times New Roman" w:cs="Times New Roman"/>
          <w:sz w:val="20"/>
          <w:szCs w:val="20"/>
          <w:lang w:val="en-US"/>
        </w:rPr>
        <w:t xml:space="preserve"> percentiles. Treatments not shar</w:t>
      </w:r>
      <w:r>
        <w:rPr>
          <w:rFonts w:ascii="Times New Roman" w:hAnsi="Times New Roman" w:cs="Times New Roman"/>
          <w:sz w:val="20"/>
          <w:szCs w:val="20"/>
          <w:lang w:val="en-US"/>
        </w:rPr>
        <w:t>ing</w:t>
      </w:r>
      <w:r w:rsidRPr="005D1065">
        <w:rPr>
          <w:rFonts w:ascii="Times New Roman" w:hAnsi="Times New Roman" w:cs="Times New Roman"/>
          <w:sz w:val="20"/>
          <w:szCs w:val="20"/>
          <w:lang w:val="en-US"/>
        </w:rPr>
        <w:t xml:space="preserve"> the same letter</w:t>
      </w:r>
      <w:r>
        <w:rPr>
          <w:rFonts w:ascii="Times New Roman" w:hAnsi="Times New Roman" w:cs="Times New Roman"/>
          <w:sz w:val="20"/>
          <w:szCs w:val="20"/>
          <w:lang w:val="en-US"/>
        </w:rPr>
        <w:t>s</w:t>
      </w:r>
      <w:r w:rsidRPr="005D1065">
        <w:rPr>
          <w:rFonts w:ascii="Times New Roman" w:hAnsi="Times New Roman" w:cs="Times New Roman"/>
          <w:sz w:val="20"/>
          <w:szCs w:val="20"/>
          <w:lang w:val="en-US"/>
        </w:rPr>
        <w:t xml:space="preserve"> indicate significant differences (</w:t>
      </w:r>
      <w:r w:rsidRPr="005D1065">
        <w:rPr>
          <w:rFonts w:ascii="Times New Roman" w:hAnsi="Times New Roman" w:cs="Times New Roman"/>
          <w:i/>
          <w:iCs/>
          <w:sz w:val="20"/>
          <w:szCs w:val="20"/>
          <w:lang w:val="en-US"/>
        </w:rPr>
        <w:t>p</w:t>
      </w:r>
      <w:r w:rsidRPr="005D1065">
        <w:rPr>
          <w:rFonts w:ascii="Times New Roman" w:hAnsi="Times New Roman" w:cs="Times New Roman"/>
          <w:sz w:val="20"/>
          <w:szCs w:val="20"/>
          <w:lang w:val="en-US"/>
        </w:rPr>
        <w:t> &lt; 0.05).</w:t>
      </w:r>
    </w:p>
    <w:p w14:paraId="12C51E2A" w14:textId="77777777" w:rsidR="00A13107" w:rsidRPr="0001074B" w:rsidRDefault="00A13107" w:rsidP="00A13107">
      <w:pPr>
        <w:tabs>
          <w:tab w:val="left" w:pos="1100"/>
        </w:tabs>
        <w:rPr>
          <w:rFonts w:ascii="Times New Roman" w:hAnsi="Times New Roman" w:cs="Times New Roman"/>
          <w:sz w:val="20"/>
          <w:szCs w:val="20"/>
          <w:lang w:val="en-US"/>
        </w:rPr>
      </w:pPr>
    </w:p>
    <w:p w14:paraId="2F22EFD3" w14:textId="77777777" w:rsidR="00A13107" w:rsidRPr="0001074B" w:rsidRDefault="00A13107" w:rsidP="00A13107">
      <w:pPr>
        <w:tabs>
          <w:tab w:val="left" w:pos="1100"/>
        </w:tabs>
        <w:rPr>
          <w:rFonts w:ascii="Times New Roman" w:hAnsi="Times New Roman" w:cs="Times New Roman"/>
          <w:sz w:val="20"/>
          <w:szCs w:val="20"/>
          <w:lang w:val="en-US"/>
        </w:rPr>
        <w:sectPr w:rsidR="00A13107" w:rsidRPr="0001074B" w:rsidSect="0001074B">
          <w:footerReference w:type="default" r:id="rId8"/>
          <w:type w:val="continuous"/>
          <w:pgSz w:w="11906" w:h="16838"/>
          <w:pgMar w:top="1417" w:right="1417" w:bottom="1134" w:left="1417" w:header="708" w:footer="708" w:gutter="0"/>
          <w:cols w:space="708"/>
          <w:docGrid w:linePitch="360"/>
        </w:sectPr>
      </w:pPr>
    </w:p>
    <w:p w14:paraId="6A573ED4" w14:textId="77777777" w:rsidR="00A13107" w:rsidRPr="002A3B26" w:rsidRDefault="00A13107" w:rsidP="00A13107">
      <w:pPr>
        <w:rPr>
          <w:rFonts w:ascii="Times New Roman" w:hAnsi="Times New Roman" w:cs="Times New Roman"/>
          <w:sz w:val="20"/>
          <w:szCs w:val="20"/>
        </w:rPr>
        <w:sectPr w:rsidR="00A13107" w:rsidRPr="002A3B26" w:rsidSect="0001074B">
          <w:type w:val="continuous"/>
          <w:pgSz w:w="16838" w:h="11906" w:orient="landscape"/>
          <w:pgMar w:top="1418" w:right="1418" w:bottom="1418" w:left="1134" w:header="709" w:footer="709" w:gutter="0"/>
          <w:cols w:space="708"/>
          <w:docGrid w:linePitch="360"/>
        </w:sectPr>
      </w:pPr>
      <w:r w:rsidRPr="009B6CC8">
        <w:rPr>
          <w:noProof/>
          <w:lang w:eastAsia="de-DE"/>
        </w:rPr>
        <w:lastRenderedPageBreak/>
        <w:drawing>
          <wp:inline distT="0" distB="0" distL="0" distR="0" wp14:anchorId="5B72ED72" wp14:editId="630C18BC">
            <wp:extent cx="8538983" cy="3219450"/>
            <wp:effectExtent l="0" t="0" r="0" b="0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44120" cy="32213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12284D" w14:textId="77777777" w:rsidR="00A873A8" w:rsidRDefault="00A873A8" w:rsidP="000F5115"/>
    <w:sectPr w:rsidR="00A873A8" w:rsidSect="0001074B">
      <w:type w:val="continuous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5286A32" w14:textId="77777777" w:rsidR="00BD0C31" w:rsidRDefault="00BD0C31">
      <w:pPr>
        <w:spacing w:after="0" w:line="240" w:lineRule="auto"/>
      </w:pPr>
      <w:r>
        <w:separator/>
      </w:r>
    </w:p>
  </w:endnote>
  <w:endnote w:type="continuationSeparator" w:id="0">
    <w:p w14:paraId="65A5633D" w14:textId="77777777" w:rsidR="00BD0C31" w:rsidRDefault="00BD0C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52705959"/>
      <w:docPartObj>
        <w:docPartGallery w:val="Page Numbers (Bottom of Page)"/>
        <w:docPartUnique/>
      </w:docPartObj>
    </w:sdtPr>
    <w:sdtEndPr/>
    <w:sdtContent>
      <w:p w14:paraId="03FDB708" w14:textId="060B598A" w:rsidR="005D1065" w:rsidRDefault="00A13107">
        <w:pPr>
          <w:pStyle w:val="Fuzeil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1149E">
          <w:rPr>
            <w:noProof/>
          </w:rPr>
          <w:t>1</w:t>
        </w:r>
        <w:r>
          <w:fldChar w:fldCharType="end"/>
        </w:r>
      </w:p>
    </w:sdtContent>
  </w:sdt>
  <w:p w14:paraId="37636E58" w14:textId="77777777" w:rsidR="005D1065" w:rsidRDefault="00BD0C31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6BCB20B" w14:textId="77777777" w:rsidR="00BD0C31" w:rsidRDefault="00BD0C31">
      <w:pPr>
        <w:spacing w:after="0" w:line="240" w:lineRule="auto"/>
      </w:pPr>
      <w:r>
        <w:separator/>
      </w:r>
    </w:p>
  </w:footnote>
  <w:footnote w:type="continuationSeparator" w:id="0">
    <w:p w14:paraId="5060AB72" w14:textId="77777777" w:rsidR="00BD0C31" w:rsidRDefault="00BD0C3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6F6A"/>
    <w:rsid w:val="00007C3E"/>
    <w:rsid w:val="0001074B"/>
    <w:rsid w:val="000F5115"/>
    <w:rsid w:val="001301BD"/>
    <w:rsid w:val="0021149E"/>
    <w:rsid w:val="00296F6A"/>
    <w:rsid w:val="002F1DAD"/>
    <w:rsid w:val="003E171F"/>
    <w:rsid w:val="005B797A"/>
    <w:rsid w:val="00972F85"/>
    <w:rsid w:val="00A13107"/>
    <w:rsid w:val="00A24C0D"/>
    <w:rsid w:val="00A873A8"/>
    <w:rsid w:val="00BD0C31"/>
    <w:rsid w:val="00C05A39"/>
    <w:rsid w:val="00CC58B9"/>
    <w:rsid w:val="00DE5DD8"/>
    <w:rsid w:val="00FB59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9C8848"/>
  <w15:chartTrackingRefBased/>
  <w15:docId w15:val="{9E8D9C1A-8D08-4AC4-9264-2FACBD66E9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A13107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zeile">
    <w:name w:val="footer"/>
    <w:basedOn w:val="Standard"/>
    <w:link w:val="FuzeileZchn"/>
    <w:uiPriority w:val="99"/>
    <w:unhideWhenUsed/>
    <w:rsid w:val="00A131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A13107"/>
  </w:style>
  <w:style w:type="character" w:styleId="Zeilennummer">
    <w:name w:val="line number"/>
    <w:basedOn w:val="Absatz-Standardschriftart"/>
    <w:uiPriority w:val="99"/>
    <w:semiHidden/>
    <w:unhideWhenUsed/>
    <w:rsid w:val="00A13107"/>
  </w:style>
  <w:style w:type="character" w:styleId="Kommentarzeichen">
    <w:name w:val="annotation reference"/>
    <w:basedOn w:val="Absatz-Standardschriftart"/>
    <w:uiPriority w:val="99"/>
    <w:semiHidden/>
    <w:unhideWhenUsed/>
    <w:rsid w:val="001301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1301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1301BD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1301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1301BD"/>
    <w:rPr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301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301BD"/>
    <w:rPr>
      <w:rFonts w:ascii="Segoe UI" w:hAnsi="Segoe UI" w:cs="Segoe UI"/>
      <w:sz w:val="18"/>
      <w:szCs w:val="18"/>
    </w:rPr>
  </w:style>
  <w:style w:type="paragraph" w:styleId="NurText">
    <w:name w:val="Plain Text"/>
    <w:basedOn w:val="Standard"/>
    <w:link w:val="NurTextZchn"/>
    <w:uiPriority w:val="99"/>
    <w:semiHidden/>
    <w:unhideWhenUsed/>
    <w:rsid w:val="001301BD"/>
    <w:pPr>
      <w:spacing w:after="0" w:line="240" w:lineRule="auto"/>
    </w:pPr>
    <w:rPr>
      <w:rFonts w:ascii="Calibri" w:hAnsi="Calibri"/>
      <w:szCs w:val="21"/>
    </w:rPr>
  </w:style>
  <w:style w:type="character" w:customStyle="1" w:styleId="NurTextZchn">
    <w:name w:val="Nur Text Zchn"/>
    <w:basedOn w:val="Absatz-Standardschriftart"/>
    <w:link w:val="NurText"/>
    <w:uiPriority w:val="99"/>
    <w:semiHidden/>
    <w:rsid w:val="001301BD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228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118</Words>
  <Characters>745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JKI</dc:creator>
  <cp:keywords/>
  <dc:description/>
  <cp:lastModifiedBy>Alkassab, Abdulrahim</cp:lastModifiedBy>
  <cp:revision>2</cp:revision>
  <dcterms:created xsi:type="dcterms:W3CDTF">2024-02-23T22:45:00Z</dcterms:created>
  <dcterms:modified xsi:type="dcterms:W3CDTF">2024-02-23T22:45:00Z</dcterms:modified>
</cp:coreProperties>
</file>