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499A6E" w14:textId="77777777" w:rsidR="004801CC" w:rsidRDefault="004801CC" w:rsidP="004801CC">
      <w:pPr>
        <w:spacing w:line="48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Sequestration of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Pb(</w:t>
      </w:r>
      <w:proofErr w:type="gramEnd"/>
      <w:r>
        <w:rPr>
          <w:rFonts w:asciiTheme="majorBidi" w:hAnsiTheme="majorBidi" w:cstheme="majorBidi"/>
          <w:b/>
          <w:bCs/>
          <w:sz w:val="24"/>
          <w:szCs w:val="24"/>
        </w:rPr>
        <w:t xml:space="preserve">II) using channel-like porous spheres of carboxylated graphene oxide-incorporated cellulose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acetate@</w:t>
      </w:r>
      <w:r>
        <w:rPr>
          <w:rFonts w:asciiTheme="majorBidi" w:hAnsiTheme="majorBidi" w:cstheme="majorBidi"/>
          <w:color w:val="222222"/>
          <w:sz w:val="24"/>
          <w:szCs w:val="24"/>
          <w:shd w:val="clear" w:color="auto" w:fill="FFFFFF"/>
        </w:rPr>
        <w:t>i</w:t>
      </w:r>
      <w:r w:rsidRPr="00B34AC5">
        <w:rPr>
          <w:rFonts w:asciiTheme="majorBidi" w:hAnsiTheme="majorBidi" w:cstheme="majorBidi"/>
          <w:b/>
          <w:bCs/>
          <w:sz w:val="24"/>
          <w:szCs w:val="24"/>
        </w:rPr>
        <w:t>minodiacetic</w:t>
      </w:r>
      <w:proofErr w:type="spellEnd"/>
      <w:r w:rsidRPr="00B34AC5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a</w:t>
      </w:r>
      <w:r w:rsidRPr="00B34AC5">
        <w:rPr>
          <w:rFonts w:asciiTheme="majorBidi" w:hAnsiTheme="majorBidi" w:cstheme="majorBidi"/>
          <w:b/>
          <w:bCs/>
          <w:sz w:val="24"/>
          <w:szCs w:val="24"/>
        </w:rPr>
        <w:t>cid</w:t>
      </w:r>
      <w:r>
        <w:rPr>
          <w:rFonts w:asciiTheme="majorBidi" w:hAnsiTheme="majorBidi" w:cstheme="majorBidi"/>
          <w:b/>
          <w:bCs/>
          <w:sz w:val="24"/>
          <w:szCs w:val="24"/>
        </w:rPr>
        <w:t>: optimization and mechanism study</w:t>
      </w:r>
    </w:p>
    <w:p w14:paraId="42557C32" w14:textId="58C92E6B" w:rsidR="00F428EC" w:rsidRPr="00E1584F" w:rsidRDefault="00F428EC" w:rsidP="00F428EC">
      <w:pPr>
        <w:pStyle w:val="Default"/>
        <w:rPr>
          <w:rFonts w:asciiTheme="majorBidi" w:hAnsiTheme="majorBidi" w:cstheme="majorBidi"/>
          <w:vertAlign w:val="superscript"/>
        </w:rPr>
      </w:pPr>
      <w:r w:rsidRPr="00821DD9">
        <w:rPr>
          <w:rFonts w:asciiTheme="majorBidi" w:hAnsiTheme="majorBidi" w:cstheme="majorBidi"/>
          <w:b/>
          <w:bCs/>
          <w:lang w:bidi="ar-EG"/>
        </w:rPr>
        <w:t xml:space="preserve">Eman M. </w:t>
      </w:r>
      <w:proofErr w:type="spellStart"/>
      <w:r w:rsidRPr="00821DD9">
        <w:rPr>
          <w:rFonts w:asciiTheme="majorBidi" w:hAnsiTheme="majorBidi" w:cstheme="majorBidi"/>
          <w:b/>
          <w:bCs/>
          <w:lang w:bidi="ar-EG"/>
        </w:rPr>
        <w:t>Abd</w:t>
      </w:r>
      <w:proofErr w:type="spellEnd"/>
      <w:r w:rsidRPr="00821DD9">
        <w:rPr>
          <w:rFonts w:asciiTheme="majorBidi" w:hAnsiTheme="majorBidi" w:cstheme="majorBidi"/>
          <w:b/>
          <w:bCs/>
          <w:lang w:bidi="ar-EG"/>
        </w:rPr>
        <w:t xml:space="preserve"> El-Monaem</w:t>
      </w:r>
      <w:r>
        <w:rPr>
          <w:rFonts w:asciiTheme="majorBidi" w:hAnsiTheme="majorBidi" w:cstheme="majorBidi"/>
          <w:b/>
          <w:bCs/>
          <w:vertAlign w:val="superscript"/>
          <w:lang w:bidi="ar-EG"/>
        </w:rPr>
        <w:t>1</w:t>
      </w:r>
      <w:r>
        <w:rPr>
          <w:rFonts w:asciiTheme="majorBidi" w:hAnsiTheme="majorBidi" w:cstheme="majorBidi"/>
          <w:b/>
          <w:bCs/>
        </w:rPr>
        <w:t xml:space="preserve">, </w:t>
      </w:r>
      <w:proofErr w:type="spellStart"/>
      <w:r>
        <w:rPr>
          <w:rFonts w:asciiTheme="majorBidi" w:hAnsiTheme="majorBidi" w:cstheme="majorBidi"/>
          <w:b/>
          <w:bCs/>
          <w:lang w:bidi="ar-EG"/>
        </w:rPr>
        <w:t>Hassanien</w:t>
      </w:r>
      <w:proofErr w:type="spellEnd"/>
      <w:r>
        <w:rPr>
          <w:rFonts w:asciiTheme="majorBidi" w:hAnsiTheme="majorBidi" w:cstheme="majorBidi"/>
          <w:b/>
          <w:bCs/>
          <w:lang w:bidi="ar-EG"/>
        </w:rPr>
        <w:t xml:space="preserve"> Gomaa</w:t>
      </w:r>
      <w:r>
        <w:rPr>
          <w:rFonts w:asciiTheme="majorBidi" w:hAnsiTheme="majorBidi" w:cstheme="majorBidi"/>
          <w:b/>
          <w:bCs/>
          <w:vertAlign w:val="superscript"/>
          <w:lang w:bidi="ar-EG"/>
        </w:rPr>
        <w:t>2</w:t>
      </w:r>
      <w:r w:rsidRPr="00821DD9">
        <w:rPr>
          <w:rFonts w:asciiTheme="majorBidi" w:hAnsiTheme="majorBidi" w:cstheme="majorBidi"/>
          <w:b/>
          <w:bCs/>
          <w:lang w:bidi="ar-EG"/>
        </w:rPr>
        <w:t>,</w:t>
      </w:r>
      <w:r>
        <w:rPr>
          <w:rFonts w:asciiTheme="majorBidi" w:hAnsiTheme="majorBidi" w:cstheme="majorBidi"/>
          <w:b/>
          <w:bCs/>
          <w:lang w:bidi="ar-EG"/>
        </w:rPr>
        <w:t xml:space="preserve"> </w:t>
      </w:r>
      <w:r w:rsidRPr="00821DD9">
        <w:rPr>
          <w:rFonts w:asciiTheme="majorBidi" w:hAnsiTheme="majorBidi" w:cstheme="majorBidi"/>
          <w:b/>
          <w:bCs/>
          <w:lang w:bidi="ar-EG"/>
        </w:rPr>
        <w:t>Ahmed M. Omer</w:t>
      </w:r>
      <w:r w:rsidRPr="00821DD9">
        <w:rPr>
          <w:rFonts w:asciiTheme="majorBidi" w:hAnsiTheme="majorBidi" w:cstheme="majorBidi"/>
          <w:b/>
          <w:bCs/>
          <w:vertAlign w:val="superscript"/>
          <w:lang w:bidi="ar-EG"/>
        </w:rPr>
        <w:t>3</w:t>
      </w:r>
      <w:r>
        <w:rPr>
          <w:rFonts w:asciiTheme="majorBidi" w:hAnsiTheme="majorBidi" w:cstheme="majorBidi"/>
          <w:b/>
          <w:bCs/>
          <w:vertAlign w:val="superscript"/>
          <w:lang w:bidi="ar-EG"/>
        </w:rPr>
        <w:t>,</w:t>
      </w:r>
      <w:r>
        <w:rPr>
          <w:rFonts w:asciiTheme="majorBidi" w:hAnsiTheme="majorBidi" w:cstheme="majorBidi"/>
          <w:b/>
          <w:bCs/>
        </w:rPr>
        <w:t>*</w:t>
      </w:r>
      <w:r>
        <w:rPr>
          <w:rFonts w:asciiTheme="majorBidi" w:hAnsiTheme="majorBidi" w:cstheme="majorBidi"/>
          <w:b/>
          <w:bCs/>
          <w:lang w:bidi="ar-EG"/>
        </w:rPr>
        <w:t xml:space="preserve">, </w:t>
      </w:r>
      <w:r w:rsidRPr="00E1584F">
        <w:rPr>
          <w:rFonts w:asciiTheme="majorBidi" w:hAnsiTheme="majorBidi" w:cstheme="majorBidi"/>
          <w:b/>
          <w:bCs/>
          <w:shd w:val="clear" w:color="auto" w:fill="FFFFFF"/>
        </w:rPr>
        <w:t>Gehan M. El-Subruiti</w:t>
      </w:r>
      <w:r w:rsidRPr="00E1584F">
        <w:rPr>
          <w:rStyle w:val="bold"/>
          <w:rFonts w:asciiTheme="majorBidi" w:hAnsiTheme="majorBidi" w:cstheme="majorBidi"/>
          <w:b/>
          <w:bCs/>
          <w:shd w:val="clear" w:color="auto" w:fill="FFFFFF"/>
          <w:vertAlign w:val="superscript"/>
        </w:rPr>
        <w:t>1</w:t>
      </w:r>
      <w:r w:rsidRPr="00E1584F">
        <w:rPr>
          <w:rFonts w:asciiTheme="majorBidi" w:hAnsiTheme="majorBidi" w:cstheme="majorBidi"/>
          <w:b/>
          <w:bCs/>
        </w:rPr>
        <w:t>,</w:t>
      </w:r>
      <w:r>
        <w:rPr>
          <w:rFonts w:asciiTheme="majorBidi" w:hAnsiTheme="majorBidi" w:cstheme="majorBidi"/>
          <w:vertAlign w:val="superscript"/>
        </w:rPr>
        <w:t xml:space="preserve"> </w:t>
      </w:r>
      <w:proofErr w:type="spellStart"/>
      <w:r w:rsidRPr="00821DD9">
        <w:rPr>
          <w:rFonts w:asciiTheme="majorBidi" w:hAnsiTheme="majorBidi" w:cstheme="majorBidi"/>
          <w:b/>
          <w:bCs/>
          <w:lang w:bidi="ar-EG"/>
        </w:rPr>
        <w:t>Abdelazeem</w:t>
      </w:r>
      <w:proofErr w:type="spellEnd"/>
      <w:r w:rsidRPr="00821DD9">
        <w:rPr>
          <w:rFonts w:asciiTheme="majorBidi" w:hAnsiTheme="majorBidi" w:cstheme="majorBidi"/>
          <w:b/>
          <w:bCs/>
          <w:lang w:bidi="ar-EG"/>
        </w:rPr>
        <w:t xml:space="preserve"> S. Eltaweil</w:t>
      </w:r>
      <w:r>
        <w:rPr>
          <w:rFonts w:asciiTheme="majorBidi" w:hAnsiTheme="majorBidi" w:cstheme="majorBidi"/>
          <w:b/>
          <w:bCs/>
          <w:vertAlign w:val="superscript"/>
          <w:lang w:bidi="ar-EG"/>
        </w:rPr>
        <w:t>1</w:t>
      </w:r>
    </w:p>
    <w:p w14:paraId="648A64AD" w14:textId="77777777" w:rsidR="00F428EC" w:rsidRPr="00F53B84" w:rsidRDefault="00F428EC" w:rsidP="00F428E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Pr="00F53B84">
        <w:rPr>
          <w:rFonts w:asciiTheme="majorBidi" w:hAnsiTheme="majorBidi" w:cstheme="majorBidi"/>
          <w:sz w:val="24"/>
          <w:szCs w:val="24"/>
        </w:rPr>
        <w:t>Chemistry Department, Faculty of Science, Alexandria University, Alexandria, Egypt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2C452ADF" w14:textId="77777777" w:rsidR="00F428EC" w:rsidRDefault="00F428EC" w:rsidP="00F428EC">
      <w:pPr>
        <w:spacing w:line="24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vertAlign w:val="superscript"/>
        </w:rPr>
        <w:t>2</w:t>
      </w:r>
      <w:r w:rsidRPr="00AE0F97">
        <w:rPr>
          <w:rFonts w:asciiTheme="majorBidi" w:hAnsiTheme="majorBidi" w:cstheme="majorBidi"/>
          <w:sz w:val="24"/>
          <w:szCs w:val="24"/>
        </w:rPr>
        <w:t>Department of Chemistry, Faculty of Science, Al-Azhar University, Assiut 71524, Egypt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748A87AC" w14:textId="77777777" w:rsidR="00F428EC" w:rsidRDefault="00F428EC" w:rsidP="00F428EC">
      <w:pPr>
        <w:shd w:val="clear" w:color="auto" w:fill="FFFFFF"/>
        <w:spacing w:before="240" w:after="0" w:line="240" w:lineRule="auto"/>
        <w:rPr>
          <w:rFonts w:asciiTheme="majorBidi" w:hAnsiTheme="majorBidi" w:cstheme="majorBidi"/>
          <w:sz w:val="24"/>
          <w:szCs w:val="24"/>
        </w:rPr>
      </w:pPr>
      <w:r w:rsidRPr="007C30D6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Pr="007C30D6">
        <w:rPr>
          <w:rFonts w:asciiTheme="majorBidi" w:hAnsiTheme="majorBidi" w:cstheme="majorBidi"/>
          <w:sz w:val="24"/>
          <w:szCs w:val="24"/>
        </w:rPr>
        <w:t>Polymer Materials Research Department, Advanced Technology and New Materials Research Institute (ATNMRI), City of Scientific Research and Technological Applications (SRTA-City), P. O. Box: 21934, New Borg El-Arab City, Alexandria, Egypt</w:t>
      </w:r>
      <w:r>
        <w:rPr>
          <w:rFonts w:asciiTheme="majorBidi" w:hAnsiTheme="majorBidi" w:cstheme="majorBidi"/>
          <w:sz w:val="24"/>
          <w:szCs w:val="24"/>
        </w:rPr>
        <w:t>.</w:t>
      </w:r>
    </w:p>
    <w:p w14:paraId="0183C973" w14:textId="77777777" w:rsidR="00F428EC" w:rsidRDefault="00F428EC" w:rsidP="00F428EC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vertAlign w:val="superscript"/>
        </w:rPr>
      </w:pPr>
    </w:p>
    <w:p w14:paraId="37D3ECE9" w14:textId="77777777" w:rsidR="00F428EC" w:rsidRPr="00A10C17" w:rsidRDefault="00F428EC" w:rsidP="00F428EC">
      <w:pPr>
        <w:spacing w:line="240" w:lineRule="auto"/>
        <w:jc w:val="both"/>
        <w:rPr>
          <w:rFonts w:asciiTheme="majorBidi" w:hAnsiTheme="majorBidi" w:cstheme="majorBidi"/>
          <w:color w:val="000000" w:themeColor="text1"/>
          <w:u w:val="single"/>
        </w:rPr>
      </w:pPr>
      <w:r w:rsidRPr="007A1805">
        <w:rPr>
          <w:rFonts w:asciiTheme="majorBidi" w:hAnsiTheme="majorBidi" w:cstheme="majorBidi"/>
          <w:b/>
          <w:bCs/>
        </w:rPr>
        <w:t>*</w:t>
      </w:r>
      <w:r w:rsidRPr="00E85B7C">
        <w:rPr>
          <w:rFonts w:asciiTheme="majorBidi" w:hAnsiTheme="majorBidi" w:cstheme="majorBidi"/>
          <w:b/>
          <w:bCs/>
        </w:rPr>
        <w:t>Corresponding authors:</w:t>
      </w:r>
      <w:r>
        <w:rPr>
          <w:rFonts w:asciiTheme="majorBidi" w:hAnsiTheme="majorBidi" w:cstheme="majorBidi"/>
          <w:b/>
          <w:bCs/>
        </w:rPr>
        <w:t xml:space="preserve"> </w:t>
      </w:r>
      <w:r w:rsidRPr="00821DD9">
        <w:rPr>
          <w:rFonts w:asciiTheme="majorBidi" w:hAnsiTheme="majorBidi" w:cstheme="majorBidi"/>
          <w:b/>
          <w:bCs/>
          <w:lang w:bidi="ar-EG"/>
        </w:rPr>
        <w:t>Ahmed M. Omer</w:t>
      </w:r>
      <w:r>
        <w:rPr>
          <w:rFonts w:asciiTheme="majorBidi" w:hAnsiTheme="majorBidi" w:cstheme="majorBidi"/>
          <w:b/>
          <w:bCs/>
          <w:lang w:bidi="ar-EG"/>
        </w:rPr>
        <w:t xml:space="preserve"> (</w:t>
      </w:r>
      <w:r>
        <w:rPr>
          <w:rFonts w:asciiTheme="majorBidi" w:hAnsiTheme="majorBidi" w:cstheme="majorBidi"/>
          <w:b/>
          <w:bCs/>
          <w:color w:val="4472C4" w:themeColor="accent1"/>
          <w:lang w:bidi="ar-EG"/>
        </w:rPr>
        <w:t>ahmedomer_81@yahoo.com</w:t>
      </w:r>
      <w:r>
        <w:rPr>
          <w:rFonts w:asciiTheme="majorBidi" w:hAnsiTheme="majorBidi" w:cstheme="majorBidi"/>
          <w:b/>
          <w:bCs/>
          <w:lang w:bidi="ar-EG"/>
        </w:rPr>
        <w:t>)</w:t>
      </w:r>
    </w:p>
    <w:p w14:paraId="33DB28DF" w14:textId="77777777" w:rsidR="004801CC" w:rsidRDefault="004801CC" w:rsidP="004801CC">
      <w:pPr>
        <w:spacing w:after="0" w:line="480" w:lineRule="auto"/>
        <w:jc w:val="center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3125219B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6FACBBDB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7E526F50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028AC7DE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3AE60F42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17BC3B6F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6F37F93A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167C2363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76A30B1F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78EF7BCF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065BCB73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1E30E77C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46CD176C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586D8BF2" w14:textId="77777777" w:rsidR="004801CC" w:rsidRDefault="004801CC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</w:p>
    <w:p w14:paraId="636C990D" w14:textId="16E7DF48" w:rsidR="00175DD0" w:rsidRPr="00FC7787" w:rsidRDefault="00175DD0" w:rsidP="00175DD0">
      <w:pPr>
        <w:spacing w:after="0" w:line="480" w:lineRule="auto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  <w:r w:rsidRPr="00FC7787">
        <w:rPr>
          <w:rFonts w:asciiTheme="majorBidi" w:hAnsiTheme="majorBidi" w:cstheme="majorBidi"/>
          <w:b/>
          <w:bCs/>
          <w:color w:val="0070C0"/>
          <w:sz w:val="24"/>
          <w:szCs w:val="24"/>
        </w:rPr>
        <w:lastRenderedPageBreak/>
        <w:t>Text S1</w:t>
      </w:r>
    </w:p>
    <w:p w14:paraId="4A08F18A" w14:textId="49B268C0" w:rsidR="00175DD0" w:rsidRPr="00FC7787" w:rsidRDefault="00DC31CA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Cellulose acetate (</w:t>
      </w:r>
      <w:proofErr w:type="spellStart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Mwt</w:t>
      </w:r>
      <w:proofErr w:type="spellEnd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= 30,000 g/</w:t>
      </w:r>
      <w:proofErr w:type="spellStart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mol</w:t>
      </w:r>
      <w:proofErr w:type="spellEnd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39.8 </w:t>
      </w:r>
      <w:proofErr w:type="spellStart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wt</w:t>
      </w:r>
      <w:proofErr w:type="spellEnd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% acetyl)</w:t>
      </w:r>
      <w:r w:rsidRPr="00FC7787">
        <w:rPr>
          <w:rFonts w:asciiTheme="majorBidi" w:hAnsiTheme="majorBidi" w:cstheme="majorBidi"/>
          <w:sz w:val="24"/>
          <w:szCs w:val="24"/>
        </w:rPr>
        <w:t xml:space="preserve"> </w:t>
      </w:r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and g</w:t>
      </w:r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raphite powder (&lt;20 µm, purity 99.99%) was provided from Alfa-</w:t>
      </w:r>
      <w:proofErr w:type="spellStart"/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Aesar</w:t>
      </w:r>
      <w:proofErr w:type="spellEnd"/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Co. (UK). </w:t>
      </w:r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L</w:t>
      </w:r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ead nitrate</w:t>
      </w:r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 (</w:t>
      </w:r>
      <w:proofErr w:type="gramStart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Pb(</w:t>
      </w:r>
      <w:proofErr w:type="gramEnd"/>
      <w:r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NO₃)₂)</w:t>
      </w:r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sulfuric acid (assay 95-98%), </w:t>
      </w:r>
      <w:r w:rsidR="00B61B0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</w:t>
      </w:r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potassium permanganate (assay &gt;99%) were brought from Aladdin Industrial Corporation (China). Hydrochloric acid (assay 37%)</w:t>
      </w:r>
      <w:r w:rsidR="00B61B0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B61B00" w:rsidRPr="00B61B00">
        <w:rPr>
          <w:rFonts w:asciiTheme="majorBidi" w:hAnsiTheme="majorBidi" w:cstheme="majorBidi"/>
          <w:color w:val="000000" w:themeColor="text1"/>
          <w:sz w:val="24"/>
          <w:szCs w:val="24"/>
        </w:rPr>
        <w:t>iminodiacetic acid</w:t>
      </w:r>
      <w:r w:rsidR="00B61B0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, </w:t>
      </w:r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and </w:t>
      </w:r>
      <w:r w:rsidR="00B61B0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 xml:space="preserve">hydrogen peroxide (assay 30%) </w:t>
      </w:r>
      <w:r w:rsidR="00175DD0" w:rsidRPr="00FC7787">
        <w:rPr>
          <w:rFonts w:asciiTheme="majorBidi" w:hAnsiTheme="majorBidi" w:cstheme="majorBidi"/>
          <w:color w:val="000000" w:themeColor="text1"/>
          <w:sz w:val="24"/>
          <w:szCs w:val="24"/>
        </w:rPr>
        <w:t>were purchased from Loba Chemie (India).</w:t>
      </w:r>
    </w:p>
    <w:p w14:paraId="27EA8EAE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3467C8F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CCD00E6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94CCA16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7F51F12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78286AB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A629BDA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7244D090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DC6F322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584C538D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EBA9082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0CE460A0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43489F22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F540ECC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152E18F4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6CFCD356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2F37DE83" w14:textId="77777777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0000" w:themeColor="text1"/>
          <w:sz w:val="24"/>
          <w:szCs w:val="24"/>
        </w:rPr>
      </w:pPr>
    </w:p>
    <w:p w14:paraId="3CC6E0EF" w14:textId="0829ED72" w:rsidR="00CB4FC2" w:rsidRPr="00FC7787" w:rsidRDefault="00CB4FC2" w:rsidP="00B61B00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b/>
          <w:bCs/>
          <w:color w:val="0070C0"/>
          <w:sz w:val="24"/>
          <w:szCs w:val="24"/>
        </w:rPr>
      </w:pPr>
      <w:r w:rsidRPr="00FC7787">
        <w:rPr>
          <w:rFonts w:asciiTheme="majorBidi" w:hAnsiTheme="majorBidi" w:cstheme="majorBidi"/>
          <w:b/>
          <w:bCs/>
          <w:color w:val="0070C0"/>
          <w:sz w:val="24"/>
          <w:szCs w:val="24"/>
        </w:rPr>
        <w:lastRenderedPageBreak/>
        <w:t>Text S2</w:t>
      </w:r>
    </w:p>
    <w:p w14:paraId="102D3E29" w14:textId="0CB0D56B" w:rsidR="00CB4FC2" w:rsidRPr="00FC7787" w:rsidRDefault="00CB2264" w:rsidP="00CB2264">
      <w:pPr>
        <w:pStyle w:val="ListParagraph"/>
        <w:spacing w:after="0" w:line="480" w:lineRule="auto"/>
        <w:ind w:left="0" w:firstLine="360"/>
        <w:jc w:val="both"/>
        <w:rPr>
          <w:rFonts w:asciiTheme="majorBidi" w:hAnsiTheme="majorBidi" w:cstheme="majorBidi"/>
          <w:color w:val="0070C0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The fabricated samples were characterized by </w:t>
      </w:r>
      <w:proofErr w:type="spellStart"/>
      <w:r>
        <w:rPr>
          <w:rFonts w:asciiTheme="majorBidi" w:hAnsiTheme="majorBidi" w:cstheme="majorBidi"/>
          <w:sz w:val="24"/>
          <w:szCs w:val="24"/>
        </w:rPr>
        <w:t>f</w:t>
      </w:r>
      <w:r w:rsidR="00FC7787" w:rsidRPr="00FC7787">
        <w:rPr>
          <w:rFonts w:asciiTheme="majorBidi" w:hAnsiTheme="majorBidi" w:cstheme="majorBidi"/>
          <w:sz w:val="24"/>
          <w:szCs w:val="24"/>
        </w:rPr>
        <w:t>ourier</w:t>
      </w:r>
      <w:proofErr w:type="spellEnd"/>
      <w:r w:rsidR="00FC7787" w:rsidRPr="00FC7787">
        <w:rPr>
          <w:rFonts w:asciiTheme="majorBidi" w:hAnsiTheme="majorBidi" w:cstheme="majorBidi"/>
          <w:sz w:val="24"/>
          <w:szCs w:val="24"/>
        </w:rPr>
        <w:t xml:space="preserve"> transforms infrared spectroscopy (FTIR- Bruker vector-22), thermogravimetric analyzer (TGA- LINSEIS L40/2052), scanning electron microscope (SEM- Hitachi S4800), X-ray photoelectron spectroscopy (XPS- Thermo-Fisher Sci.), X-ray diffraction (XRD- VG ESCALAB 210), and Zeta potential (ZP- Malvern). </w:t>
      </w:r>
    </w:p>
    <w:p w14:paraId="16444305" w14:textId="77777777" w:rsidR="007D614A" w:rsidRDefault="007D614A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48D1E4B6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DBDB5D0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3920FF1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023001D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A36E41F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530AA77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54EE61A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6975E05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413D5CE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AC70C8A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9E2CEED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49CE31C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720D7E4" w14:textId="77777777" w:rsidR="001B604F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886A667" w14:textId="77777777" w:rsidR="001B604F" w:rsidRPr="000C41D9" w:rsidRDefault="001B604F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0C41D9">
        <w:rPr>
          <w:rFonts w:asciiTheme="majorBidi" w:hAnsiTheme="majorBidi" w:cstheme="majorBidi"/>
          <w:noProof/>
          <w:sz w:val="24"/>
          <w:szCs w:val="24"/>
        </w:rPr>
        <w:lastRenderedPageBreak/>
        <w:drawing>
          <wp:inline distT="0" distB="0" distL="0" distR="0" wp14:anchorId="28E46E65" wp14:editId="5E6BE6D7">
            <wp:extent cx="2700020" cy="2159635"/>
            <wp:effectExtent l="0" t="0" r="5080" b="0"/>
            <wp:docPr id="14" name="Picture 13" descr="A picture containing black, white, old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0C04B3-F876-4FA4-AD02-6F45EA58D36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3" descr="A picture containing black, white, old&#10;&#10;Description automatically generated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4D0C04B3-F876-4FA4-AD02-6F45EA58D36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0020" cy="2159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AA8607" w14:textId="177E2CCA" w:rsidR="001B604F" w:rsidRDefault="001B604F" w:rsidP="007C79BD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1B604F">
        <w:rPr>
          <w:rFonts w:asciiTheme="majorBidi" w:hAnsiTheme="majorBidi" w:cstheme="majorBidi"/>
          <w:b/>
          <w:bCs/>
          <w:color w:val="0070C0"/>
          <w:sz w:val="24"/>
          <w:szCs w:val="24"/>
        </w:rPr>
        <w:t>Figure S1.</w:t>
      </w:r>
      <w:r w:rsidRPr="001B604F">
        <w:rPr>
          <w:rFonts w:asciiTheme="majorBidi" w:hAnsiTheme="majorBidi" w:cstheme="majorBidi"/>
          <w:color w:val="0070C0"/>
          <w:sz w:val="24"/>
          <w:szCs w:val="24"/>
        </w:rPr>
        <w:t xml:space="preserve"> </w:t>
      </w:r>
      <w:proofErr w:type="gramStart"/>
      <w:r w:rsidRPr="000C41D9">
        <w:rPr>
          <w:rFonts w:asciiTheme="majorBidi" w:hAnsiTheme="majorBidi" w:cstheme="majorBidi"/>
          <w:sz w:val="24"/>
          <w:szCs w:val="24"/>
        </w:rPr>
        <w:t xml:space="preserve">SEM image of </w:t>
      </w:r>
      <w:r w:rsidR="007C79BD">
        <w:rPr>
          <w:rFonts w:asciiTheme="majorBidi" w:hAnsiTheme="majorBidi" w:cstheme="majorBidi"/>
          <w:sz w:val="24"/>
          <w:szCs w:val="24"/>
        </w:rPr>
        <w:t>C</w:t>
      </w:r>
      <w:r w:rsidR="005752A3">
        <w:rPr>
          <w:rFonts w:asciiTheme="majorBidi" w:hAnsiTheme="majorBidi" w:cstheme="majorBidi"/>
          <w:sz w:val="24"/>
          <w:szCs w:val="24"/>
        </w:rPr>
        <w:t>OOH-GO</w:t>
      </w:r>
      <w:r w:rsidRPr="000C41D9">
        <w:rPr>
          <w:rFonts w:asciiTheme="majorBidi" w:hAnsiTheme="majorBidi" w:cstheme="majorBidi"/>
          <w:sz w:val="24"/>
          <w:szCs w:val="24"/>
        </w:rPr>
        <w:t xml:space="preserve"> sample</w:t>
      </w:r>
      <w:r>
        <w:rPr>
          <w:rFonts w:asciiTheme="majorBidi" w:hAnsiTheme="majorBidi" w:cstheme="majorBidi"/>
          <w:sz w:val="24"/>
          <w:szCs w:val="24"/>
        </w:rPr>
        <w:t>.</w:t>
      </w:r>
      <w:proofErr w:type="gramEnd"/>
    </w:p>
    <w:p w14:paraId="5242224B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4FED4BE2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36F314A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7B9021B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5E401E9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4CC754E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CD22786" w14:textId="0D651E13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CB3761D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6324F78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6EFAD707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EF972D2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ACCC26C" w14:textId="77777777" w:rsidR="00372241" w:rsidRDefault="00372241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3FFADEB4" w14:textId="5757C847" w:rsidR="0041470B" w:rsidRPr="00DC39D8" w:rsidRDefault="00914EAA" w:rsidP="0041470B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</w:pPr>
      <w:r w:rsidRPr="00DC39D8">
        <w:rPr>
          <w:rFonts w:asciiTheme="majorBidi" w:eastAsia="Calibri" w:hAnsiTheme="majorBidi" w:cstheme="majorBidi"/>
          <w:b/>
          <w:bCs/>
          <w:color w:val="0070C0"/>
          <w:kern w:val="0"/>
          <w:sz w:val="24"/>
          <w:szCs w:val="24"/>
          <w:highlight w:val="yellow"/>
          <w14:ligatures w14:val="none"/>
        </w:rPr>
        <w:lastRenderedPageBreak/>
        <w:t>Table S1.</w:t>
      </w:r>
      <w:r w:rsidRPr="00DC39D8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 </w:t>
      </w:r>
      <w:r w:rsidR="0041470B" w:rsidRPr="00DC39D8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>Non-linear</w:t>
      </w:r>
      <w:r w:rsidR="0041470B" w:rsidRPr="00DC39D8">
        <w:rPr>
          <w:rFonts w:asciiTheme="majorBidi" w:hAnsiTheme="majorBidi" w:cstheme="majorBidi"/>
          <w:b/>
          <w:bCs/>
          <w:color w:val="000000" w:themeColor="text1"/>
          <w:sz w:val="24"/>
          <w:szCs w:val="24"/>
          <w:highlight w:val="yellow"/>
        </w:rPr>
        <w:t xml:space="preserve"> </w:t>
      </w:r>
      <w:r w:rsidR="0041470B" w:rsidRPr="00DC39D8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equations of the applied adsorption isotherm models </w:t>
      </w:r>
    </w:p>
    <w:tbl>
      <w:tblPr>
        <w:tblStyle w:val="TableGrid"/>
        <w:tblW w:w="8784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6549"/>
      </w:tblGrid>
      <w:tr w:rsidR="0041470B" w:rsidRPr="00DC39D8" w14:paraId="4554BC0F" w14:textId="77777777" w:rsidTr="00742668">
        <w:tc>
          <w:tcPr>
            <w:tcW w:w="2235" w:type="dxa"/>
            <w:tcBorders>
              <w:bottom w:val="single" w:sz="4" w:space="0" w:color="auto"/>
            </w:tcBorders>
          </w:tcPr>
          <w:p w14:paraId="163E7CC1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Model</w:t>
            </w:r>
          </w:p>
        </w:tc>
        <w:tc>
          <w:tcPr>
            <w:tcW w:w="6549" w:type="dxa"/>
            <w:tcBorders>
              <w:bottom w:val="single" w:sz="4" w:space="0" w:color="auto"/>
            </w:tcBorders>
          </w:tcPr>
          <w:p w14:paraId="7644B806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Equation</w:t>
            </w:r>
          </w:p>
        </w:tc>
      </w:tr>
      <w:tr w:rsidR="0041470B" w:rsidRPr="00DC39D8" w14:paraId="0219CD3C" w14:textId="77777777" w:rsidTr="00742668">
        <w:tc>
          <w:tcPr>
            <w:tcW w:w="2235" w:type="dxa"/>
            <w:tcBorders>
              <w:bottom w:val="nil"/>
            </w:tcBorders>
          </w:tcPr>
          <w:p w14:paraId="5EBF6B48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Langmuir</w:t>
            </w:r>
          </w:p>
        </w:tc>
        <w:tc>
          <w:tcPr>
            <w:tcW w:w="6549" w:type="dxa"/>
            <w:tcBorders>
              <w:bottom w:val="nil"/>
            </w:tcBorders>
          </w:tcPr>
          <w:p w14:paraId="70838F35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iCs/>
                <w:sz w:val="24"/>
                <w:szCs w:val="24"/>
                <w:highlight w:val="yellow"/>
                <w:lang w:bidi="ar-EG"/>
              </w:rPr>
              <w:t xml:space="preserve">     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e</m:t>
                  </m:r>
                </m:sub>
              </m:sSub>
              <m:r>
                <w:rPr>
                  <w:rFonts w:ascii="Cambria Math" w:eastAsia="Cambria Math" w:hAnsi="Cambria Math" w:cstheme="majorBidi"/>
                  <w:sz w:val="28"/>
                  <w:szCs w:val="28"/>
                  <w:highlight w:val="yellow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max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L</m:t>
                      </m:r>
                    </m:sub>
                  </m:sSub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e</m:t>
                      </m:r>
                    </m:sub>
                  </m:sSub>
                </m:num>
                <m:den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 xml:space="preserve">1+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L</m:t>
                      </m:r>
                    </m:sub>
                  </m:s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 xml:space="preserve"> </m:t>
                  </m:r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e</m:t>
                      </m:r>
                    </m:sub>
                  </m:sSub>
                </m:den>
              </m:f>
            </m:oMath>
            <w:r w:rsidRPr="00DC39D8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                                                      (3)</w:t>
            </w:r>
          </w:p>
        </w:tc>
      </w:tr>
      <w:tr w:rsidR="0041470B" w:rsidRPr="00DC39D8" w14:paraId="53767BEC" w14:textId="77777777" w:rsidTr="00742668">
        <w:tc>
          <w:tcPr>
            <w:tcW w:w="2235" w:type="dxa"/>
            <w:tcBorders>
              <w:top w:val="nil"/>
              <w:bottom w:val="nil"/>
            </w:tcBorders>
          </w:tcPr>
          <w:p w14:paraId="32E31658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Freundlich</w:t>
            </w:r>
          </w:p>
        </w:tc>
        <w:tc>
          <w:tcPr>
            <w:tcW w:w="6549" w:type="dxa"/>
            <w:tcBorders>
              <w:top w:val="nil"/>
              <w:bottom w:val="nil"/>
            </w:tcBorders>
          </w:tcPr>
          <w:p w14:paraId="4CDCF381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iCs/>
                <w:color w:val="231F20"/>
                <w:sz w:val="24"/>
                <w:szCs w:val="24"/>
                <w:highlight w:val="yellow"/>
              </w:rPr>
              <w:t xml:space="preserve">    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e</m:t>
                  </m:r>
                </m:sub>
              </m:sSub>
              <m:r>
                <w:rPr>
                  <w:rFonts w:ascii="Cambria Math" w:eastAsia="Cambria Math" w:hAnsi="Cambria Math" w:cs="Cambria Math"/>
                  <w:sz w:val="28"/>
                  <w:szCs w:val="28"/>
                  <w:highlight w:val="yellow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k</m:t>
                  </m:r>
                </m:e>
                <m: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 xml:space="preserve">F </m:t>
                  </m:r>
                </m:sub>
              </m:sSub>
              <m:sSubSup>
                <m:sSubSup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highlight w:val="yellow"/>
                    </w:rPr>
                  </m:ctrlPr>
                </m:sSubSup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e</m:t>
                  </m:r>
                </m:sub>
                <m:sup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1/n</m:t>
                  </m:r>
                </m:sup>
              </m:sSubSup>
            </m:oMath>
            <w:r w:rsidRPr="00DC39D8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                                                        (4)</w:t>
            </w:r>
          </w:p>
        </w:tc>
      </w:tr>
      <w:tr w:rsidR="0041470B" w:rsidRPr="00DC39D8" w14:paraId="088C28F3" w14:textId="77777777" w:rsidTr="00742668">
        <w:tc>
          <w:tcPr>
            <w:tcW w:w="2235" w:type="dxa"/>
            <w:tcBorders>
              <w:top w:val="nil"/>
              <w:bottom w:val="single" w:sz="4" w:space="0" w:color="auto"/>
            </w:tcBorders>
          </w:tcPr>
          <w:p w14:paraId="037CE155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Temkin</w:t>
            </w:r>
          </w:p>
        </w:tc>
        <w:tc>
          <w:tcPr>
            <w:tcW w:w="6549" w:type="dxa"/>
            <w:tcBorders>
              <w:top w:val="nil"/>
              <w:bottom w:val="single" w:sz="4" w:space="0" w:color="auto"/>
            </w:tcBorders>
          </w:tcPr>
          <w:p w14:paraId="68DD3020" w14:textId="77777777" w:rsidR="0041470B" w:rsidRPr="00DC39D8" w:rsidRDefault="0041470B" w:rsidP="00742668">
            <w:pPr>
              <w:autoSpaceDE w:val="0"/>
              <w:autoSpaceDN w:val="0"/>
              <w:adjustRightInd w:val="0"/>
              <w:spacing w:before="240" w:line="480" w:lineRule="auto"/>
              <w:jc w:val="lowKashida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iCs/>
                <w:color w:val="231F20"/>
                <w:sz w:val="24"/>
                <w:szCs w:val="24"/>
                <w:highlight w:val="yellow"/>
              </w:rPr>
              <w:t xml:space="preserve">    </w:t>
            </w:r>
            <w:r w:rsidRPr="00DC39D8">
              <w:rPr>
                <w:rFonts w:asciiTheme="majorBidi" w:hAnsiTheme="majorBidi" w:cstheme="majorBidi"/>
                <w:iCs/>
                <w:color w:val="231F20"/>
                <w:sz w:val="28"/>
                <w:szCs w:val="28"/>
                <w:highlight w:val="yellow"/>
              </w:rPr>
              <w:t xml:space="preserve">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e</m:t>
                  </m:r>
                </m:sub>
              </m:sSub>
              <m:r>
                <w:rPr>
                  <w:rFonts w:ascii="Cambria Math" w:hAnsi="Cambria Math" w:cstheme="majorBidi"/>
                  <w:sz w:val="28"/>
                  <w:szCs w:val="28"/>
                  <w:highlight w:val="yellow"/>
                </w:rPr>
                <m:t>=</m:t>
              </m:r>
              <m:f>
                <m:f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highlight w:val="yellow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R T</m:t>
                  </m:r>
                </m:num>
                <m:den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b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T</m:t>
                      </m:r>
                    </m:sub>
                  </m:sSub>
                </m:den>
              </m:f>
              <m:func>
                <m:func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highlight w:val="yellow"/>
                    </w:rPr>
                  </m:ctrlPr>
                </m:funcPr>
                <m:fNam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ln</m:t>
                  </m:r>
                </m:fName>
                <m:e>
                  <m:sSub>
                    <m:sSubPr>
                      <m:ctrlPr>
                        <w:rPr>
                          <w:rFonts w:ascii="Cambria Math" w:hAnsi="Cambria Math" w:cstheme="majorBidi"/>
                          <w:i/>
                          <w:sz w:val="28"/>
                          <w:szCs w:val="28"/>
                          <w:highlight w:val="yellow"/>
                        </w:rPr>
                      </m:ctrlPr>
                    </m:sSubPr>
                    <m:e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k</m:t>
                      </m:r>
                    </m:e>
                    <m:sub>
                      <m:r>
                        <w:rPr>
                          <w:rFonts w:ascii="Cambria Math" w:hAnsi="Cambria Math" w:cstheme="majorBidi"/>
                          <w:sz w:val="28"/>
                          <w:szCs w:val="28"/>
                          <w:highlight w:val="yellow"/>
                        </w:rPr>
                        <m:t>T</m:t>
                      </m:r>
                    </m:sub>
                  </m:sSub>
                </m:e>
              </m:func>
              <m:sSub>
                <m:sSubPr>
                  <m:ctrlPr>
                    <w:rPr>
                      <w:rFonts w:ascii="Cambria Math" w:hAnsi="Cambria Math" w:cstheme="majorBidi"/>
                      <w:i/>
                      <w:sz w:val="28"/>
                      <w:szCs w:val="28"/>
                      <w:highlight w:val="yellow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C</m:t>
                  </m:r>
                </m:e>
                <m:sub>
                  <m:r>
                    <w:rPr>
                      <w:rFonts w:ascii="Cambria Math" w:hAnsi="Cambria Math" w:cstheme="majorBidi"/>
                      <w:sz w:val="28"/>
                      <w:szCs w:val="28"/>
                      <w:highlight w:val="yellow"/>
                    </w:rPr>
                    <m:t>e</m:t>
                  </m:r>
                </m:sub>
              </m:sSub>
            </m:oMath>
            <w:r w:rsidRPr="00DC39D8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                                                   (5)</w:t>
            </w:r>
          </w:p>
        </w:tc>
      </w:tr>
    </w:tbl>
    <w:p w14:paraId="2CC94222" w14:textId="77777777" w:rsidR="0041470B" w:rsidRPr="00DC39D8" w:rsidRDefault="0041470B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highlight w:val="yellow"/>
          <w:lang w:bidi="ar-EG"/>
        </w:rPr>
      </w:pPr>
    </w:p>
    <w:p w14:paraId="0D537DBC" w14:textId="4DD2A188" w:rsidR="00914EAA" w:rsidRDefault="00914EAA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  <w:bookmarkStart w:id="0" w:name="_Hlk157012153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Where, q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e</w:t>
      </w:r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 and C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e</w:t>
      </w:r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 are the adsorption capacity and the concentration of the un-adsorbed </w:t>
      </w:r>
      <w:proofErr w:type="gramStart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Pb(</w:t>
      </w:r>
      <w:proofErr w:type="gramEnd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II) at equilibrium, respectively. </w:t>
      </w:r>
      <w:proofErr w:type="spellStart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q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m</w:t>
      </w:r>
      <w:r w:rsidR="002E54E4"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ax</w:t>
      </w:r>
      <w:proofErr w:type="spellEnd"/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 xml:space="preserve"> </w:t>
      </w:r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and </w:t>
      </w:r>
      <w:proofErr w:type="spellStart"/>
      <w:r w:rsidR="002E54E4"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k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L</w:t>
      </w:r>
      <w:proofErr w:type="spellEnd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 are the monolayer adsorption capacity and Langmuir constant, respectively. n and </w:t>
      </w:r>
      <w:proofErr w:type="spellStart"/>
      <w:r w:rsidR="002E54E4"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k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F</w:t>
      </w:r>
      <w:proofErr w:type="spellEnd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 are </w:t>
      </w:r>
      <w:proofErr w:type="spellStart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Freundlich</w:t>
      </w:r>
      <w:proofErr w:type="spellEnd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 constants. </w:t>
      </w:r>
      <w:proofErr w:type="spellStart"/>
      <w:r w:rsidR="0041470B"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>k</w:t>
      </w:r>
      <w:r w:rsidR="0041470B"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  <w:lang w:bidi="ar-EG"/>
        </w:rPr>
        <w:t>T</w:t>
      </w:r>
      <w:proofErr w:type="spellEnd"/>
      <w:r w:rsidRPr="00DC39D8">
        <w:rPr>
          <w:rFonts w:asciiTheme="majorBidi" w:hAnsiTheme="majorBidi" w:cstheme="majorBidi"/>
          <w:sz w:val="24"/>
          <w:szCs w:val="24"/>
          <w:highlight w:val="yellow"/>
          <w:lang w:bidi="ar-EG"/>
        </w:rPr>
        <w:t xml:space="preserve"> is the equilibrium binding constant and b is Temkin constant related to heat of adsorption.</w:t>
      </w:r>
    </w:p>
    <w:bookmarkEnd w:id="0"/>
    <w:p w14:paraId="710506E5" w14:textId="77777777" w:rsidR="003B139F" w:rsidRDefault="003B139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6CF45FF9" w14:textId="77777777" w:rsidR="003B139F" w:rsidRDefault="003B139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470D5D15" w14:textId="77777777" w:rsidR="003B139F" w:rsidRDefault="003B139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17E5D87F" w14:textId="77777777" w:rsidR="00C5364F" w:rsidRDefault="00C5364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4BB16DC9" w14:textId="77777777" w:rsidR="00C5364F" w:rsidRDefault="00C5364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1C63D3F0" w14:textId="77777777" w:rsidR="00C5364F" w:rsidRDefault="00C5364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78E6D00F" w14:textId="77777777" w:rsidR="009A658D" w:rsidRDefault="009A658D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583A88EC" w14:textId="71D5B874" w:rsidR="003B139F" w:rsidRDefault="00C5364F" w:rsidP="00C5364F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  <w:r w:rsidRPr="00C5364F">
        <w:rPr>
          <w:rFonts w:asciiTheme="majorBidi" w:eastAsia="Calibri" w:hAnsiTheme="majorBidi" w:cstheme="majorBidi"/>
          <w:b/>
          <w:bCs/>
          <w:color w:val="0070C0"/>
          <w:kern w:val="0"/>
          <w:sz w:val="24"/>
          <w:szCs w:val="24"/>
          <w14:ligatures w14:val="none"/>
        </w:rPr>
        <w:lastRenderedPageBreak/>
        <w:t>Table S2.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The calculated R</w:t>
      </w:r>
      <w:r w:rsidRPr="00C5364F">
        <w:rPr>
          <w:rFonts w:asciiTheme="majorBidi" w:hAnsiTheme="majorBidi" w:cstheme="majorBidi"/>
          <w:sz w:val="24"/>
          <w:szCs w:val="24"/>
          <w:vertAlign w:val="subscript"/>
          <w:lang w:bidi="ar-EG"/>
        </w:rPr>
        <w:t>L</w:t>
      </w:r>
      <w:r>
        <w:rPr>
          <w:rFonts w:asciiTheme="majorBidi" w:hAnsiTheme="majorBidi" w:cstheme="majorBidi"/>
          <w:sz w:val="24"/>
          <w:szCs w:val="24"/>
          <w:lang w:bidi="ar-EG"/>
        </w:rPr>
        <w:t xml:space="preserve"> values at varied concentrations of </w:t>
      </w:r>
      <w:proofErr w:type="gramStart"/>
      <w:r>
        <w:rPr>
          <w:rFonts w:asciiTheme="majorBidi" w:hAnsiTheme="majorBidi" w:cstheme="majorBidi"/>
          <w:sz w:val="24"/>
          <w:szCs w:val="24"/>
          <w:lang w:bidi="ar-EG"/>
        </w:rPr>
        <w:t>Pb(</w:t>
      </w:r>
      <w:proofErr w:type="gramEnd"/>
      <w:r>
        <w:rPr>
          <w:rFonts w:asciiTheme="majorBidi" w:hAnsiTheme="majorBidi" w:cstheme="majorBidi"/>
          <w:sz w:val="24"/>
          <w:szCs w:val="24"/>
          <w:lang w:bidi="ar-EG"/>
        </w:rPr>
        <w:t>II).</w:t>
      </w:r>
    </w:p>
    <w:tbl>
      <w:tblPr>
        <w:tblStyle w:val="TableGrid"/>
        <w:tblW w:w="0" w:type="auto"/>
        <w:tblInd w:w="2245" w:type="dxa"/>
        <w:tblLook w:val="04A0" w:firstRow="1" w:lastRow="0" w:firstColumn="1" w:lastColumn="0" w:noHBand="0" w:noVBand="1"/>
      </w:tblPr>
      <w:tblGrid>
        <w:gridCol w:w="1890"/>
        <w:gridCol w:w="1800"/>
      </w:tblGrid>
      <w:tr w:rsidR="003B139F" w14:paraId="0A9C11D6" w14:textId="77777777" w:rsidTr="005F346F">
        <w:tc>
          <w:tcPr>
            <w:tcW w:w="1890" w:type="dxa"/>
          </w:tcPr>
          <w:p w14:paraId="18B324FE" w14:textId="5F32427B" w:rsidR="003B139F" w:rsidRPr="005F346F" w:rsidRDefault="003B139F" w:rsidP="005F346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5F346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C</w:t>
            </w:r>
            <w:r w:rsidRPr="005F346F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  <w:lang w:bidi="ar-EG"/>
              </w:rPr>
              <w:t>o</w:t>
            </w:r>
            <w:r w:rsidR="005F346F" w:rsidRPr="005F346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 xml:space="preserve"> (mg/L)</w:t>
            </w:r>
          </w:p>
        </w:tc>
        <w:tc>
          <w:tcPr>
            <w:tcW w:w="1800" w:type="dxa"/>
          </w:tcPr>
          <w:p w14:paraId="2B9EEAA2" w14:textId="5D96C22A" w:rsidR="003B139F" w:rsidRPr="005F346F" w:rsidRDefault="003B139F" w:rsidP="005F346F">
            <w:pPr>
              <w:spacing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</w:pPr>
            <w:r w:rsidRPr="005F346F">
              <w:rPr>
                <w:rFonts w:asciiTheme="majorBidi" w:hAnsiTheme="majorBidi" w:cstheme="majorBidi"/>
                <w:b/>
                <w:bCs/>
                <w:sz w:val="24"/>
                <w:szCs w:val="24"/>
                <w:lang w:bidi="ar-EG"/>
              </w:rPr>
              <w:t>R</w:t>
            </w:r>
            <w:r w:rsidRPr="005F346F">
              <w:rPr>
                <w:rFonts w:asciiTheme="majorBidi" w:hAnsiTheme="majorBidi" w:cstheme="majorBidi"/>
                <w:b/>
                <w:bCs/>
                <w:sz w:val="24"/>
                <w:szCs w:val="24"/>
                <w:vertAlign w:val="subscript"/>
                <w:lang w:bidi="ar-EG"/>
              </w:rPr>
              <w:t>L</w:t>
            </w:r>
          </w:p>
        </w:tc>
      </w:tr>
      <w:tr w:rsidR="003B139F" w14:paraId="0424B370" w14:textId="77777777" w:rsidTr="005F346F">
        <w:tc>
          <w:tcPr>
            <w:tcW w:w="1890" w:type="dxa"/>
          </w:tcPr>
          <w:p w14:paraId="2064EF13" w14:textId="7EBC8355" w:rsidR="003B139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50</w:t>
            </w:r>
          </w:p>
        </w:tc>
        <w:tc>
          <w:tcPr>
            <w:tcW w:w="1800" w:type="dxa"/>
          </w:tcPr>
          <w:p w14:paraId="5B346572" w14:textId="57E20A05" w:rsidR="003B139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1.98x10</w:t>
            </w:r>
            <w:r w:rsidRPr="005F346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-4</w:t>
            </w:r>
          </w:p>
        </w:tc>
      </w:tr>
      <w:tr w:rsidR="003B139F" w14:paraId="75FA58C6" w14:textId="77777777" w:rsidTr="005F346F">
        <w:tc>
          <w:tcPr>
            <w:tcW w:w="1890" w:type="dxa"/>
          </w:tcPr>
          <w:p w14:paraId="0F048E2E" w14:textId="7F679C7D" w:rsidR="003B139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100</w:t>
            </w:r>
          </w:p>
        </w:tc>
        <w:tc>
          <w:tcPr>
            <w:tcW w:w="1800" w:type="dxa"/>
          </w:tcPr>
          <w:p w14:paraId="3CCF40EB" w14:textId="0B015680" w:rsidR="003B139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9.9x10</w:t>
            </w:r>
            <w:r w:rsidRPr="005F346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-5</w:t>
            </w:r>
          </w:p>
        </w:tc>
      </w:tr>
      <w:tr w:rsidR="003B139F" w14:paraId="78238600" w14:textId="77777777" w:rsidTr="005F346F">
        <w:tc>
          <w:tcPr>
            <w:tcW w:w="1890" w:type="dxa"/>
          </w:tcPr>
          <w:p w14:paraId="202CA93B" w14:textId="766CF2DB" w:rsidR="003B139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250</w:t>
            </w:r>
          </w:p>
        </w:tc>
        <w:tc>
          <w:tcPr>
            <w:tcW w:w="1800" w:type="dxa"/>
          </w:tcPr>
          <w:p w14:paraId="6C64F54D" w14:textId="618F3E5B" w:rsidR="003B139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3.96x10</w:t>
            </w:r>
            <w:r w:rsidRPr="005F346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-5</w:t>
            </w:r>
          </w:p>
        </w:tc>
      </w:tr>
      <w:tr w:rsidR="005F346F" w14:paraId="5FF4F03F" w14:textId="77777777" w:rsidTr="005F346F">
        <w:tc>
          <w:tcPr>
            <w:tcW w:w="1890" w:type="dxa"/>
          </w:tcPr>
          <w:p w14:paraId="708179C0" w14:textId="06B457EA" w:rsidR="005F346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350</w:t>
            </w:r>
          </w:p>
        </w:tc>
        <w:tc>
          <w:tcPr>
            <w:tcW w:w="1800" w:type="dxa"/>
          </w:tcPr>
          <w:p w14:paraId="3228BD5A" w14:textId="55B9E3DA" w:rsidR="005F346F" w:rsidRDefault="005F346F" w:rsidP="005F346F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  <w:lang w:bidi="ar-EG"/>
              </w:rPr>
            </w:pPr>
            <w:r>
              <w:rPr>
                <w:rFonts w:asciiTheme="majorBidi" w:hAnsiTheme="majorBidi" w:cstheme="majorBidi"/>
                <w:sz w:val="24"/>
                <w:szCs w:val="24"/>
                <w:lang w:bidi="ar-EG"/>
              </w:rPr>
              <w:t>2.83x10</w:t>
            </w:r>
            <w:r w:rsidRPr="005F346F">
              <w:rPr>
                <w:rFonts w:asciiTheme="majorBidi" w:hAnsiTheme="majorBidi" w:cstheme="majorBidi"/>
                <w:sz w:val="24"/>
                <w:szCs w:val="24"/>
                <w:vertAlign w:val="superscript"/>
                <w:lang w:bidi="ar-EG"/>
              </w:rPr>
              <w:t>-5</w:t>
            </w:r>
          </w:p>
        </w:tc>
      </w:tr>
    </w:tbl>
    <w:p w14:paraId="2FACBAAE" w14:textId="77777777" w:rsidR="003B139F" w:rsidRDefault="003B139F" w:rsidP="00914EAA">
      <w:pPr>
        <w:spacing w:line="480" w:lineRule="auto"/>
        <w:ind w:firstLine="284"/>
        <w:jc w:val="both"/>
        <w:rPr>
          <w:rFonts w:asciiTheme="majorBidi" w:hAnsiTheme="majorBidi" w:cstheme="majorBidi"/>
          <w:sz w:val="24"/>
          <w:szCs w:val="24"/>
          <w:lang w:bidi="ar-EG"/>
        </w:rPr>
      </w:pPr>
    </w:p>
    <w:p w14:paraId="6D705F24" w14:textId="77777777" w:rsidR="00914EAA" w:rsidRDefault="00914EAA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577D46BF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0ACA1ADD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5D75CD56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13A1C60B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466B9C1" w14:textId="77777777" w:rsidR="00372241" w:rsidRDefault="00372241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AA6D083" w14:textId="77777777" w:rsidR="00C5364F" w:rsidRDefault="00C5364F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8E6EF7B" w14:textId="77777777" w:rsidR="00C5364F" w:rsidRDefault="00C5364F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22A2C71" w14:textId="77777777" w:rsidR="00C5364F" w:rsidRDefault="00C5364F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6E98FED6" w14:textId="77777777" w:rsidR="00C5364F" w:rsidRDefault="00C5364F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753A81FD" w14:textId="77777777" w:rsidR="00C5364F" w:rsidRDefault="00C5364F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03FA51FF" w14:textId="77777777" w:rsidR="00C5364F" w:rsidRDefault="00C5364F" w:rsidP="00914EAA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2454E070" w14:textId="67BCA40A" w:rsidR="00914EAA" w:rsidRPr="00DC39D8" w:rsidRDefault="00914EAA" w:rsidP="00914EAA">
      <w:pPr>
        <w:spacing w:line="480" w:lineRule="auto"/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</w:pPr>
      <w:r w:rsidRPr="00DC39D8">
        <w:rPr>
          <w:rFonts w:asciiTheme="majorBidi" w:eastAsia="Calibri" w:hAnsiTheme="majorBidi" w:cstheme="majorBidi"/>
          <w:b/>
          <w:bCs/>
          <w:color w:val="0070C0"/>
          <w:kern w:val="0"/>
          <w:sz w:val="24"/>
          <w:szCs w:val="24"/>
          <w:highlight w:val="yellow"/>
          <w14:ligatures w14:val="none"/>
        </w:rPr>
        <w:lastRenderedPageBreak/>
        <w:t>Table S</w:t>
      </w:r>
      <w:r w:rsidR="00C5364F" w:rsidRPr="00DC39D8">
        <w:rPr>
          <w:rFonts w:asciiTheme="majorBidi" w:eastAsia="Calibri" w:hAnsiTheme="majorBidi" w:cstheme="majorBidi"/>
          <w:b/>
          <w:bCs/>
          <w:color w:val="0070C0"/>
          <w:kern w:val="0"/>
          <w:sz w:val="24"/>
          <w:szCs w:val="24"/>
          <w:highlight w:val="yellow"/>
          <w14:ligatures w14:val="none"/>
        </w:rPr>
        <w:t>3</w:t>
      </w:r>
      <w:r w:rsidRPr="00DC39D8">
        <w:rPr>
          <w:rFonts w:asciiTheme="majorBidi" w:eastAsia="Calibri" w:hAnsiTheme="majorBidi" w:cstheme="majorBidi"/>
          <w:b/>
          <w:bCs/>
          <w:color w:val="0070C0"/>
          <w:kern w:val="0"/>
          <w:sz w:val="24"/>
          <w:szCs w:val="24"/>
          <w:highlight w:val="yellow"/>
          <w14:ligatures w14:val="none"/>
        </w:rPr>
        <w:t>.</w:t>
      </w:r>
      <w:r w:rsidRPr="00DC39D8">
        <w:rPr>
          <w:rFonts w:asciiTheme="majorBidi" w:hAnsiTheme="majorBidi" w:cstheme="majorBidi"/>
          <w:color w:val="000000" w:themeColor="text1"/>
          <w:sz w:val="24"/>
          <w:szCs w:val="24"/>
          <w:highlight w:val="yellow"/>
        </w:rPr>
        <w:t xml:space="preserve"> Equations of the applied adsorption kinetic models 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5"/>
        <w:gridCol w:w="5811"/>
      </w:tblGrid>
      <w:tr w:rsidR="00914EAA" w:rsidRPr="00DC39D8" w14:paraId="26047D4E" w14:textId="77777777" w:rsidTr="00121BF8">
        <w:tc>
          <w:tcPr>
            <w:tcW w:w="2235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732DC89" w14:textId="77777777" w:rsidR="00914EAA" w:rsidRPr="00DC39D8" w:rsidRDefault="00914EAA" w:rsidP="00121BF8">
            <w:pPr>
              <w:autoSpaceDE w:val="0"/>
              <w:autoSpaceDN w:val="0"/>
              <w:adjustRightInd w:val="0"/>
              <w:spacing w:before="240"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Kinetic Model</w:t>
            </w:r>
          </w:p>
        </w:tc>
        <w:tc>
          <w:tcPr>
            <w:tcW w:w="581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5436849" w14:textId="77777777" w:rsidR="00914EAA" w:rsidRPr="00DC39D8" w:rsidRDefault="00914EAA" w:rsidP="00121BF8">
            <w:pPr>
              <w:autoSpaceDE w:val="0"/>
              <w:autoSpaceDN w:val="0"/>
              <w:adjustRightInd w:val="0"/>
              <w:spacing w:before="240"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Equation</w:t>
            </w:r>
          </w:p>
        </w:tc>
      </w:tr>
      <w:tr w:rsidR="00914EAA" w:rsidRPr="00DC39D8" w14:paraId="79ABEE6B" w14:textId="77777777" w:rsidTr="00121BF8">
        <w:tc>
          <w:tcPr>
            <w:tcW w:w="2235" w:type="dxa"/>
            <w:tcBorders>
              <w:top w:val="single" w:sz="4" w:space="0" w:color="auto"/>
            </w:tcBorders>
            <w:hideMark/>
          </w:tcPr>
          <w:p w14:paraId="1547E970" w14:textId="77777777" w:rsidR="00914EAA" w:rsidRPr="00DC39D8" w:rsidRDefault="00914EAA" w:rsidP="00121BF8">
            <w:pPr>
              <w:autoSpaceDE w:val="0"/>
              <w:autoSpaceDN w:val="0"/>
              <w:adjustRightInd w:val="0"/>
              <w:spacing w:before="240"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Pseudo 1</w:t>
            </w: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  <w:vertAlign w:val="superscript"/>
              </w:rPr>
              <w:t>st</w:t>
            </w: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order</w:t>
            </w:r>
          </w:p>
        </w:tc>
        <w:tc>
          <w:tcPr>
            <w:tcW w:w="5811" w:type="dxa"/>
            <w:tcBorders>
              <w:top w:val="single" w:sz="4" w:space="0" w:color="auto"/>
            </w:tcBorders>
            <w:hideMark/>
          </w:tcPr>
          <w:p w14:paraId="02D327D6" w14:textId="15ED3408" w:rsidR="00914EAA" w:rsidRPr="00DC39D8" w:rsidRDefault="00B632A9" w:rsidP="009A658D">
            <w:pPr>
              <w:autoSpaceDE w:val="0"/>
              <w:autoSpaceDN w:val="0"/>
              <w:adjustRightInd w:val="0"/>
              <w:spacing w:before="240" w:line="480" w:lineRule="auto"/>
              <w:ind w:left="915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t</m:t>
                    </m:r>
                  </m:sub>
                </m:sSub>
                <m:r>
                  <m:rPr>
                    <m:sty m:val="p"/>
                  </m:rPr>
                  <w:rPr>
                    <w:rFonts w:ascii="Cambria Math" w:hAnsi="Cambria Math" w:cstheme="majorBidi"/>
                    <w:sz w:val="24"/>
                    <w:szCs w:val="24"/>
                    <w:highlight w:val="yellow"/>
                  </w:rPr>
                  <m:t>=</m:t>
                </m:r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</m:ctrlPr>
                  </m:sSubPr>
                  <m:e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e</m:t>
                    </m:r>
                  </m:sub>
                </m:sSub>
                <m:d>
                  <m:dPr>
                    <m:ctrl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</m:ctrlPr>
                  </m:d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1-</m:t>
                    </m:r>
                    <m:sSup>
                      <m:sSup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</m:ctrlPr>
                      </m:sSup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e</m:t>
                        </m:r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-</m:t>
                        </m:r>
                        <m:sSub>
                          <m:sSubPr>
                            <m:ctrl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  <w:highlight w:val="yellow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  <w:highlight w:val="yellow"/>
                              </w:rPr>
                              <m:t>k</m:t>
                            </m:r>
                          </m:e>
                          <m:sub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theme="majorBidi"/>
                                <w:sz w:val="24"/>
                                <w:szCs w:val="24"/>
                                <w:highlight w:val="yellow"/>
                              </w:rPr>
                              <m:t xml:space="preserve">1 </m:t>
                            </m:r>
                          </m:sub>
                        </m:s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t</m:t>
                        </m:r>
                      </m:sup>
                    </m:sSup>
                  </m:e>
                </m:d>
                <m:r>
                  <w:rPr>
                    <w:rFonts w:ascii="Cambria Math" w:hAnsi="Cambria Math" w:cstheme="majorBidi"/>
                    <w:sz w:val="24"/>
                    <w:szCs w:val="24"/>
                    <w:highlight w:val="yellow"/>
                    <w:lang w:bidi="ar-EG"/>
                  </w:rPr>
                  <m:t xml:space="preserve">                         (7)</m:t>
                </m:r>
              </m:oMath>
            </m:oMathPara>
          </w:p>
        </w:tc>
      </w:tr>
      <w:tr w:rsidR="00914EAA" w:rsidRPr="00DC39D8" w14:paraId="5CAA7FFE" w14:textId="77777777" w:rsidTr="00121BF8">
        <w:tc>
          <w:tcPr>
            <w:tcW w:w="2235" w:type="dxa"/>
            <w:hideMark/>
          </w:tcPr>
          <w:p w14:paraId="53E6691F" w14:textId="77777777" w:rsidR="00914EAA" w:rsidRPr="00DC39D8" w:rsidRDefault="00914EAA" w:rsidP="00121BF8">
            <w:pPr>
              <w:autoSpaceDE w:val="0"/>
              <w:autoSpaceDN w:val="0"/>
              <w:adjustRightInd w:val="0"/>
              <w:spacing w:before="240" w:line="480" w:lineRule="auto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Pseudo 2</w:t>
            </w: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  <w:vertAlign w:val="superscript"/>
              </w:rPr>
              <w:t xml:space="preserve">nd </w:t>
            </w: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order</w:t>
            </w:r>
          </w:p>
        </w:tc>
        <w:tc>
          <w:tcPr>
            <w:tcW w:w="5811" w:type="dxa"/>
            <w:hideMark/>
          </w:tcPr>
          <w:p w14:paraId="495BAA8B" w14:textId="51AB3082" w:rsidR="00914EAA" w:rsidRPr="00DC39D8" w:rsidRDefault="00B632A9" w:rsidP="003E429F">
            <w:pPr>
              <w:autoSpaceDE w:val="0"/>
              <w:autoSpaceDN w:val="0"/>
              <w:adjustRightInd w:val="0"/>
              <w:spacing w:before="240" w:line="480" w:lineRule="auto"/>
              <w:ind w:left="1005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</m:ctrlPr>
                  </m:sSubPr>
                  <m:e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t</m:t>
                    </m:r>
                  </m:sub>
                </m:sSub>
                <m:r>
                  <w:rPr>
                    <w:rFonts w:ascii="Cambria Math" w:eastAsia="Cambria Math" w:hAnsi="Cambria Math" w:cstheme="majorBidi"/>
                    <w:sz w:val="24"/>
                    <w:szCs w:val="24"/>
                    <w:highlight w:val="yellow"/>
                  </w:rPr>
                  <m:t>=</m:t>
                </m:r>
                <m:f>
                  <m:fPr>
                    <m:ctrl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t</m:t>
                    </m:r>
                    <m:sSub>
                      <m:sSubPr>
                        <m:ctrlP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 xml:space="preserve"> </m:t>
                        </m:r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 xml:space="preserve">2 </m:t>
                        </m:r>
                      </m:sub>
                    </m:sSub>
                    <m:sSubSup>
                      <m:sSubSup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  <w:highlight w:val="yellow"/>
                          </w:rPr>
                        </m:ctrlPr>
                      </m:sSubSup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e</m:t>
                        </m:r>
                      </m:sub>
                      <m:sup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2</m:t>
                        </m:r>
                      </m:sup>
                    </m:sSubSup>
                  </m:num>
                  <m:den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1+</m:t>
                    </m:r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>t</m:t>
                    </m:r>
                    <m:r>
                      <w:rPr>
                        <w:rFonts w:ascii="Cambria Math" w:hAnsi="Cambria Math" w:cstheme="majorBidi"/>
                        <w:sz w:val="24"/>
                        <w:szCs w:val="24"/>
                        <w:highlight w:val="yellow"/>
                      </w:rPr>
                      <m:t xml:space="preserve"> </m:t>
                    </m:r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  <w:highlight w:val="yellow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2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 w:cstheme="majorBidi"/>
                            <w:i/>
                            <w:sz w:val="24"/>
                            <w:szCs w:val="24"/>
                            <w:highlight w:val="yellow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 w:cstheme="majorBidi"/>
                            <w:sz w:val="24"/>
                            <w:szCs w:val="24"/>
                            <w:highlight w:val="yellow"/>
                          </w:rPr>
                          <m:t>e</m:t>
                        </m:r>
                      </m:sub>
                    </m:sSub>
                  </m:den>
                </m:f>
                <m:r>
                  <w:rPr>
                    <w:rFonts w:ascii="Cambria Math" w:hAnsi="Cambria Math" w:cstheme="majorBidi"/>
                    <w:sz w:val="24"/>
                    <w:szCs w:val="24"/>
                    <w:highlight w:val="yellow"/>
                  </w:rPr>
                  <m:t xml:space="preserve">                              (8)</m:t>
                </m:r>
              </m:oMath>
            </m:oMathPara>
          </w:p>
        </w:tc>
      </w:tr>
      <w:tr w:rsidR="00914EAA" w:rsidRPr="00DC39D8" w14:paraId="1D7417A9" w14:textId="77777777" w:rsidTr="00121BF8">
        <w:tc>
          <w:tcPr>
            <w:tcW w:w="2235" w:type="dxa"/>
            <w:hideMark/>
          </w:tcPr>
          <w:p w14:paraId="13FD29E3" w14:textId="77777777" w:rsidR="00914EAA" w:rsidRPr="00DC39D8" w:rsidRDefault="00914EAA" w:rsidP="00121BF8">
            <w:pPr>
              <w:pStyle w:val="ListParagraph"/>
              <w:autoSpaceDE w:val="0"/>
              <w:autoSpaceDN w:val="0"/>
              <w:adjustRightInd w:val="0"/>
              <w:spacing w:before="240" w:line="48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  Elovich model</w:t>
            </w:r>
          </w:p>
        </w:tc>
        <w:tc>
          <w:tcPr>
            <w:tcW w:w="5811" w:type="dxa"/>
            <w:hideMark/>
          </w:tcPr>
          <w:p w14:paraId="723CB18B" w14:textId="705B448B" w:rsidR="00914EAA" w:rsidRPr="00DC39D8" w:rsidRDefault="00B632A9" w:rsidP="003E429F">
            <w:pPr>
              <w:autoSpaceDE w:val="0"/>
              <w:autoSpaceDN w:val="0"/>
              <w:adjustRightInd w:val="0"/>
              <w:spacing w:before="240" w:line="480" w:lineRule="auto"/>
              <w:ind w:left="1185"/>
              <w:jc w:val="center"/>
              <w:rPr>
                <w:rFonts w:asciiTheme="majorBidi" w:hAnsiTheme="majorBidi" w:cstheme="majorBidi"/>
                <w:sz w:val="24"/>
                <w:szCs w:val="24"/>
                <w:highlight w:val="yellow"/>
              </w:rPr>
            </w:pPr>
            <m:oMath>
              <m:sSub>
                <m:sSubPr>
                  <m:ctrlPr>
                    <w:rPr>
                      <w:rFonts w:ascii="Cambria Math" w:hAnsi="Cambria Math" w:cstheme="majorBidi"/>
                      <w:bCs/>
                      <w:i/>
                      <w:iCs/>
                      <w:color w:val="000000" w:themeColor="text1"/>
                      <w:sz w:val="24"/>
                      <w:szCs w:val="24"/>
                      <w:highlight w:val="yellow"/>
                      <w:lang w:bidi="ar-EG"/>
                    </w:rPr>
                  </m:ctrlPr>
                </m:sSubPr>
                <m:e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highlight w:val="yellow"/>
                      <w:lang w:bidi="ar-EG"/>
                    </w:rPr>
                    <m:t>q</m:t>
                  </m:r>
                </m:e>
                <m:sub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highlight w:val="yellow"/>
                      <w:lang w:bidi="ar-EG"/>
                    </w:rPr>
                    <m:t>t</m:t>
                  </m:r>
                </m:sub>
              </m:sSub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  <w:highlight w:val="yellow"/>
                  <w:lang w:bidi="ar-EG"/>
                </w:rPr>
                <m:t xml:space="preserve">= </m:t>
              </m:r>
              <m:f>
                <m:fPr>
                  <m:ctrlPr>
                    <w:rPr>
                      <w:rFonts w:ascii="Cambria Math" w:hAnsi="Cambria Math" w:cstheme="majorBidi"/>
                      <w:bCs/>
                      <w:i/>
                      <w:iCs/>
                      <w:color w:val="000000" w:themeColor="text1"/>
                      <w:sz w:val="24"/>
                      <w:szCs w:val="24"/>
                      <w:highlight w:val="yellow"/>
                      <w:lang w:bidi="ar-EG"/>
                    </w:rPr>
                  </m:ctrlPr>
                </m:fPr>
                <m:num>
                  <m: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highlight w:val="yellow"/>
                      <w:lang w:bidi="ar-EG"/>
                    </w:rPr>
                    <m:t>1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 w:cstheme="majorBidi"/>
                      <w:color w:val="000000" w:themeColor="text1"/>
                      <w:sz w:val="24"/>
                      <w:szCs w:val="24"/>
                      <w:highlight w:val="yellow"/>
                      <w:lang w:bidi="ar-EG"/>
                    </w:rPr>
                    <m:t>β</m:t>
                  </m:r>
                </m:den>
              </m:f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  <w:highlight w:val="yellow"/>
                  <w:lang w:bidi="ar-EG"/>
                </w:rPr>
                <m:t>ln</m:t>
              </m:r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  <w:highlight w:val="yellow"/>
                  <w:lang w:bidi="ar-EG"/>
                </w:rPr>
                <m:t>(</m:t>
              </m:r>
              <m:r>
                <m:rPr>
                  <m:sty m:val="p"/>
                </m:rP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  <w:highlight w:val="yellow"/>
                  <w:lang w:bidi="ar-EG"/>
                </w:rPr>
                <m:t>αβt+</m:t>
              </m:r>
              <m:r>
                <w:rPr>
                  <w:rFonts w:ascii="Cambria Math" w:hAnsi="Cambria Math" w:cstheme="majorBidi"/>
                  <w:color w:val="000000" w:themeColor="text1"/>
                  <w:sz w:val="24"/>
                  <w:szCs w:val="24"/>
                  <w:highlight w:val="yellow"/>
                  <w:lang w:bidi="ar-EG"/>
                </w:rPr>
                <m:t>1)</m:t>
              </m:r>
            </m:oMath>
            <w:r w:rsidR="003E429F" w:rsidRPr="00DC39D8">
              <w:rPr>
                <w:rFonts w:asciiTheme="majorBidi" w:eastAsia="SimSun" w:hAnsiTheme="majorBidi" w:cstheme="majorBidi"/>
                <w:bCs/>
                <w:iCs/>
                <w:color w:val="000000" w:themeColor="text1"/>
                <w:sz w:val="24"/>
                <w:szCs w:val="24"/>
                <w:highlight w:val="yellow"/>
                <w:lang w:bidi="ar-EG"/>
              </w:rPr>
              <w:t xml:space="preserve">                 </w:t>
            </w:r>
            <w:r w:rsidR="00914EAA" w:rsidRPr="00DC39D8">
              <w:rPr>
                <w:rFonts w:asciiTheme="majorBidi" w:hAnsiTheme="majorBidi" w:cstheme="majorBidi"/>
                <w:sz w:val="24"/>
                <w:szCs w:val="24"/>
                <w:highlight w:val="yellow"/>
              </w:rPr>
              <w:t xml:space="preserve">      </w:t>
            </w:r>
            <w:r w:rsidR="00914EAA" w:rsidRPr="00DC39D8">
              <w:rPr>
                <w:rFonts w:ascii="Cambria Math" w:hAnsi="Cambria Math" w:cstheme="majorBidi"/>
                <w:color w:val="000000" w:themeColor="text1"/>
                <w:sz w:val="24"/>
                <w:szCs w:val="24"/>
                <w:highlight w:val="yellow"/>
                <w:lang w:bidi="ar-EG"/>
              </w:rPr>
              <w:t>(</w:t>
            </w:r>
            <w:r w:rsidR="003B139F" w:rsidRPr="00DC39D8">
              <w:rPr>
                <w:rFonts w:ascii="Cambria Math" w:hAnsi="Cambria Math" w:cstheme="majorBidi"/>
                <w:color w:val="000000" w:themeColor="text1"/>
                <w:sz w:val="24"/>
                <w:szCs w:val="24"/>
                <w:highlight w:val="yellow"/>
                <w:lang w:bidi="ar-EG"/>
              </w:rPr>
              <w:t>9</w:t>
            </w:r>
            <w:r w:rsidR="00914EAA" w:rsidRPr="00DC39D8">
              <w:rPr>
                <w:rFonts w:ascii="Cambria Math" w:hAnsi="Cambria Math" w:cstheme="majorBidi"/>
                <w:color w:val="000000" w:themeColor="text1"/>
                <w:sz w:val="24"/>
                <w:szCs w:val="24"/>
                <w:highlight w:val="yellow"/>
                <w:lang w:bidi="ar-EG"/>
              </w:rPr>
              <w:t>)</w:t>
            </w:r>
          </w:p>
        </w:tc>
      </w:tr>
      <w:tr w:rsidR="00914EAA" w:rsidRPr="00DC39D8" w14:paraId="5E8A566E" w14:textId="77777777" w:rsidTr="00121BF8">
        <w:tc>
          <w:tcPr>
            <w:tcW w:w="2235" w:type="dxa"/>
          </w:tcPr>
          <w:p w14:paraId="67EC9EC2" w14:textId="6057D2FE" w:rsidR="00914EAA" w:rsidRPr="00DC39D8" w:rsidRDefault="00914EAA" w:rsidP="00121BF8">
            <w:pPr>
              <w:pStyle w:val="ListParagraph"/>
              <w:autoSpaceDE w:val="0"/>
              <w:autoSpaceDN w:val="0"/>
              <w:adjustRightInd w:val="0"/>
              <w:spacing w:before="240" w:line="480" w:lineRule="auto"/>
              <w:ind w:left="0"/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</w:pPr>
            <w:r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>Intraparticle</w:t>
            </w:r>
            <w:r w:rsidR="00D125CF" w:rsidRPr="00DC39D8">
              <w:rPr>
                <w:rFonts w:asciiTheme="majorBidi" w:hAnsiTheme="majorBidi" w:cstheme="majorBidi"/>
                <w:b/>
                <w:bCs/>
                <w:sz w:val="24"/>
                <w:szCs w:val="24"/>
                <w:highlight w:val="yellow"/>
              </w:rPr>
              <w:t xml:space="preserve"> diffusion</w:t>
            </w:r>
          </w:p>
        </w:tc>
        <w:tc>
          <w:tcPr>
            <w:tcW w:w="5811" w:type="dxa"/>
          </w:tcPr>
          <w:p w14:paraId="7B935755" w14:textId="4395DAD0" w:rsidR="00914EAA" w:rsidRPr="00DC39D8" w:rsidRDefault="00914EAA" w:rsidP="00121BF8">
            <w:pPr>
              <w:autoSpaceDE w:val="0"/>
              <w:autoSpaceDN w:val="0"/>
              <w:adjustRightInd w:val="0"/>
              <w:spacing w:before="240" w:line="480" w:lineRule="auto"/>
              <w:jc w:val="center"/>
              <w:rPr>
                <w:rFonts w:asciiTheme="majorBidi" w:hAnsiTheme="majorBidi" w:cstheme="majorBidi"/>
                <w:iCs/>
                <w:highlight w:val="yellow"/>
              </w:rPr>
            </w:pPr>
            <w:r w:rsidRPr="00DC39D8">
              <w:rPr>
                <w:rFonts w:asciiTheme="majorBidi" w:eastAsia="Calibri" w:hAnsiTheme="majorBidi" w:cstheme="majorBidi"/>
                <w:sz w:val="24"/>
                <w:szCs w:val="24"/>
                <w:highlight w:val="yellow"/>
              </w:rPr>
              <w:t xml:space="preserve">                       </w:t>
            </w:r>
            <m:oMath>
              <m:sSub>
                <m:sSubPr>
                  <m:ctrl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  <m:t>q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  <m:t>t</m:t>
                  </m:r>
                </m:sub>
              </m:sSub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highlight w:val="yellow"/>
                </w:rPr>
                <m:t>=</m:t>
              </m:r>
              <m:sSub>
                <m:sSubPr>
                  <m:ctrl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</m:ctrlPr>
                </m:sSub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  <m:t>K</m:t>
                  </m:r>
                </m:e>
                <m:sub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  <m:t xml:space="preserve">p </m:t>
                  </m:r>
                </m:sub>
              </m:sSub>
              <m:sSup>
                <m:sSupPr>
                  <m:ctrl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</m:ctrlPr>
                </m:sSupPr>
                <m:e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  <m:t>t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theme="majorBidi"/>
                      <w:sz w:val="24"/>
                      <w:szCs w:val="24"/>
                      <w:highlight w:val="yellow"/>
                    </w:rPr>
                    <m:t>0.5</m:t>
                  </m:r>
                </m:sup>
              </m:sSup>
              <m:r>
                <m:rPr>
                  <m:sty m:val="p"/>
                </m:rPr>
                <w:rPr>
                  <w:rFonts w:ascii="Cambria Math" w:hAnsi="Cambria Math" w:cstheme="majorBidi"/>
                  <w:sz w:val="24"/>
                  <w:szCs w:val="24"/>
                  <w:highlight w:val="yellow"/>
                </w:rPr>
                <m:t>+C</m:t>
              </m:r>
            </m:oMath>
            <w:r w:rsidRPr="00DC39D8">
              <w:rPr>
                <w:rFonts w:asciiTheme="majorBidi" w:eastAsiaTheme="minorEastAsia" w:hAnsiTheme="majorBidi" w:cstheme="majorBidi"/>
                <w:sz w:val="24"/>
                <w:szCs w:val="24"/>
                <w:highlight w:val="yellow"/>
              </w:rPr>
              <w:t xml:space="preserve">                         </w:t>
            </w:r>
            <w:r w:rsidRPr="00DC39D8">
              <w:rPr>
                <w:rFonts w:asciiTheme="majorBidi" w:hAnsiTheme="majorBidi" w:cstheme="majorBidi"/>
                <w:sz w:val="20"/>
                <w:szCs w:val="20"/>
                <w:highlight w:val="yellow"/>
              </w:rPr>
              <w:t xml:space="preserve"> </w:t>
            </w:r>
            <w:r w:rsidRPr="00DC39D8">
              <w:rPr>
                <w:rFonts w:ascii="Cambria Math" w:hAnsi="Cambria Math" w:cstheme="majorBidi"/>
                <w:color w:val="000000" w:themeColor="text1"/>
                <w:sz w:val="24"/>
                <w:szCs w:val="24"/>
                <w:highlight w:val="yellow"/>
                <w:lang w:bidi="ar-EG"/>
              </w:rPr>
              <w:t>(</w:t>
            </w:r>
            <w:r w:rsidR="003B139F" w:rsidRPr="00DC39D8">
              <w:rPr>
                <w:rFonts w:ascii="Cambria Math" w:hAnsi="Cambria Math" w:cstheme="majorBidi"/>
                <w:color w:val="000000" w:themeColor="text1"/>
                <w:sz w:val="24"/>
                <w:szCs w:val="24"/>
                <w:highlight w:val="yellow"/>
                <w:lang w:bidi="ar-EG"/>
              </w:rPr>
              <w:t>10</w:t>
            </w:r>
            <w:r w:rsidRPr="00DC39D8">
              <w:rPr>
                <w:rFonts w:ascii="Cambria Math" w:hAnsi="Cambria Math" w:cstheme="majorBidi"/>
                <w:color w:val="000000" w:themeColor="text1"/>
                <w:sz w:val="24"/>
                <w:szCs w:val="24"/>
                <w:highlight w:val="yellow"/>
                <w:lang w:bidi="ar-EG"/>
              </w:rPr>
              <w:t>)</w:t>
            </w:r>
          </w:p>
        </w:tc>
      </w:tr>
    </w:tbl>
    <w:p w14:paraId="3CDD7521" w14:textId="77777777" w:rsidR="00914EAA" w:rsidRPr="00DC39D8" w:rsidRDefault="00914EAA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  <w:highlight w:val="yellow"/>
        </w:rPr>
      </w:pPr>
    </w:p>
    <w:p w14:paraId="31A791F9" w14:textId="22589F21" w:rsidR="0072319A" w:rsidRDefault="00372241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</w:rPr>
      </w:pPr>
      <w:bookmarkStart w:id="1" w:name="_Hlk157012230"/>
      <w:r w:rsidRPr="00DC39D8">
        <w:rPr>
          <w:rFonts w:asciiTheme="majorBidi" w:hAnsiTheme="majorBidi" w:cstheme="majorBidi"/>
          <w:sz w:val="24"/>
          <w:szCs w:val="24"/>
          <w:highlight w:val="yellow"/>
        </w:rPr>
        <w:t>Where, q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</w:rPr>
        <w:t>t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and q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</w:rPr>
        <w:t>e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are amount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>s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of </w:t>
      </w:r>
      <w:proofErr w:type="gramStart"/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>Pb(</w:t>
      </w:r>
      <w:proofErr w:type="gramEnd"/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>II)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uptakes at time t and equilibrium, respectively. k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</w:rPr>
        <w:t>1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and k</w:t>
      </w:r>
      <w:r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</w:rPr>
        <w:t>2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are the rate constants of 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>Pseudo-1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  <w:vertAlign w:val="superscript"/>
        </w:rPr>
        <w:t>st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order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and 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>Pseudo-2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  <w:vertAlign w:val="superscript"/>
        </w:rPr>
        <w:t>nd</w:t>
      </w:r>
      <w:r w:rsidR="00A26AD9"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order</w:t>
      </w:r>
      <w:r w:rsidRPr="00DC39D8">
        <w:rPr>
          <w:rFonts w:asciiTheme="majorBidi" w:hAnsiTheme="majorBidi" w:cstheme="majorBidi"/>
          <w:sz w:val="24"/>
          <w:szCs w:val="24"/>
          <w:highlight w:val="yellow"/>
        </w:rPr>
        <w:t>, respectively. Furthermore, α and β are Elovich coefficients that represent the initial adsorption rate and the desorption coefficient, respectively, also related to the extent of surface coverage and activation energy for chemisorption.</w:t>
      </w:r>
      <w:bookmarkEnd w:id="1"/>
      <w:r w:rsidR="0072319A"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</w:t>
      </w:r>
      <w:proofErr w:type="spellStart"/>
      <w:r w:rsidR="0072319A" w:rsidRPr="00DC39D8">
        <w:rPr>
          <w:rFonts w:asciiTheme="majorBidi" w:hAnsiTheme="majorBidi" w:cstheme="majorBidi"/>
          <w:sz w:val="24"/>
          <w:szCs w:val="24"/>
          <w:highlight w:val="yellow"/>
        </w:rPr>
        <w:t>K</w:t>
      </w:r>
      <w:r w:rsidR="0072319A" w:rsidRPr="00DC39D8">
        <w:rPr>
          <w:rFonts w:asciiTheme="majorBidi" w:hAnsiTheme="majorBidi" w:cstheme="majorBidi"/>
          <w:sz w:val="24"/>
          <w:szCs w:val="24"/>
          <w:highlight w:val="yellow"/>
          <w:vertAlign w:val="subscript"/>
        </w:rPr>
        <w:t>p</w:t>
      </w:r>
      <w:proofErr w:type="spellEnd"/>
      <w:r w:rsidR="0072319A"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is the </w:t>
      </w:r>
      <w:proofErr w:type="spellStart"/>
      <w:r w:rsidR="0072319A" w:rsidRPr="00DC39D8">
        <w:rPr>
          <w:rFonts w:asciiTheme="majorBidi" w:hAnsiTheme="majorBidi" w:cstheme="majorBidi"/>
          <w:sz w:val="24"/>
          <w:szCs w:val="24"/>
          <w:highlight w:val="yellow"/>
        </w:rPr>
        <w:t>intraparticle</w:t>
      </w:r>
      <w:proofErr w:type="spellEnd"/>
      <w:r w:rsidR="0072319A" w:rsidRPr="00DC39D8">
        <w:rPr>
          <w:rFonts w:asciiTheme="majorBidi" w:hAnsiTheme="majorBidi" w:cstheme="majorBidi"/>
          <w:sz w:val="24"/>
          <w:szCs w:val="24"/>
          <w:highlight w:val="yellow"/>
        </w:rPr>
        <w:t xml:space="preserve"> diffusion constant and C provides an idea about the thickness of the boundary layer.</w:t>
      </w:r>
    </w:p>
    <w:p w14:paraId="3C2E5A94" w14:textId="77777777" w:rsidR="00033BAE" w:rsidRDefault="00033BAE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</w:rPr>
      </w:pPr>
    </w:p>
    <w:p w14:paraId="65E93E18" w14:textId="77777777" w:rsidR="00033BAE" w:rsidRDefault="00033BAE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</w:rPr>
      </w:pPr>
    </w:p>
    <w:p w14:paraId="5EEB9E33" w14:textId="77777777" w:rsidR="00033BAE" w:rsidRDefault="00033BAE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</w:rPr>
      </w:pPr>
    </w:p>
    <w:p w14:paraId="5A94E86C" w14:textId="77777777" w:rsidR="00033BAE" w:rsidRDefault="00033BAE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</w:rPr>
      </w:pPr>
    </w:p>
    <w:p w14:paraId="740EC2C9" w14:textId="4637D854" w:rsidR="00033BAE" w:rsidRPr="000C41D9" w:rsidRDefault="00033BAE" w:rsidP="007C79BD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  <w:r w:rsidRPr="00033BAE">
        <w:rPr>
          <w:rFonts w:asciiTheme="majorBidi" w:hAnsiTheme="majorBidi" w:cstheme="majorBidi"/>
          <w:b/>
          <w:bCs/>
          <w:color w:val="00B0F0"/>
          <w:sz w:val="24"/>
          <w:szCs w:val="24"/>
        </w:rPr>
        <w:lastRenderedPageBreak/>
        <w:t xml:space="preserve">Table </w:t>
      </w:r>
      <w:r>
        <w:rPr>
          <w:rFonts w:asciiTheme="majorBidi" w:hAnsiTheme="majorBidi" w:cstheme="majorBidi"/>
          <w:b/>
          <w:bCs/>
          <w:color w:val="00B0F0"/>
          <w:sz w:val="24"/>
          <w:szCs w:val="24"/>
        </w:rPr>
        <w:t>S</w:t>
      </w:r>
      <w:r w:rsidR="00813429">
        <w:rPr>
          <w:rFonts w:asciiTheme="majorBidi" w:hAnsiTheme="majorBidi" w:cstheme="majorBidi"/>
          <w:b/>
          <w:bCs/>
          <w:color w:val="00B0F0"/>
          <w:sz w:val="24"/>
          <w:szCs w:val="24"/>
        </w:rPr>
        <w:t>4</w:t>
      </w:r>
      <w:r w:rsidRPr="00033BAE">
        <w:rPr>
          <w:rFonts w:asciiTheme="majorBidi" w:hAnsiTheme="majorBidi" w:cstheme="majorBidi"/>
          <w:b/>
          <w:bCs/>
          <w:color w:val="00B0F0"/>
          <w:sz w:val="24"/>
          <w:szCs w:val="24"/>
        </w:rPr>
        <w:t>.</w:t>
      </w:r>
      <w:r w:rsidRPr="00033BAE">
        <w:rPr>
          <w:rFonts w:asciiTheme="majorBidi" w:hAnsiTheme="majorBidi" w:cstheme="majorBidi"/>
          <w:color w:val="00B0F0"/>
          <w:sz w:val="24"/>
          <w:szCs w:val="24"/>
        </w:rPr>
        <w:t xml:space="preserve"> </w:t>
      </w:r>
      <w:r w:rsidRPr="000C41D9">
        <w:rPr>
          <w:rFonts w:asciiTheme="majorBidi" w:hAnsiTheme="majorBidi" w:cstheme="majorBidi"/>
          <w:sz w:val="24"/>
          <w:szCs w:val="24"/>
        </w:rPr>
        <w:t xml:space="preserve">XPS data of </w:t>
      </w:r>
      <w:r w:rsidR="007C79BD">
        <w:rPr>
          <w:rFonts w:asciiTheme="majorBidi" w:hAnsiTheme="majorBidi" w:cstheme="majorBidi"/>
          <w:sz w:val="24"/>
          <w:szCs w:val="24"/>
        </w:rPr>
        <w:t>C</w:t>
      </w:r>
      <w:bookmarkStart w:id="2" w:name="_GoBack"/>
      <w:bookmarkEnd w:id="2"/>
      <w:r>
        <w:rPr>
          <w:rFonts w:asciiTheme="majorBidi" w:hAnsiTheme="majorBidi" w:cstheme="majorBidi"/>
          <w:sz w:val="24"/>
          <w:szCs w:val="24"/>
        </w:rPr>
        <w:t>OOH-GO@CA@IDA</w:t>
      </w:r>
      <w:r w:rsidRPr="000C41D9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spheres</w:t>
      </w:r>
      <w:r w:rsidRPr="000C41D9">
        <w:rPr>
          <w:rFonts w:asciiTheme="majorBidi" w:hAnsiTheme="majorBidi" w:cstheme="majorBidi"/>
          <w:sz w:val="24"/>
          <w:szCs w:val="24"/>
        </w:rPr>
        <w:t xml:space="preserve"> (before and after Pb</w:t>
      </w:r>
      <w:r w:rsidRPr="000C41D9">
        <w:rPr>
          <w:rFonts w:asciiTheme="majorBidi" w:hAnsiTheme="majorBidi" w:cstheme="majorBidi"/>
          <w:sz w:val="24"/>
          <w:szCs w:val="24"/>
          <w:vertAlign w:val="superscript"/>
        </w:rPr>
        <w:t>2+</w:t>
      </w:r>
      <w:r w:rsidRPr="000C41D9">
        <w:rPr>
          <w:rFonts w:asciiTheme="majorBidi" w:hAnsiTheme="majorBidi" w:cstheme="majorBidi"/>
          <w:sz w:val="24"/>
          <w:szCs w:val="24"/>
        </w:rPr>
        <w:t>-adsorption).</w:t>
      </w:r>
    </w:p>
    <w:tbl>
      <w:tblPr>
        <w:tblStyle w:val="PlainTable21"/>
        <w:tblW w:w="8333" w:type="dxa"/>
        <w:tblLook w:val="04A0" w:firstRow="1" w:lastRow="0" w:firstColumn="1" w:lastColumn="0" w:noHBand="0" w:noVBand="1"/>
      </w:tblPr>
      <w:tblGrid>
        <w:gridCol w:w="2344"/>
        <w:gridCol w:w="789"/>
        <w:gridCol w:w="493"/>
        <w:gridCol w:w="1747"/>
        <w:gridCol w:w="1497"/>
        <w:gridCol w:w="1437"/>
        <w:gridCol w:w="26"/>
      </w:tblGrid>
      <w:tr w:rsidR="00033BAE" w:rsidRPr="000C41D9" w14:paraId="0B5FDFC8" w14:textId="77777777" w:rsidTr="00C27A5D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27" w:type="dxa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3" w:type="dxa"/>
            <w:vAlign w:val="center"/>
          </w:tcPr>
          <w:p w14:paraId="75539BFE" w14:textId="77777777" w:rsidR="00033BAE" w:rsidRPr="000C41D9" w:rsidRDefault="00033BAE" w:rsidP="00C27A5D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40" w:type="dxa"/>
            <w:gridSpan w:val="3"/>
            <w:vAlign w:val="center"/>
          </w:tcPr>
          <w:p w14:paraId="23944C99" w14:textId="77777777" w:rsidR="00033BAE" w:rsidRPr="000C41D9" w:rsidRDefault="00033BAE" w:rsidP="00C27A5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C 1s</w:t>
            </w:r>
          </w:p>
        </w:tc>
        <w:tc>
          <w:tcPr>
            <w:tcW w:w="1525" w:type="dxa"/>
            <w:vAlign w:val="center"/>
          </w:tcPr>
          <w:p w14:paraId="0B4B3DA9" w14:textId="77777777" w:rsidR="00033BAE" w:rsidRPr="000C41D9" w:rsidRDefault="00033BAE" w:rsidP="00C27A5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O 1s</w:t>
            </w:r>
          </w:p>
        </w:tc>
        <w:tc>
          <w:tcPr>
            <w:tcW w:w="1458" w:type="dxa"/>
            <w:vAlign w:val="center"/>
          </w:tcPr>
          <w:p w14:paraId="60893916" w14:textId="77777777" w:rsidR="00033BAE" w:rsidRPr="000C41D9" w:rsidRDefault="00033BAE" w:rsidP="00C27A5D">
            <w:pPr>
              <w:spacing w:line="48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Pb 4f</w:t>
            </w:r>
          </w:p>
        </w:tc>
      </w:tr>
      <w:tr w:rsidR="00033BAE" w:rsidRPr="000C41D9" w14:paraId="56CD6E6A" w14:textId="77777777" w:rsidTr="00C27A5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" w:type="dxa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3" w:type="dxa"/>
            <w:vMerge w:val="restart"/>
            <w:vAlign w:val="center"/>
          </w:tcPr>
          <w:p w14:paraId="7818A683" w14:textId="77777777" w:rsidR="00033BAE" w:rsidRPr="000C41D9" w:rsidRDefault="00033BAE" w:rsidP="00C27A5D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Before Pb</w:t>
            </w:r>
            <w:r w:rsidRPr="000C41D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2+</w:t>
            </w:r>
            <w:r w:rsidRPr="000C41D9">
              <w:rPr>
                <w:rFonts w:asciiTheme="majorBidi" w:hAnsiTheme="majorBidi" w:cstheme="majorBidi"/>
                <w:sz w:val="24"/>
                <w:szCs w:val="24"/>
              </w:rPr>
              <w:t>-adsorption</w:t>
            </w:r>
          </w:p>
        </w:tc>
        <w:tc>
          <w:tcPr>
            <w:tcW w:w="1156" w:type="dxa"/>
            <w:gridSpan w:val="2"/>
            <w:vAlign w:val="center"/>
          </w:tcPr>
          <w:p w14:paraId="64B8EBE5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Survey data</w:t>
            </w:r>
          </w:p>
        </w:tc>
        <w:tc>
          <w:tcPr>
            <w:tcW w:w="1784" w:type="dxa"/>
            <w:vAlign w:val="center"/>
          </w:tcPr>
          <w:p w14:paraId="253E9738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62.43 C (%)</w:t>
            </w:r>
          </w:p>
          <w:p w14:paraId="6D3C0FD0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287.5 eV</w:t>
            </w:r>
          </w:p>
        </w:tc>
        <w:tc>
          <w:tcPr>
            <w:tcW w:w="1525" w:type="dxa"/>
            <w:vAlign w:val="center"/>
          </w:tcPr>
          <w:p w14:paraId="3437A1EA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37.57 O (%)</w:t>
            </w:r>
          </w:p>
          <w:p w14:paraId="554B5184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533.7 eV</w:t>
            </w:r>
          </w:p>
        </w:tc>
        <w:tc>
          <w:tcPr>
            <w:tcW w:w="1458" w:type="dxa"/>
            <w:vAlign w:val="center"/>
          </w:tcPr>
          <w:p w14:paraId="4583280B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0 Pb (%)</w:t>
            </w:r>
          </w:p>
          <w:p w14:paraId="53A407D6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----</w:t>
            </w:r>
          </w:p>
        </w:tc>
      </w:tr>
      <w:tr w:rsidR="00033BAE" w:rsidRPr="000C41D9" w14:paraId="3FB44EA6" w14:textId="77777777" w:rsidTr="00C27A5D">
        <w:trPr>
          <w:gridAfter w:val="1"/>
          <w:wAfter w:w="27" w:type="dxa"/>
          <w:trHeight w:val="1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3" w:type="dxa"/>
            <w:vMerge/>
            <w:vAlign w:val="center"/>
          </w:tcPr>
          <w:p w14:paraId="2211B1E6" w14:textId="77777777" w:rsidR="00033BAE" w:rsidRPr="000C41D9" w:rsidRDefault="00033BAE" w:rsidP="00C27A5D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8" w:type="dxa"/>
            <w:textDirection w:val="tbRl"/>
            <w:vAlign w:val="center"/>
          </w:tcPr>
          <w:p w14:paraId="1BE292C8" w14:textId="77777777" w:rsidR="00033BAE" w:rsidRPr="000C41D9" w:rsidRDefault="00033BAE" w:rsidP="00C27A5D">
            <w:pPr>
              <w:spacing w:line="480" w:lineRule="auto"/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Peak positions</w:t>
            </w:r>
          </w:p>
        </w:tc>
        <w:tc>
          <w:tcPr>
            <w:tcW w:w="2292" w:type="dxa"/>
            <w:gridSpan w:val="2"/>
            <w:vAlign w:val="center"/>
          </w:tcPr>
          <w:p w14:paraId="5E25CE68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288.8 eV</w:t>
            </w:r>
          </w:p>
          <w:p w14:paraId="6B6C5E1F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286.5 eV</w:t>
            </w:r>
          </w:p>
          <w:p w14:paraId="3763AC25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284.8 eV</w:t>
            </w:r>
          </w:p>
        </w:tc>
        <w:tc>
          <w:tcPr>
            <w:tcW w:w="1525" w:type="dxa"/>
            <w:vAlign w:val="center"/>
          </w:tcPr>
          <w:p w14:paraId="05CFDC0A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533.8 eV</w:t>
            </w:r>
          </w:p>
          <w:p w14:paraId="123921E2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533 eV</w:t>
            </w:r>
          </w:p>
          <w:p w14:paraId="34D5A20F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532.3 eV</w:t>
            </w:r>
          </w:p>
        </w:tc>
        <w:tc>
          <w:tcPr>
            <w:tcW w:w="1458" w:type="dxa"/>
            <w:vAlign w:val="center"/>
          </w:tcPr>
          <w:p w14:paraId="02B6F3D1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----</w:t>
            </w:r>
          </w:p>
        </w:tc>
      </w:tr>
      <w:tr w:rsidR="00033BAE" w:rsidRPr="000C41D9" w14:paraId="65625CF9" w14:textId="77777777" w:rsidTr="00C27A5D">
        <w:trPr>
          <w:gridAfter w:val="1"/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wAfter w:w="27" w:type="dxa"/>
          <w:trHeight w:val="3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3" w:type="dxa"/>
            <w:vMerge w:val="restart"/>
            <w:vAlign w:val="center"/>
          </w:tcPr>
          <w:p w14:paraId="033A1937" w14:textId="77777777" w:rsidR="00033BAE" w:rsidRPr="000C41D9" w:rsidRDefault="00033BAE" w:rsidP="00C27A5D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After Pb</w:t>
            </w:r>
            <w:r w:rsidRPr="000C41D9">
              <w:rPr>
                <w:rFonts w:asciiTheme="majorBidi" w:hAnsiTheme="majorBidi" w:cstheme="majorBidi"/>
                <w:sz w:val="24"/>
                <w:szCs w:val="24"/>
                <w:vertAlign w:val="superscript"/>
              </w:rPr>
              <w:t>2+</w:t>
            </w:r>
            <w:r w:rsidRPr="000C41D9">
              <w:rPr>
                <w:rFonts w:asciiTheme="majorBidi" w:hAnsiTheme="majorBidi" w:cstheme="majorBidi"/>
                <w:sz w:val="24"/>
                <w:szCs w:val="24"/>
              </w:rPr>
              <w:t>-adsorption</w:t>
            </w:r>
          </w:p>
        </w:tc>
        <w:tc>
          <w:tcPr>
            <w:tcW w:w="1156" w:type="dxa"/>
            <w:gridSpan w:val="2"/>
            <w:vAlign w:val="center"/>
          </w:tcPr>
          <w:p w14:paraId="66E61477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Survey data</w:t>
            </w:r>
          </w:p>
        </w:tc>
        <w:tc>
          <w:tcPr>
            <w:tcW w:w="1784" w:type="dxa"/>
            <w:vAlign w:val="center"/>
          </w:tcPr>
          <w:p w14:paraId="23AC0FFF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62.12 C (%)</w:t>
            </w:r>
          </w:p>
          <w:p w14:paraId="1AEE704C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287.4 eV</w:t>
            </w:r>
          </w:p>
        </w:tc>
        <w:tc>
          <w:tcPr>
            <w:tcW w:w="1525" w:type="dxa"/>
            <w:vAlign w:val="center"/>
          </w:tcPr>
          <w:p w14:paraId="4856D219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37.72 O (%)</w:t>
            </w:r>
          </w:p>
          <w:p w14:paraId="45C6F5A7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533.9 eV</w:t>
            </w:r>
          </w:p>
        </w:tc>
        <w:tc>
          <w:tcPr>
            <w:tcW w:w="1458" w:type="dxa"/>
            <w:vAlign w:val="center"/>
          </w:tcPr>
          <w:p w14:paraId="7CCAE912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0.16 Pb (%)</w:t>
            </w:r>
          </w:p>
          <w:p w14:paraId="0F5C5CD7" w14:textId="77777777" w:rsidR="00033BAE" w:rsidRPr="000C41D9" w:rsidRDefault="00033BAE" w:rsidP="00C27A5D">
            <w:pPr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139.8 eV</w:t>
            </w:r>
          </w:p>
        </w:tc>
      </w:tr>
      <w:tr w:rsidR="00033BAE" w:rsidRPr="000C41D9" w14:paraId="2291602F" w14:textId="77777777" w:rsidTr="00C27A5D">
        <w:trPr>
          <w:trHeight w:val="151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83" w:type="dxa"/>
            <w:vMerge/>
            <w:vAlign w:val="center"/>
          </w:tcPr>
          <w:p w14:paraId="0995B77E" w14:textId="77777777" w:rsidR="00033BAE" w:rsidRPr="000C41D9" w:rsidRDefault="00033BAE" w:rsidP="00C27A5D">
            <w:pPr>
              <w:spacing w:line="480" w:lineRule="auto"/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648" w:type="dxa"/>
            <w:textDirection w:val="tbRl"/>
            <w:vAlign w:val="center"/>
          </w:tcPr>
          <w:p w14:paraId="4FAD19FD" w14:textId="77777777" w:rsidR="00033BAE" w:rsidRPr="000C41D9" w:rsidRDefault="00033BAE" w:rsidP="00C27A5D">
            <w:pPr>
              <w:spacing w:line="480" w:lineRule="auto"/>
              <w:ind w:left="113" w:right="113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Peak positions</w:t>
            </w:r>
          </w:p>
        </w:tc>
        <w:tc>
          <w:tcPr>
            <w:tcW w:w="2292" w:type="dxa"/>
            <w:gridSpan w:val="2"/>
            <w:vAlign w:val="center"/>
          </w:tcPr>
          <w:p w14:paraId="3ECAE81C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288.8 eV</w:t>
            </w:r>
          </w:p>
          <w:p w14:paraId="093754EA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286.5 eV</w:t>
            </w:r>
          </w:p>
          <w:p w14:paraId="2AC14736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284.8 eV</w:t>
            </w:r>
          </w:p>
        </w:tc>
        <w:tc>
          <w:tcPr>
            <w:tcW w:w="1525" w:type="dxa"/>
            <w:vAlign w:val="center"/>
          </w:tcPr>
          <w:p w14:paraId="53D5B0EB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533.5 eV</w:t>
            </w:r>
          </w:p>
          <w:p w14:paraId="47F0FA17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532.9 eV</w:t>
            </w:r>
          </w:p>
          <w:p w14:paraId="02B73294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532 eV</w:t>
            </w:r>
          </w:p>
          <w:p w14:paraId="491C12A9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530.3 eV</w:t>
            </w:r>
          </w:p>
        </w:tc>
        <w:tc>
          <w:tcPr>
            <w:tcW w:w="1485" w:type="dxa"/>
            <w:gridSpan w:val="2"/>
            <w:vAlign w:val="center"/>
          </w:tcPr>
          <w:p w14:paraId="5504AE65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138.75 eV</w:t>
            </w:r>
          </w:p>
          <w:p w14:paraId="2FA330BC" w14:textId="77777777" w:rsidR="00033BAE" w:rsidRPr="000C41D9" w:rsidRDefault="00033BAE" w:rsidP="00C27A5D">
            <w:pPr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4"/>
                <w:szCs w:val="24"/>
              </w:rPr>
            </w:pPr>
            <w:r w:rsidRPr="000C41D9">
              <w:rPr>
                <w:rFonts w:asciiTheme="majorBidi" w:hAnsiTheme="majorBidi" w:cstheme="majorBidi"/>
                <w:sz w:val="24"/>
                <w:szCs w:val="24"/>
              </w:rPr>
              <w:t>143.56 eV</w:t>
            </w:r>
          </w:p>
        </w:tc>
      </w:tr>
    </w:tbl>
    <w:p w14:paraId="3E23B448" w14:textId="77777777" w:rsidR="00033BAE" w:rsidRPr="000C41D9" w:rsidRDefault="00033BAE" w:rsidP="00033BAE">
      <w:pPr>
        <w:spacing w:line="480" w:lineRule="auto"/>
        <w:jc w:val="both"/>
        <w:rPr>
          <w:rFonts w:asciiTheme="majorBidi" w:hAnsiTheme="majorBidi" w:cstheme="majorBidi"/>
          <w:sz w:val="24"/>
          <w:szCs w:val="24"/>
        </w:rPr>
      </w:pPr>
    </w:p>
    <w:p w14:paraId="696C1FD9" w14:textId="77777777" w:rsidR="00033BAE" w:rsidRPr="005C12E6" w:rsidRDefault="00033BAE" w:rsidP="0072319A">
      <w:pPr>
        <w:spacing w:line="480" w:lineRule="auto"/>
        <w:ind w:right="-35" w:firstLine="284"/>
        <w:jc w:val="both"/>
        <w:rPr>
          <w:rFonts w:asciiTheme="majorBidi" w:hAnsiTheme="majorBidi" w:cstheme="majorBidi"/>
          <w:sz w:val="24"/>
          <w:szCs w:val="24"/>
        </w:rPr>
      </w:pPr>
    </w:p>
    <w:p w14:paraId="4B91220D" w14:textId="0497BA6A" w:rsidR="00372241" w:rsidRDefault="00372241" w:rsidP="00372241">
      <w:pPr>
        <w:pStyle w:val="ListParagraph"/>
        <w:autoSpaceDE w:val="0"/>
        <w:autoSpaceDN w:val="0"/>
        <w:adjustRightInd w:val="0"/>
        <w:spacing w:after="0" w:line="480" w:lineRule="auto"/>
        <w:ind w:left="0" w:right="-52" w:firstLine="284"/>
        <w:jc w:val="both"/>
        <w:rPr>
          <w:rFonts w:asciiTheme="majorBidi" w:hAnsiTheme="majorBidi" w:cstheme="majorBidi"/>
          <w:sz w:val="24"/>
          <w:szCs w:val="24"/>
        </w:rPr>
      </w:pPr>
    </w:p>
    <w:p w14:paraId="1A7FC65D" w14:textId="77777777" w:rsidR="00372241" w:rsidRDefault="00372241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262EE36B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310A0A47" w14:textId="77777777" w:rsidR="00ED42D6" w:rsidRDefault="00ED42D6" w:rsidP="001B604F">
      <w:pPr>
        <w:spacing w:line="480" w:lineRule="auto"/>
        <w:jc w:val="center"/>
        <w:rPr>
          <w:rFonts w:asciiTheme="majorBidi" w:hAnsiTheme="majorBidi" w:cstheme="majorBidi"/>
          <w:sz w:val="24"/>
          <w:szCs w:val="24"/>
        </w:rPr>
      </w:pPr>
    </w:p>
    <w:p w14:paraId="77386FFE" w14:textId="77777777" w:rsidR="00ED42D6" w:rsidRDefault="00ED42D6" w:rsidP="0031769D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p w14:paraId="1942132C" w14:textId="77777777" w:rsidR="001B604F" w:rsidRPr="00FC7787" w:rsidRDefault="001B604F" w:rsidP="00175DD0">
      <w:pPr>
        <w:spacing w:line="480" w:lineRule="auto"/>
        <w:rPr>
          <w:rFonts w:asciiTheme="majorBidi" w:hAnsiTheme="majorBidi" w:cstheme="majorBidi"/>
          <w:sz w:val="24"/>
          <w:szCs w:val="24"/>
        </w:rPr>
      </w:pPr>
    </w:p>
    <w:sectPr w:rsidR="001B604F" w:rsidRPr="00FC778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A9BB003" w14:textId="77777777" w:rsidR="00B632A9" w:rsidRDefault="00B632A9" w:rsidP="00813429">
      <w:pPr>
        <w:spacing w:after="0" w:line="240" w:lineRule="auto"/>
      </w:pPr>
      <w:r>
        <w:separator/>
      </w:r>
    </w:p>
  </w:endnote>
  <w:endnote w:type="continuationSeparator" w:id="0">
    <w:p w14:paraId="51377D11" w14:textId="77777777" w:rsidR="00B632A9" w:rsidRDefault="00B632A9" w:rsidP="00813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33235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4C1D9D" w14:textId="2F43D75D" w:rsidR="00813429" w:rsidRDefault="0081342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C79BD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784231C" w14:textId="77777777" w:rsidR="00813429" w:rsidRDefault="0081342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D6A4B74" w14:textId="77777777" w:rsidR="00B632A9" w:rsidRDefault="00B632A9" w:rsidP="00813429">
      <w:pPr>
        <w:spacing w:after="0" w:line="240" w:lineRule="auto"/>
      </w:pPr>
      <w:r>
        <w:separator/>
      </w:r>
    </w:p>
  </w:footnote>
  <w:footnote w:type="continuationSeparator" w:id="0">
    <w:p w14:paraId="1AD788EF" w14:textId="77777777" w:rsidR="00B632A9" w:rsidRDefault="00B632A9" w:rsidP="0081342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F18"/>
    <w:rsid w:val="00033BAE"/>
    <w:rsid w:val="00040232"/>
    <w:rsid w:val="001251AD"/>
    <w:rsid w:val="00142215"/>
    <w:rsid w:val="00175DD0"/>
    <w:rsid w:val="001962FD"/>
    <w:rsid w:val="001B604F"/>
    <w:rsid w:val="002E54E4"/>
    <w:rsid w:val="0031769D"/>
    <w:rsid w:val="00372241"/>
    <w:rsid w:val="003B139F"/>
    <w:rsid w:val="003E429F"/>
    <w:rsid w:val="0041470B"/>
    <w:rsid w:val="004161BB"/>
    <w:rsid w:val="004801CC"/>
    <w:rsid w:val="005752A3"/>
    <w:rsid w:val="005F346F"/>
    <w:rsid w:val="006D7EFC"/>
    <w:rsid w:val="006E6EDB"/>
    <w:rsid w:val="0072319A"/>
    <w:rsid w:val="007C79BD"/>
    <w:rsid w:val="007D614A"/>
    <w:rsid w:val="00813429"/>
    <w:rsid w:val="008262A8"/>
    <w:rsid w:val="00914EAA"/>
    <w:rsid w:val="0099568F"/>
    <w:rsid w:val="009A658D"/>
    <w:rsid w:val="009B4E34"/>
    <w:rsid w:val="009F211F"/>
    <w:rsid w:val="00A26AD9"/>
    <w:rsid w:val="00AE1B04"/>
    <w:rsid w:val="00B61B00"/>
    <w:rsid w:val="00B632A9"/>
    <w:rsid w:val="00B81F30"/>
    <w:rsid w:val="00C5364F"/>
    <w:rsid w:val="00CB2264"/>
    <w:rsid w:val="00CB4F18"/>
    <w:rsid w:val="00CB4FC2"/>
    <w:rsid w:val="00D125CF"/>
    <w:rsid w:val="00D14923"/>
    <w:rsid w:val="00DC31CA"/>
    <w:rsid w:val="00DC39D8"/>
    <w:rsid w:val="00E605C1"/>
    <w:rsid w:val="00ED42D6"/>
    <w:rsid w:val="00F428EC"/>
    <w:rsid w:val="00FC7787"/>
    <w:rsid w:val="00FE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B14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1B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75DD0"/>
    <w:pPr>
      <w:spacing w:after="200" w:line="276" w:lineRule="auto"/>
      <w:ind w:left="720"/>
      <w:contextualSpacing/>
    </w:pPr>
    <w:rPr>
      <w:rFonts w:ascii="Calibri" w:eastAsia="Calibri" w:hAnsi="Calibri" w:cs="Arial"/>
      <w:kern w:val="0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75DD0"/>
    <w:rPr>
      <w:rFonts w:ascii="Calibri" w:eastAsia="Calibri" w:hAnsi="Calibri" w:cs="Arial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61B00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itle-text">
    <w:name w:val="title-text"/>
    <w:basedOn w:val="DefaultParagraphFont"/>
    <w:rsid w:val="00B61B00"/>
  </w:style>
  <w:style w:type="character" w:styleId="CommentReference">
    <w:name w:val="annotation reference"/>
    <w:basedOn w:val="DefaultParagraphFont"/>
    <w:uiPriority w:val="99"/>
    <w:semiHidden/>
    <w:unhideWhenUsed/>
    <w:rsid w:val="001B60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04F"/>
    <w:pPr>
      <w:bidi/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04F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37224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033BA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13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429"/>
  </w:style>
  <w:style w:type="paragraph" w:styleId="Footer">
    <w:name w:val="footer"/>
    <w:basedOn w:val="Normal"/>
    <w:link w:val="FooterChar"/>
    <w:uiPriority w:val="99"/>
    <w:unhideWhenUsed/>
    <w:rsid w:val="00813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429"/>
  </w:style>
  <w:style w:type="paragraph" w:customStyle="1" w:styleId="Default">
    <w:name w:val="Default"/>
    <w:rsid w:val="004801CC"/>
    <w:pPr>
      <w:autoSpaceDE w:val="0"/>
      <w:autoSpaceDN w:val="0"/>
      <w:adjustRightInd w:val="0"/>
      <w:spacing w:before="120"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bold">
    <w:name w:val="bold"/>
    <w:basedOn w:val="DefaultParagraphFont"/>
    <w:rsid w:val="004801CC"/>
  </w:style>
  <w:style w:type="paragraph" w:styleId="BalloonText">
    <w:name w:val="Balloon Text"/>
    <w:basedOn w:val="Normal"/>
    <w:link w:val="BalloonTextChar"/>
    <w:uiPriority w:val="99"/>
    <w:semiHidden/>
    <w:unhideWhenUsed/>
    <w:rsid w:val="00F4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8E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B61B0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175DD0"/>
    <w:pPr>
      <w:spacing w:after="200" w:line="276" w:lineRule="auto"/>
      <w:ind w:left="720"/>
      <w:contextualSpacing/>
    </w:pPr>
    <w:rPr>
      <w:rFonts w:ascii="Calibri" w:eastAsia="Calibri" w:hAnsi="Calibri" w:cs="Arial"/>
      <w:kern w:val="0"/>
      <w14:ligatures w14:val="none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75DD0"/>
    <w:rPr>
      <w:rFonts w:ascii="Calibri" w:eastAsia="Calibri" w:hAnsi="Calibri" w:cs="Arial"/>
      <w:kern w:val="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B61B00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title-text">
    <w:name w:val="title-text"/>
    <w:basedOn w:val="DefaultParagraphFont"/>
    <w:rsid w:val="00B61B00"/>
  </w:style>
  <w:style w:type="character" w:styleId="CommentReference">
    <w:name w:val="annotation reference"/>
    <w:basedOn w:val="DefaultParagraphFont"/>
    <w:uiPriority w:val="99"/>
    <w:semiHidden/>
    <w:unhideWhenUsed/>
    <w:rsid w:val="001B604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B604F"/>
    <w:pPr>
      <w:bidi/>
      <w:spacing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B604F"/>
    <w:rPr>
      <w:kern w:val="0"/>
      <w:sz w:val="20"/>
      <w:szCs w:val="20"/>
      <w14:ligatures w14:val="none"/>
    </w:rPr>
  </w:style>
  <w:style w:type="table" w:styleId="TableGrid">
    <w:name w:val="Table Grid"/>
    <w:basedOn w:val="TableNormal"/>
    <w:uiPriority w:val="59"/>
    <w:rsid w:val="00372241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033BAE"/>
    <w:pPr>
      <w:spacing w:after="0" w:line="240" w:lineRule="auto"/>
    </w:pPr>
    <w:rPr>
      <w:kern w:val="0"/>
      <w14:ligatures w14:val="none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813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3429"/>
  </w:style>
  <w:style w:type="paragraph" w:styleId="Footer">
    <w:name w:val="footer"/>
    <w:basedOn w:val="Normal"/>
    <w:link w:val="FooterChar"/>
    <w:uiPriority w:val="99"/>
    <w:unhideWhenUsed/>
    <w:rsid w:val="0081342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3429"/>
  </w:style>
  <w:style w:type="paragraph" w:customStyle="1" w:styleId="Default">
    <w:name w:val="Default"/>
    <w:rsid w:val="004801CC"/>
    <w:pPr>
      <w:autoSpaceDE w:val="0"/>
      <w:autoSpaceDN w:val="0"/>
      <w:adjustRightInd w:val="0"/>
      <w:spacing w:before="120"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bold">
    <w:name w:val="bold"/>
    <w:basedOn w:val="DefaultParagraphFont"/>
    <w:rsid w:val="004801CC"/>
  </w:style>
  <w:style w:type="paragraph" w:styleId="BalloonText">
    <w:name w:val="Balloon Text"/>
    <w:basedOn w:val="Normal"/>
    <w:link w:val="BalloonTextChar"/>
    <w:uiPriority w:val="99"/>
    <w:semiHidden/>
    <w:unhideWhenUsed/>
    <w:rsid w:val="00F428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28E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80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9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8</Pages>
  <Words>596</Words>
  <Characters>3402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Omer</cp:lastModifiedBy>
  <cp:revision>33</cp:revision>
  <dcterms:created xsi:type="dcterms:W3CDTF">2023-08-08T20:43:00Z</dcterms:created>
  <dcterms:modified xsi:type="dcterms:W3CDTF">2024-02-03T18:01:00Z</dcterms:modified>
</cp:coreProperties>
</file>