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D5B42" w14:textId="3C297E0B" w:rsidR="00A84325" w:rsidRPr="00A84325" w:rsidRDefault="00A84325" w:rsidP="00A84325">
      <w:pPr>
        <w:spacing w:after="0" w:line="480" w:lineRule="auto"/>
        <w:jc w:val="center"/>
        <w:rPr>
          <w:rFonts w:ascii="Times New Roman" w:eastAsia="Calibri" w:hAnsi="Times New Roman" w:cs="Times New Roman"/>
          <w:b/>
          <w:sz w:val="24"/>
          <w:szCs w:val="24"/>
          <w:lang w:val="en-US" w:bidi="hi-IN"/>
        </w:rPr>
      </w:pPr>
      <w:bookmarkStart w:id="0" w:name="_Hlk132619250"/>
      <w:bookmarkStart w:id="1" w:name="_Hlk132619239"/>
      <w:bookmarkStart w:id="2" w:name="_Hlk135641830"/>
      <w:r w:rsidRPr="00A84325">
        <w:rPr>
          <w:rFonts w:ascii="Times New Roman" w:eastAsia="Calibri" w:hAnsi="Times New Roman" w:cs="Times New Roman"/>
          <w:b/>
          <w:sz w:val="24"/>
          <w:szCs w:val="24"/>
          <w:lang w:val="en-US" w:bidi="hi-IN"/>
        </w:rPr>
        <w:t xml:space="preserve">Machine Learning-Based Monitoring and Design of Managed Aquifer Rechargers for Sustainable </w:t>
      </w:r>
      <w:r w:rsidR="00741E8C" w:rsidRPr="00A84325">
        <w:rPr>
          <w:rFonts w:ascii="Times New Roman" w:eastAsia="Calibri" w:hAnsi="Times New Roman" w:cs="Times New Roman"/>
          <w:b/>
          <w:sz w:val="24"/>
          <w:szCs w:val="24"/>
          <w:lang w:val="en-US" w:bidi="hi-IN"/>
        </w:rPr>
        <w:t>Groundwater</w:t>
      </w:r>
      <w:r w:rsidRPr="00A84325">
        <w:rPr>
          <w:rFonts w:ascii="Times New Roman" w:eastAsia="Calibri" w:hAnsi="Times New Roman" w:cs="Times New Roman"/>
          <w:b/>
          <w:sz w:val="24"/>
          <w:szCs w:val="24"/>
          <w:lang w:val="en-US" w:bidi="hi-IN"/>
        </w:rPr>
        <w:t xml:space="preserve"> </w:t>
      </w:r>
      <w:r w:rsidR="00741E8C">
        <w:rPr>
          <w:rFonts w:ascii="Times New Roman" w:eastAsia="Calibri" w:hAnsi="Times New Roman" w:cs="Times New Roman"/>
          <w:b/>
          <w:sz w:val="24"/>
          <w:szCs w:val="24"/>
          <w:lang w:val="en-US" w:bidi="hi-IN"/>
        </w:rPr>
        <w:t>M</w:t>
      </w:r>
      <w:r w:rsidRPr="00A84325">
        <w:rPr>
          <w:rFonts w:ascii="Times New Roman" w:eastAsia="Calibri" w:hAnsi="Times New Roman" w:cs="Times New Roman"/>
          <w:b/>
          <w:sz w:val="24"/>
          <w:szCs w:val="24"/>
          <w:lang w:val="en-US" w:bidi="hi-IN"/>
        </w:rPr>
        <w:t xml:space="preserve">anagement: </w:t>
      </w:r>
      <w:bookmarkEnd w:id="0"/>
      <w:r w:rsidRPr="00A84325">
        <w:rPr>
          <w:rFonts w:ascii="Times New Roman" w:eastAsia="Calibri" w:hAnsi="Times New Roman" w:cs="Times New Roman"/>
          <w:b/>
          <w:sz w:val="24"/>
          <w:szCs w:val="24"/>
          <w:lang w:val="en-US" w:bidi="hi-IN"/>
        </w:rPr>
        <w:t>Scope and Challenges</w:t>
      </w:r>
    </w:p>
    <w:p w14:paraId="02A2AF73" w14:textId="31E729B3" w:rsidR="00A84325" w:rsidRPr="00A84325" w:rsidRDefault="00A84325" w:rsidP="00A84325">
      <w:pPr>
        <w:pBdr>
          <w:bottom w:val="single" w:sz="12" w:space="1" w:color="auto"/>
        </w:pBdr>
        <w:spacing w:after="0" w:line="480" w:lineRule="auto"/>
        <w:jc w:val="center"/>
        <w:rPr>
          <w:rFonts w:ascii="Times New Roman" w:eastAsia="Calibri" w:hAnsi="Times New Roman" w:cs="Times New Roman"/>
          <w:sz w:val="20"/>
          <w:szCs w:val="20"/>
          <w:lang w:val="en-US" w:bidi="hi-IN"/>
        </w:rPr>
      </w:pPr>
      <w:r w:rsidRPr="00A84325">
        <w:rPr>
          <w:rFonts w:ascii="Times New Roman" w:eastAsia="Calibri" w:hAnsi="Times New Roman" w:cs="Times New Roman"/>
          <w:sz w:val="20"/>
          <w:szCs w:val="20"/>
          <w:lang w:val="en-US" w:bidi="hi-IN"/>
        </w:rPr>
        <w:t>Abdul Gaffar Sheik</w:t>
      </w:r>
      <w:r w:rsidRPr="00A84325">
        <w:rPr>
          <w:rFonts w:ascii="Times New Roman" w:eastAsia="Calibri" w:hAnsi="Times New Roman" w:cs="Times New Roman"/>
          <w:sz w:val="20"/>
          <w:szCs w:val="20"/>
          <w:vertAlign w:val="superscript"/>
          <w:lang w:val="en-US" w:bidi="hi-IN"/>
        </w:rPr>
        <w:t>a</w:t>
      </w:r>
      <w:r w:rsidRPr="00A84325">
        <w:rPr>
          <w:rFonts w:ascii="Times New Roman" w:eastAsia="Calibri" w:hAnsi="Times New Roman" w:cs="Times New Roman"/>
          <w:sz w:val="20"/>
          <w:szCs w:val="20"/>
          <w:lang w:val="en-US" w:bidi="hi-IN"/>
        </w:rPr>
        <w:t>, Arvind Kumar</w:t>
      </w:r>
      <w:r w:rsidRPr="00A84325">
        <w:rPr>
          <w:rFonts w:ascii="Times New Roman" w:eastAsia="Calibri" w:hAnsi="Times New Roman" w:cs="Times New Roman"/>
          <w:sz w:val="20"/>
          <w:szCs w:val="20"/>
          <w:vertAlign w:val="superscript"/>
          <w:lang w:val="en-US" w:bidi="hi-IN"/>
        </w:rPr>
        <w:t>a</w:t>
      </w:r>
      <w:r w:rsidRPr="00A84325">
        <w:rPr>
          <w:rFonts w:ascii="Times New Roman" w:eastAsia="Calibri" w:hAnsi="Times New Roman" w:cs="Times New Roman"/>
          <w:sz w:val="20"/>
          <w:szCs w:val="20"/>
          <w:lang w:val="en-US" w:bidi="hi-IN"/>
        </w:rPr>
        <w:t xml:space="preserve">, </w:t>
      </w:r>
      <w:r w:rsidR="009A5FD7" w:rsidRPr="009A5FD7">
        <w:rPr>
          <w:rFonts w:ascii="Times New Roman" w:eastAsia="Calibri" w:hAnsi="Times New Roman" w:cs="Times New Roman"/>
          <w:sz w:val="20"/>
          <w:szCs w:val="20"/>
          <w:lang w:val="en-US" w:bidi="hi-IN"/>
        </w:rPr>
        <w:t xml:space="preserve">Anandan Govindan </w:t>
      </w:r>
      <w:proofErr w:type="spellStart"/>
      <w:r w:rsidR="009A5FD7" w:rsidRPr="009A5FD7">
        <w:rPr>
          <w:rFonts w:ascii="Times New Roman" w:eastAsia="Calibri" w:hAnsi="Times New Roman" w:cs="Times New Roman"/>
          <w:sz w:val="20"/>
          <w:szCs w:val="20"/>
          <w:lang w:val="en-US" w:bidi="hi-IN"/>
        </w:rPr>
        <w:t>Sharanya</w:t>
      </w:r>
      <w:r w:rsidRPr="00A84325">
        <w:rPr>
          <w:rFonts w:ascii="Times New Roman" w:eastAsia="Calibri" w:hAnsi="Times New Roman" w:cs="Times New Roman"/>
          <w:sz w:val="20"/>
          <w:szCs w:val="20"/>
          <w:vertAlign w:val="superscript"/>
          <w:lang w:val="en-US" w:bidi="hi-IN"/>
        </w:rPr>
        <w:t>b</w:t>
      </w:r>
      <w:proofErr w:type="spellEnd"/>
      <w:r w:rsidRPr="00A84325">
        <w:rPr>
          <w:rFonts w:ascii="Times New Roman" w:eastAsia="Calibri" w:hAnsi="Times New Roman" w:cs="Times New Roman"/>
          <w:sz w:val="20"/>
          <w:szCs w:val="20"/>
          <w:lang w:val="en-US" w:bidi="hi-IN"/>
        </w:rPr>
        <w:t xml:space="preserve">, </w:t>
      </w:r>
      <w:r w:rsidR="009A5FD7" w:rsidRPr="00A84325">
        <w:rPr>
          <w:rFonts w:ascii="Times New Roman" w:eastAsia="Calibri" w:hAnsi="Times New Roman" w:cs="Times New Roman"/>
          <w:sz w:val="20"/>
          <w:szCs w:val="20"/>
          <w:lang w:val="en-US" w:bidi="hi-IN"/>
        </w:rPr>
        <w:t xml:space="preserve">Seshagiri Rao </w:t>
      </w:r>
      <w:proofErr w:type="spellStart"/>
      <w:r w:rsidR="009A5FD7" w:rsidRPr="00A84325">
        <w:rPr>
          <w:rFonts w:ascii="Times New Roman" w:eastAsia="Calibri" w:hAnsi="Times New Roman" w:cs="Times New Roman"/>
          <w:sz w:val="20"/>
          <w:szCs w:val="20"/>
          <w:lang w:val="en-US" w:bidi="hi-IN"/>
        </w:rPr>
        <w:t>Amabati</w:t>
      </w:r>
      <w:r w:rsidR="009A5FD7" w:rsidRPr="00A84325">
        <w:rPr>
          <w:rFonts w:ascii="Times New Roman" w:eastAsia="Calibri" w:hAnsi="Times New Roman" w:cs="Times New Roman"/>
          <w:sz w:val="20"/>
          <w:szCs w:val="20"/>
          <w:vertAlign w:val="superscript"/>
          <w:lang w:val="en-US" w:bidi="hi-IN"/>
        </w:rPr>
        <w:t>c</w:t>
      </w:r>
      <w:proofErr w:type="spellEnd"/>
      <w:r w:rsidR="009A5FD7" w:rsidRPr="00A84325">
        <w:rPr>
          <w:rFonts w:ascii="Times New Roman" w:eastAsia="Calibri" w:hAnsi="Times New Roman" w:cs="Times New Roman"/>
          <w:sz w:val="20"/>
          <w:szCs w:val="20"/>
          <w:lang w:val="en-US" w:bidi="hi-IN"/>
        </w:rPr>
        <w:t xml:space="preserve">, </w:t>
      </w:r>
      <w:r w:rsidRPr="00A84325">
        <w:rPr>
          <w:rFonts w:ascii="Times New Roman" w:eastAsia="Calibri" w:hAnsi="Times New Roman" w:cs="Times New Roman"/>
          <w:sz w:val="20"/>
          <w:szCs w:val="20"/>
          <w:lang w:val="en-US" w:bidi="hi-IN"/>
        </w:rPr>
        <w:t>Faizal </w:t>
      </w:r>
      <w:proofErr w:type="spellStart"/>
      <w:r w:rsidRPr="00A84325">
        <w:rPr>
          <w:rFonts w:ascii="Times New Roman" w:eastAsia="Calibri" w:hAnsi="Times New Roman" w:cs="Times New Roman"/>
          <w:sz w:val="20"/>
          <w:szCs w:val="20"/>
          <w:lang w:val="en-US" w:bidi="hi-IN"/>
        </w:rPr>
        <w:t>Bux</w:t>
      </w:r>
      <w:r w:rsidRPr="00A84325">
        <w:rPr>
          <w:rFonts w:ascii="Times New Roman" w:eastAsia="Calibri" w:hAnsi="Times New Roman" w:cs="Times New Roman"/>
          <w:sz w:val="20"/>
          <w:szCs w:val="20"/>
          <w:vertAlign w:val="superscript"/>
          <w:lang w:val="en-US" w:bidi="hi-IN"/>
        </w:rPr>
        <w:t>a</w:t>
      </w:r>
      <w:proofErr w:type="spellEnd"/>
      <w:r w:rsidRPr="00A84325">
        <w:rPr>
          <w:rFonts w:ascii="Times New Roman" w:eastAsia="Calibri" w:hAnsi="Times New Roman" w:cs="Times New Roman"/>
          <w:sz w:val="20"/>
          <w:szCs w:val="20"/>
          <w:lang w:val="en-US" w:bidi="hi-IN"/>
        </w:rPr>
        <w:t>, Sheena Kumari</w:t>
      </w:r>
      <w:r w:rsidRPr="00A84325">
        <w:rPr>
          <w:rFonts w:ascii="Times New Roman" w:eastAsia="Calibri" w:hAnsi="Times New Roman" w:cs="Times New Roman"/>
          <w:sz w:val="20"/>
          <w:szCs w:val="20"/>
          <w:vertAlign w:val="superscript"/>
          <w:lang w:val="en-US" w:bidi="hi-IN"/>
        </w:rPr>
        <w:t xml:space="preserve"> a*</w:t>
      </w:r>
    </w:p>
    <w:bookmarkEnd w:id="1"/>
    <w:p w14:paraId="3631724B" w14:textId="77777777" w:rsidR="00A84325" w:rsidRPr="00A84325" w:rsidRDefault="00A84325" w:rsidP="00A84325">
      <w:pPr>
        <w:spacing w:after="0" w:line="480" w:lineRule="auto"/>
        <w:jc w:val="center"/>
        <w:rPr>
          <w:rFonts w:ascii="Calibri" w:eastAsia="Calibri" w:hAnsi="Calibri" w:cs="Times New Roman"/>
          <w:sz w:val="20"/>
          <w:szCs w:val="20"/>
          <w:lang w:val="en-US" w:bidi="hi-IN"/>
        </w:rPr>
      </w:pPr>
      <w:proofErr w:type="spellStart"/>
      <w:r w:rsidRPr="00A84325">
        <w:rPr>
          <w:rFonts w:ascii="Times New Roman" w:eastAsia="Calibri" w:hAnsi="Times New Roman" w:cs="Times New Roman"/>
          <w:sz w:val="20"/>
          <w:szCs w:val="20"/>
          <w:vertAlign w:val="superscript"/>
          <w:lang w:val="en-US" w:bidi="hi-IN"/>
        </w:rPr>
        <w:t>a</w:t>
      </w:r>
      <w:r w:rsidRPr="00A84325">
        <w:rPr>
          <w:rFonts w:ascii="Times New Roman" w:eastAsia="Calibri" w:hAnsi="Times New Roman" w:cs="Times New Roman"/>
          <w:sz w:val="20"/>
          <w:szCs w:val="20"/>
          <w:lang w:val="en-US" w:bidi="hi-IN"/>
        </w:rPr>
        <w:t>Institute</w:t>
      </w:r>
      <w:proofErr w:type="spellEnd"/>
      <w:r w:rsidRPr="00A84325">
        <w:rPr>
          <w:rFonts w:ascii="Times New Roman" w:eastAsia="Calibri" w:hAnsi="Times New Roman" w:cs="Times New Roman"/>
          <w:sz w:val="20"/>
          <w:szCs w:val="20"/>
          <w:lang w:val="en-US" w:bidi="hi-IN"/>
        </w:rPr>
        <w:t xml:space="preserve"> for Water and Wastewater Technology, Durban University of Technology, Durban-4001, South Africa.</w:t>
      </w:r>
      <w:r w:rsidRPr="00A84325">
        <w:rPr>
          <w:rFonts w:ascii="Calibri" w:eastAsia="Calibri" w:hAnsi="Calibri" w:cs="Times New Roman"/>
          <w:sz w:val="20"/>
          <w:szCs w:val="20"/>
          <w:lang w:val="en-US" w:bidi="hi-IN"/>
        </w:rPr>
        <w:t xml:space="preserve"> </w:t>
      </w:r>
    </w:p>
    <w:p w14:paraId="21FA84D6" w14:textId="77777777" w:rsidR="00A84325" w:rsidRPr="00A84325" w:rsidRDefault="00A84325" w:rsidP="00A84325">
      <w:pPr>
        <w:spacing w:after="0" w:line="480" w:lineRule="auto"/>
        <w:jc w:val="center"/>
        <w:rPr>
          <w:rFonts w:ascii="Times New Roman" w:eastAsia="Calibri" w:hAnsi="Times New Roman" w:cs="Times New Roman"/>
          <w:sz w:val="20"/>
          <w:szCs w:val="20"/>
          <w:lang w:val="en-US" w:bidi="hi-IN"/>
        </w:rPr>
      </w:pPr>
      <w:proofErr w:type="spellStart"/>
      <w:r w:rsidRPr="00A84325">
        <w:rPr>
          <w:rFonts w:ascii="Times New Roman" w:eastAsia="Calibri" w:hAnsi="Times New Roman" w:cs="Times New Roman"/>
          <w:sz w:val="20"/>
          <w:szCs w:val="20"/>
          <w:vertAlign w:val="superscript"/>
          <w:lang w:val="en-US" w:bidi="hi-IN"/>
        </w:rPr>
        <w:t>b</w:t>
      </w:r>
      <w:r w:rsidRPr="00A84325">
        <w:rPr>
          <w:rFonts w:ascii="Times New Roman" w:eastAsia="Calibri" w:hAnsi="Times New Roman" w:cs="Times New Roman"/>
          <w:sz w:val="20"/>
          <w:szCs w:val="20"/>
          <w:lang w:val="en-US" w:bidi="hi-IN"/>
        </w:rPr>
        <w:t>Department</w:t>
      </w:r>
      <w:proofErr w:type="spellEnd"/>
      <w:r w:rsidRPr="00A84325">
        <w:rPr>
          <w:rFonts w:ascii="Times New Roman" w:eastAsia="Calibri" w:hAnsi="Times New Roman" w:cs="Times New Roman"/>
          <w:sz w:val="20"/>
          <w:szCs w:val="20"/>
          <w:lang w:val="en-US" w:bidi="hi-IN"/>
        </w:rPr>
        <w:t xml:space="preserve"> of Civil Engineering, Indian Institute of Technology Bombay, Mumbai 400076, India.</w:t>
      </w:r>
    </w:p>
    <w:p w14:paraId="22C6CB34" w14:textId="77777777" w:rsidR="00A84325" w:rsidRPr="00A84325" w:rsidRDefault="00A84325" w:rsidP="00A84325">
      <w:pPr>
        <w:spacing w:after="0" w:line="480" w:lineRule="auto"/>
        <w:jc w:val="center"/>
        <w:rPr>
          <w:rFonts w:ascii="Times New Roman" w:eastAsia="Calibri" w:hAnsi="Times New Roman" w:cs="Times New Roman"/>
          <w:sz w:val="20"/>
          <w:szCs w:val="20"/>
          <w:lang w:val="en-US" w:bidi="hi-IN"/>
        </w:rPr>
      </w:pPr>
      <w:proofErr w:type="spellStart"/>
      <w:r w:rsidRPr="00A84325">
        <w:rPr>
          <w:rFonts w:ascii="Times New Roman" w:eastAsia="Calibri" w:hAnsi="Times New Roman" w:cs="Times New Roman"/>
          <w:sz w:val="20"/>
          <w:szCs w:val="20"/>
          <w:vertAlign w:val="superscript"/>
          <w:lang w:val="en-US" w:bidi="hi-IN"/>
        </w:rPr>
        <w:t>c</w:t>
      </w:r>
      <w:r w:rsidRPr="00A84325">
        <w:rPr>
          <w:rFonts w:ascii="Times New Roman" w:eastAsia="Calibri" w:hAnsi="Times New Roman" w:cs="Times New Roman"/>
          <w:sz w:val="20"/>
          <w:szCs w:val="20"/>
          <w:lang w:val="en-US" w:bidi="hi-IN"/>
        </w:rPr>
        <w:t>Department</w:t>
      </w:r>
      <w:proofErr w:type="spellEnd"/>
      <w:r w:rsidRPr="00A84325">
        <w:rPr>
          <w:rFonts w:ascii="Times New Roman" w:eastAsia="Calibri" w:hAnsi="Times New Roman" w:cs="Times New Roman"/>
          <w:sz w:val="20"/>
          <w:szCs w:val="20"/>
          <w:lang w:val="en-US" w:bidi="hi-IN"/>
        </w:rPr>
        <w:t xml:space="preserve"> of Chemical Engineering, Indian Institute of Petroleum and Energy, Visakhapatnam – 530 003, Andhra Pradesh, India </w:t>
      </w:r>
    </w:p>
    <w:p w14:paraId="3F6E4BFA" w14:textId="77777777" w:rsidR="00A84325" w:rsidRPr="00A84325" w:rsidRDefault="00A84325" w:rsidP="00A84325">
      <w:pPr>
        <w:pBdr>
          <w:bottom w:val="single" w:sz="12" w:space="1" w:color="auto"/>
        </w:pBdr>
        <w:spacing w:after="0" w:line="480" w:lineRule="auto"/>
        <w:jc w:val="both"/>
        <w:rPr>
          <w:rFonts w:ascii="Times New Roman" w:eastAsia="Calibri" w:hAnsi="Times New Roman" w:cs="Times New Roman"/>
          <w:b/>
          <w:sz w:val="20"/>
          <w:szCs w:val="20"/>
          <w:lang w:val="en-US" w:bidi="hi-IN"/>
        </w:rPr>
      </w:pPr>
      <w:r w:rsidRPr="00A84325">
        <w:rPr>
          <w:rFonts w:ascii="Times New Roman" w:eastAsia="Calibri" w:hAnsi="Times New Roman" w:cs="Times New Roman"/>
          <w:b/>
          <w:sz w:val="20"/>
          <w:szCs w:val="20"/>
          <w:lang w:val="en-US" w:bidi="hi-IN"/>
        </w:rPr>
        <w:t>*Corresponding Authors Email:</w:t>
      </w:r>
      <w:r w:rsidRPr="00A84325">
        <w:rPr>
          <w:rFonts w:ascii="Times New Roman" w:eastAsia="Calibri" w:hAnsi="Times New Roman" w:cs="Times New Roman"/>
          <w:color w:val="0070C0"/>
          <w:sz w:val="20"/>
          <w:szCs w:val="20"/>
          <w:lang w:val="en-US" w:bidi="hi-IN"/>
        </w:rPr>
        <w:t xml:space="preserve"> </w:t>
      </w:r>
      <w:hyperlink r:id="rId4" w:history="1">
        <w:r w:rsidRPr="00A84325">
          <w:rPr>
            <w:rFonts w:ascii="Times New Roman" w:eastAsia="Calibri" w:hAnsi="Times New Roman" w:cs="Times New Roman"/>
            <w:color w:val="0563C1"/>
            <w:sz w:val="20"/>
            <w:szCs w:val="20"/>
            <w:u w:val="single"/>
            <w:shd w:val="clear" w:color="auto" w:fill="FFFFFF"/>
            <w:lang w:val="en-US" w:bidi="hi-IN"/>
          </w:rPr>
          <w:t>Sheenak1@dut.ac.za</w:t>
        </w:r>
      </w:hyperlink>
    </w:p>
    <w:bookmarkEnd w:id="2"/>
    <w:p w14:paraId="65AB96B6" w14:textId="5B5084DB" w:rsidR="00C110A0" w:rsidRDefault="00C110A0">
      <w:pPr>
        <w:rPr>
          <w:rFonts w:ascii="Times New Roman" w:hAnsi="Times New Roman" w:cs="Times New Roman"/>
          <w:sz w:val="18"/>
          <w:szCs w:val="18"/>
        </w:rPr>
      </w:pPr>
    </w:p>
    <w:p w14:paraId="4FEE4AD8" w14:textId="77777777" w:rsidR="00231F10" w:rsidRDefault="00231F10" w:rsidP="00231F10"/>
    <w:tbl>
      <w:tblPr>
        <w:tblpPr w:leftFromText="180" w:rightFromText="180" w:bottomFromText="160" w:vertAnchor="text" w:horzAnchor="margin" w:tblpXSpec="center" w:tblpY="-1439"/>
        <w:tblW w:w="12941" w:type="dxa"/>
        <w:tblBorders>
          <w:top w:val="single" w:sz="4" w:space="0" w:color="auto"/>
          <w:bottom w:val="single" w:sz="4" w:space="0" w:color="auto"/>
        </w:tblBorders>
        <w:tblLook w:val="04A0" w:firstRow="1" w:lastRow="0" w:firstColumn="1" w:lastColumn="0" w:noHBand="0" w:noVBand="1"/>
      </w:tblPr>
      <w:tblGrid>
        <w:gridCol w:w="1179"/>
        <w:gridCol w:w="2473"/>
        <w:gridCol w:w="7678"/>
        <w:gridCol w:w="1599"/>
        <w:gridCol w:w="12"/>
      </w:tblGrid>
      <w:tr w:rsidR="00231F10" w14:paraId="608781B4" w14:textId="77777777" w:rsidTr="00231F10">
        <w:tc>
          <w:tcPr>
            <w:tcW w:w="12941" w:type="dxa"/>
            <w:gridSpan w:val="5"/>
            <w:tcBorders>
              <w:top w:val="single" w:sz="4" w:space="0" w:color="auto"/>
              <w:left w:val="nil"/>
              <w:bottom w:val="nil"/>
              <w:right w:val="nil"/>
            </w:tcBorders>
          </w:tcPr>
          <w:p w14:paraId="03BA2421" w14:textId="77777777" w:rsidR="00231F10" w:rsidRDefault="00231F10">
            <w:pPr>
              <w:spacing w:after="0" w:line="360" w:lineRule="auto"/>
              <w:rPr>
                <w:rFonts w:ascii="Times New Roman" w:hAnsi="Times New Roman"/>
                <w:b/>
                <w:sz w:val="24"/>
                <w:szCs w:val="24"/>
              </w:rPr>
            </w:pPr>
          </w:p>
          <w:p w14:paraId="1708A96F" w14:textId="77777777" w:rsidR="00231F10" w:rsidRDefault="00231F10">
            <w:pPr>
              <w:spacing w:after="0" w:line="360" w:lineRule="auto"/>
              <w:rPr>
                <w:rFonts w:ascii="Times New Roman" w:hAnsi="Times New Roman"/>
                <w:b/>
                <w:sz w:val="24"/>
                <w:szCs w:val="24"/>
              </w:rPr>
            </w:pPr>
          </w:p>
          <w:p w14:paraId="4258B794" w14:textId="65A0919B" w:rsidR="00231F10" w:rsidRDefault="00231F10">
            <w:pPr>
              <w:spacing w:after="0" w:line="360" w:lineRule="auto"/>
              <w:rPr>
                <w:rFonts w:ascii="Times New Roman" w:hAnsi="Times New Roman"/>
                <w:b/>
                <w:sz w:val="24"/>
                <w:szCs w:val="24"/>
              </w:rPr>
            </w:pPr>
            <w:r>
              <w:rPr>
                <w:rFonts w:ascii="Times New Roman" w:hAnsi="Times New Roman"/>
                <w:b/>
                <w:sz w:val="24"/>
                <w:szCs w:val="24"/>
              </w:rPr>
              <w:t xml:space="preserve">Table </w:t>
            </w:r>
            <w:r w:rsidR="00A45C1F">
              <w:rPr>
                <w:rFonts w:ascii="Times New Roman" w:hAnsi="Times New Roman"/>
                <w:b/>
                <w:sz w:val="24"/>
                <w:szCs w:val="24"/>
              </w:rPr>
              <w:t>S1</w:t>
            </w:r>
            <w:r>
              <w:rPr>
                <w:rFonts w:ascii="Times New Roman" w:hAnsi="Times New Roman"/>
                <w:sz w:val="24"/>
                <w:szCs w:val="24"/>
              </w:rPr>
              <w:t xml:space="preserve"> ML performance metrics for GWM in MAR</w:t>
            </w:r>
          </w:p>
        </w:tc>
      </w:tr>
      <w:tr w:rsidR="00231F10" w14:paraId="7A488F9F" w14:textId="77777777" w:rsidTr="00231F10">
        <w:trPr>
          <w:gridAfter w:val="1"/>
          <w:wAfter w:w="12" w:type="dxa"/>
        </w:trPr>
        <w:tc>
          <w:tcPr>
            <w:tcW w:w="1179" w:type="dxa"/>
            <w:tcBorders>
              <w:top w:val="single" w:sz="4" w:space="0" w:color="auto"/>
              <w:left w:val="nil"/>
              <w:bottom w:val="single" w:sz="4" w:space="0" w:color="auto"/>
              <w:right w:val="nil"/>
            </w:tcBorders>
            <w:hideMark/>
          </w:tcPr>
          <w:p w14:paraId="4987C788" w14:textId="77777777" w:rsidR="00231F10" w:rsidRDefault="00231F10">
            <w:pPr>
              <w:spacing w:after="0" w:line="360" w:lineRule="auto"/>
              <w:jc w:val="center"/>
              <w:rPr>
                <w:rFonts w:ascii="Times New Roman" w:hAnsi="Times New Roman"/>
                <w:b/>
                <w:sz w:val="24"/>
                <w:szCs w:val="24"/>
              </w:rPr>
            </w:pPr>
            <w:r>
              <w:rPr>
                <w:rFonts w:ascii="Times New Roman" w:hAnsi="Times New Roman"/>
                <w:b/>
                <w:sz w:val="24"/>
                <w:szCs w:val="24"/>
              </w:rPr>
              <w:t>Indices</w:t>
            </w:r>
          </w:p>
        </w:tc>
        <w:tc>
          <w:tcPr>
            <w:tcW w:w="2473" w:type="dxa"/>
            <w:tcBorders>
              <w:top w:val="single" w:sz="4" w:space="0" w:color="auto"/>
              <w:left w:val="nil"/>
              <w:bottom w:val="single" w:sz="4" w:space="0" w:color="auto"/>
              <w:right w:val="nil"/>
            </w:tcBorders>
            <w:hideMark/>
          </w:tcPr>
          <w:p w14:paraId="78FE90E2" w14:textId="77777777" w:rsidR="00231F10" w:rsidRDefault="00231F10">
            <w:pPr>
              <w:spacing w:after="0" w:line="360" w:lineRule="auto"/>
              <w:jc w:val="center"/>
              <w:rPr>
                <w:rFonts w:ascii="Times New Roman" w:hAnsi="Times New Roman"/>
                <w:sz w:val="24"/>
                <w:szCs w:val="24"/>
              </w:rPr>
            </w:pPr>
            <w:r>
              <w:rPr>
                <w:rFonts w:ascii="Times New Roman" w:hAnsi="Times New Roman"/>
                <w:b/>
                <w:sz w:val="24"/>
                <w:szCs w:val="24"/>
              </w:rPr>
              <w:t xml:space="preserve">Referred </w:t>
            </w:r>
            <w:proofErr w:type="spellStart"/>
            <w:r>
              <w:rPr>
                <w:rFonts w:ascii="Times New Roman" w:hAnsi="Times New Roman"/>
                <w:b/>
                <w:sz w:val="24"/>
                <w:szCs w:val="24"/>
              </w:rPr>
              <w:t>Eq</w:t>
            </w:r>
            <w:proofErr w:type="spellEnd"/>
          </w:p>
        </w:tc>
        <w:tc>
          <w:tcPr>
            <w:tcW w:w="7678" w:type="dxa"/>
            <w:tcBorders>
              <w:top w:val="single" w:sz="4" w:space="0" w:color="auto"/>
              <w:left w:val="nil"/>
              <w:bottom w:val="single" w:sz="4" w:space="0" w:color="auto"/>
              <w:right w:val="nil"/>
            </w:tcBorders>
            <w:hideMark/>
          </w:tcPr>
          <w:p w14:paraId="59091E31" w14:textId="77777777" w:rsidR="00231F10" w:rsidRDefault="00231F10">
            <w:pPr>
              <w:spacing w:after="0" w:line="360" w:lineRule="auto"/>
              <w:jc w:val="center"/>
              <w:rPr>
                <w:rFonts w:ascii="Times New Roman" w:hAnsi="Times New Roman"/>
                <w:b/>
                <w:sz w:val="24"/>
                <w:szCs w:val="24"/>
              </w:rPr>
            </w:pPr>
            <w:r>
              <w:rPr>
                <w:rFonts w:ascii="Times New Roman" w:hAnsi="Times New Roman"/>
                <w:b/>
                <w:sz w:val="24"/>
                <w:szCs w:val="24"/>
              </w:rPr>
              <w:t>Target Value</w:t>
            </w:r>
          </w:p>
        </w:tc>
        <w:tc>
          <w:tcPr>
            <w:tcW w:w="1599" w:type="dxa"/>
            <w:tcBorders>
              <w:top w:val="single" w:sz="4" w:space="0" w:color="auto"/>
              <w:left w:val="nil"/>
              <w:bottom w:val="single" w:sz="4" w:space="0" w:color="auto"/>
              <w:right w:val="nil"/>
            </w:tcBorders>
            <w:hideMark/>
          </w:tcPr>
          <w:p w14:paraId="4DD833D0" w14:textId="77777777" w:rsidR="00231F10" w:rsidRDefault="00231F10">
            <w:pPr>
              <w:spacing w:after="0" w:line="360" w:lineRule="auto"/>
              <w:jc w:val="center"/>
              <w:rPr>
                <w:rFonts w:ascii="Times New Roman" w:hAnsi="Times New Roman"/>
                <w:b/>
                <w:sz w:val="24"/>
                <w:szCs w:val="24"/>
              </w:rPr>
            </w:pPr>
            <w:r>
              <w:rPr>
                <w:rFonts w:ascii="Times New Roman" w:hAnsi="Times New Roman"/>
                <w:b/>
                <w:sz w:val="24"/>
                <w:szCs w:val="24"/>
              </w:rPr>
              <w:t>Citation</w:t>
            </w:r>
          </w:p>
        </w:tc>
      </w:tr>
      <w:tr w:rsidR="00231F10" w:rsidRPr="00E07B48" w14:paraId="1B1D218B" w14:textId="77777777" w:rsidTr="00231F10">
        <w:trPr>
          <w:gridAfter w:val="1"/>
          <w:wAfter w:w="12" w:type="dxa"/>
        </w:trPr>
        <w:tc>
          <w:tcPr>
            <w:tcW w:w="1179" w:type="dxa"/>
            <w:tcBorders>
              <w:top w:val="single" w:sz="4" w:space="0" w:color="auto"/>
              <w:left w:val="nil"/>
              <w:bottom w:val="nil"/>
              <w:right w:val="nil"/>
            </w:tcBorders>
            <w:hideMark/>
          </w:tcPr>
          <w:p w14:paraId="4CBAB787" w14:textId="77777777" w:rsidR="00231F10" w:rsidRPr="00E07B48" w:rsidRDefault="00231F10">
            <w:pPr>
              <w:spacing w:line="360" w:lineRule="auto"/>
              <w:jc w:val="center"/>
              <w:rPr>
                <w:rFonts w:ascii="Times New Roman" w:hAnsi="Times New Roman" w:cs="Times New Roman"/>
                <w:sz w:val="20"/>
                <w:szCs w:val="20"/>
              </w:rPr>
            </w:pPr>
            <m:oMathPara>
              <m:oMathParaPr>
                <m:jc m:val="center"/>
              </m:oMathParaPr>
              <m:oMath>
                <m:r>
                  <m:rPr>
                    <m:sty m:val="p"/>
                  </m:rPr>
                  <w:rPr>
                    <w:rFonts w:ascii="Cambria Math" w:hAnsi="Cambria Math" w:cs="Times New Roman"/>
                    <w:sz w:val="20"/>
                    <w:szCs w:val="20"/>
                  </w:rPr>
                  <m:t>MSE</m:t>
                </m:r>
              </m:oMath>
            </m:oMathPara>
          </w:p>
        </w:tc>
        <w:tc>
          <w:tcPr>
            <w:tcW w:w="2473" w:type="dxa"/>
            <w:tcBorders>
              <w:top w:val="single" w:sz="4" w:space="0" w:color="auto"/>
              <w:left w:val="nil"/>
              <w:bottom w:val="nil"/>
              <w:right w:val="nil"/>
            </w:tcBorders>
            <w:hideMark/>
          </w:tcPr>
          <w:p w14:paraId="321F9E1F" w14:textId="77777777" w:rsidR="00231F10" w:rsidRPr="00E07B48" w:rsidRDefault="00000000">
            <w:pPr>
              <w:spacing w:line="360" w:lineRule="auto"/>
              <w:jc w:val="center"/>
              <w:rPr>
                <w:rFonts w:ascii="Times New Roman" w:hAnsi="Times New Roman" w:cs="Times New Roman"/>
                <w:sz w:val="20"/>
                <w:szCs w:val="20"/>
              </w:rPr>
            </w:pPr>
            <m:oMathPara>
              <m:oMath>
                <m:f>
                  <m:fPr>
                    <m:ctrlPr>
                      <w:rPr>
                        <w:rFonts w:ascii="Cambria Math" w:eastAsia="Calibri" w:hAnsi="Cambria Math" w:cs="Times New Roman"/>
                        <w:sz w:val="20"/>
                        <w:szCs w:val="20"/>
                        <w:lang w:val="en-US" w:bidi="hi-IN"/>
                      </w:rPr>
                    </m:ctrlPr>
                  </m:fPr>
                  <m:num>
                    <m:nary>
                      <m:naryPr>
                        <m:chr m:val="∑"/>
                        <m:limLoc m:val="undOvr"/>
                        <m:subHide m:val="1"/>
                        <m:supHide m:val="1"/>
                        <m:ctrlPr>
                          <w:rPr>
                            <w:rFonts w:ascii="Cambria Math" w:eastAsia="Calibri" w:hAnsi="Cambria Math" w:cs="Times New Roman"/>
                            <w:sz w:val="20"/>
                            <w:szCs w:val="20"/>
                            <w:lang w:val="en-US" w:bidi="hi-IN"/>
                          </w:rPr>
                        </m:ctrlPr>
                      </m:naryPr>
                      <m:sub/>
                      <m:sup/>
                      <m:e>
                        <m:sSup>
                          <m:sSupPr>
                            <m:ctrlPr>
                              <w:rPr>
                                <w:rFonts w:ascii="Cambria Math" w:eastAsia="Calibri" w:hAnsi="Cambria Math" w:cs="Times New Roman"/>
                                <w:sz w:val="20"/>
                                <w:szCs w:val="20"/>
                                <w:lang w:val="en-US" w:bidi="hi-IN"/>
                              </w:rPr>
                            </m:ctrlPr>
                          </m:sSupPr>
                          <m:e>
                            <m:d>
                              <m:dPr>
                                <m:ctrlPr>
                                  <w:rPr>
                                    <w:rFonts w:ascii="Cambria Math" w:eastAsia="Calibri" w:hAnsi="Cambria Math" w:cs="Times New Roman"/>
                                    <w:sz w:val="20"/>
                                    <w:szCs w:val="20"/>
                                    <w:lang w:val="en-US" w:bidi="hi-IN"/>
                                  </w:rPr>
                                </m:ctrlPr>
                              </m:dPr>
                              <m:e>
                                <m:sSub>
                                  <m:sSubPr>
                                    <m:ctrlPr>
                                      <w:rPr>
                                        <w:rFonts w:ascii="Cambria Math" w:eastAsia="Calibri" w:hAnsi="Cambria Math" w:cs="Times New Roman"/>
                                        <w:sz w:val="20"/>
                                        <w:szCs w:val="20"/>
                                        <w:lang w:val="en-US" w:bidi="hi-IN"/>
                                      </w:rPr>
                                    </m:ctrlPr>
                                  </m:sSubPr>
                                  <m:e>
                                    <m:r>
                                      <w:rPr>
                                        <w:rFonts w:ascii="Cambria Math" w:hAnsi="Cambria Math" w:cs="Times New Roman"/>
                                        <w:sz w:val="20"/>
                                        <w:szCs w:val="20"/>
                                      </w:rPr>
                                      <m:t>z</m:t>
                                    </m:r>
                                  </m:e>
                                  <m:sub>
                                    <m:r>
                                      <m:rPr>
                                        <m:sty m:val="p"/>
                                      </m:rPr>
                                      <w:rPr>
                                        <w:rFonts w:ascii="Cambria Math" w:hAnsi="Cambria Math" w:cs="Times New Roman"/>
                                        <w:sz w:val="20"/>
                                        <w:szCs w:val="20"/>
                                      </w:rPr>
                                      <m:t>i</m:t>
                                    </m:r>
                                  </m:sub>
                                </m:sSub>
                                <m:r>
                                  <m:rPr>
                                    <m:sty m:val="p"/>
                                  </m:rPr>
                                  <w:rPr>
                                    <w:rFonts w:ascii="Cambria Math" w:hAnsi="Cambria Math" w:cs="Times New Roman"/>
                                    <w:sz w:val="20"/>
                                    <w:szCs w:val="20"/>
                                  </w:rPr>
                                  <m:t>-</m:t>
                                </m:r>
                                <m:sSub>
                                  <m:sSubPr>
                                    <m:ctrlPr>
                                      <w:rPr>
                                        <w:rFonts w:ascii="Cambria Math" w:eastAsia="Calibri" w:hAnsi="Cambria Math" w:cs="Times New Roman"/>
                                        <w:sz w:val="20"/>
                                        <w:szCs w:val="20"/>
                                        <w:lang w:val="en-US" w:bidi="hi-IN"/>
                                      </w:rPr>
                                    </m:ctrlPr>
                                  </m:sSubPr>
                                  <m:e>
                                    <m:r>
                                      <m:rPr>
                                        <m:sty m:val="p"/>
                                      </m:rPr>
                                      <w:rPr>
                                        <w:rFonts w:ascii="Cambria Math" w:hAnsi="Cambria Math" w:cs="Times New Roman"/>
                                        <w:sz w:val="20"/>
                                        <w:szCs w:val="20"/>
                                      </w:rPr>
                                      <m:t>y</m:t>
                                    </m:r>
                                  </m:e>
                                  <m:sub>
                                    <m:r>
                                      <m:rPr>
                                        <m:sty m:val="p"/>
                                      </m:rPr>
                                      <w:rPr>
                                        <w:rFonts w:ascii="Cambria Math" w:hAnsi="Cambria Math" w:cs="Times New Roman"/>
                                        <w:sz w:val="20"/>
                                        <w:szCs w:val="20"/>
                                      </w:rPr>
                                      <m:t>i</m:t>
                                    </m:r>
                                  </m:sub>
                                </m:sSub>
                              </m:e>
                            </m:d>
                          </m:e>
                          <m:sup>
                            <m:r>
                              <m:rPr>
                                <m:sty m:val="p"/>
                              </m:rPr>
                              <w:rPr>
                                <w:rFonts w:ascii="Cambria Math" w:hAnsi="Cambria Math" w:cs="Times New Roman"/>
                                <w:sz w:val="20"/>
                                <w:szCs w:val="20"/>
                              </w:rPr>
                              <m:t>2</m:t>
                            </m:r>
                          </m:sup>
                        </m:sSup>
                      </m:e>
                    </m:nary>
                  </m:num>
                  <m:den>
                    <m:r>
                      <m:rPr>
                        <m:sty m:val="p"/>
                      </m:rPr>
                      <w:rPr>
                        <w:rFonts w:ascii="Cambria Math" w:hAnsi="Cambria Math" w:cs="Times New Roman"/>
                        <w:sz w:val="20"/>
                        <w:szCs w:val="20"/>
                      </w:rPr>
                      <m:t>n</m:t>
                    </m:r>
                  </m:den>
                </m:f>
              </m:oMath>
            </m:oMathPara>
          </w:p>
        </w:tc>
        <w:tc>
          <w:tcPr>
            <w:tcW w:w="7678" w:type="dxa"/>
            <w:tcBorders>
              <w:top w:val="single" w:sz="4" w:space="0" w:color="auto"/>
              <w:left w:val="nil"/>
              <w:bottom w:val="nil"/>
              <w:right w:val="nil"/>
            </w:tcBorders>
            <w:hideMark/>
          </w:tcPr>
          <w:p w14:paraId="0201CA35" w14:textId="77777777" w:rsidR="00231F10" w:rsidRPr="00E07B48" w:rsidRDefault="00231F10">
            <w:pPr>
              <w:spacing w:line="360" w:lineRule="auto"/>
              <w:jc w:val="center"/>
              <w:rPr>
                <w:rFonts w:ascii="Times New Roman" w:hAnsi="Times New Roman" w:cs="Times New Roman"/>
                <w:sz w:val="20"/>
                <w:szCs w:val="20"/>
              </w:rPr>
            </w:pPr>
            <w:proofErr w:type="gramStart"/>
            <w:r w:rsidRPr="00E07B48">
              <w:rPr>
                <w:rFonts w:ascii="Times New Roman" w:hAnsi="Times New Roman" w:cs="Times New Roman"/>
                <w:sz w:val="20"/>
                <w:szCs w:val="20"/>
              </w:rPr>
              <w:t>As long as</w:t>
            </w:r>
            <w:proofErr w:type="gramEnd"/>
            <w:r w:rsidRPr="00E07B48">
              <w:rPr>
                <w:rFonts w:ascii="Times New Roman" w:hAnsi="Times New Roman" w:cs="Times New Roman"/>
                <w:sz w:val="20"/>
                <w:szCs w:val="20"/>
              </w:rPr>
              <w:t xml:space="preserve"> the model does not have any errors and makes better predictions, the MSE is equal to zero.</w:t>
            </w:r>
          </w:p>
        </w:tc>
        <w:tc>
          <w:tcPr>
            <w:tcW w:w="1599" w:type="dxa"/>
            <w:vMerge w:val="restart"/>
            <w:tcBorders>
              <w:top w:val="single" w:sz="4" w:space="0" w:color="auto"/>
              <w:left w:val="nil"/>
              <w:bottom w:val="nil"/>
              <w:right w:val="nil"/>
            </w:tcBorders>
            <w:hideMark/>
          </w:tcPr>
          <w:p w14:paraId="19B6F68C" w14:textId="77777777" w:rsidR="00231F10" w:rsidRPr="00E07B48" w:rsidRDefault="00231F10">
            <w:pPr>
              <w:spacing w:line="360" w:lineRule="auto"/>
              <w:rPr>
                <w:rFonts w:ascii="Times New Roman" w:hAnsi="Times New Roman" w:cs="Times New Roman"/>
                <w:sz w:val="20"/>
                <w:szCs w:val="20"/>
              </w:rPr>
            </w:pPr>
            <w:r w:rsidRPr="00E07B48">
              <w:rPr>
                <w:rFonts w:ascii="Times New Roman" w:hAnsi="Times New Roman" w:cs="Times New Roman"/>
                <w:color w:val="222222"/>
                <w:sz w:val="20"/>
                <w:szCs w:val="20"/>
                <w:shd w:val="clear" w:color="auto" w:fill="FFFFFF"/>
              </w:rPr>
              <w:fldChar w:fldCharType="begin" w:fldLock="1"/>
            </w:r>
            <w:r w:rsidRPr="00E07B48">
              <w:rPr>
                <w:rFonts w:ascii="Times New Roman" w:hAnsi="Times New Roman" w:cs="Times New Roman"/>
                <w:color w:val="222222"/>
                <w:sz w:val="20"/>
                <w:szCs w:val="20"/>
                <w:shd w:val="clear" w:color="auto" w:fill="FFFFFF"/>
              </w:rPr>
              <w:instrText>ADDIN CSL_CITATION {"citationItems":[{"id":"ITEM-1","itemData":{"DOI":"10.1007/s11269-021-02969-2","ISBN":"1126902102969","ISSN":"15731650","abstract":"Water quality experiments are difficult, costly, and time-consuming. Therefore, different modeling methods can be used as an alternative for these experiments. To achieve the research objective, geospatial artificial intelligence approaches such as the self-organizing map (SOM), artificial neural network (ANN), and co-active neuro-fuzzy inference system (CANFIS) were used to simulate groundwater quality in the Mazandaran plain in the north of Iran. Geographical information system (GIS) techniques were used as a pre-processer and post-processer. Data from 85 drinking water wells was used as secondary data and were separated into two splits of (a) 70 percent for training (60% for training and 10% for cross-validation), and (b) 30 percent for the test stage. The groundwater quality index (GWQI) and the effective water quality factors (distance from industries, groundwater depth, and transmissivity of aquifer formations) were implemented as output and input variables, respectively. Statistical indices (i.e., R squared (R-sqr) and the mean squared error (MSE)) were utilized to compare the performance of three methods. The results demonstrate the high performance of the three methods in groundwater quality simulation. However, in the test stage, CANFIS (R-sqr = 0.89) had a higher performance than the SOM (R-sqr = 0.8) and ANN (R-sqr = 0.73) methods. The tested CANFIS model was used to estimate GWQI values on the area of the plain. Finally, the groundwater quality was mapped in a GIS environment associated with CANFIS simulation. The results can be used to manage groundwater quality as well as support and contribute to the sustainable development goal (SDG)-6, SDG-11, and SDG-13.","author":[{"dropping-particle":"","family":"Gholami","given":"V.","non-dropping-particle":"","parse-names":false,"suffix":""},{"dropping-particle":"","family":"Khaleghi","given":"M. R.","non-dropping-particle":"","parse-names":false,"suffix":""},{"dropping-particle":"","family":"Pirasteh","given":"S.","non-dropping-particle":"","parse-names":false,"suffix":""},{"dropping-particle":"","family":"Booij","given":"Martijn J.","non-dropping-particle":"","parse-names":false,"suffix":""}],"container-title":"Water Resources Management","id":"ITEM-1","issue":"2","issued":{"date-parts":[["2022"]]},"page":"451-469","publisher":"Springer Netherlands","title":"Comparison of Self-Organizing Map, Artificial Neural Network, and Co-Active Neuro-Fuzzy Inference System Methods in Simulating Groundwater Quality: Geospatial Artificial Intelligence","type":"article-journal","volume":"36"},"uris":["http://www.mendeley.com/documents/?uuid=a74aa3db-beed-4022-9735-ebd87863a036"]},{"id":"ITEM-2","itemData":{"DOI":"10.1016/j.gsd.2021.100643","ISSN":"2352801X","abstract":"This review paper closely explores the techniques and significances of the most potent artificial intelligence (AI) approaches in a concise and integrated way, specifically in the groundwater quality modelling and forecasting for its suitability in domestic usage. This paper systematically provides an extensive review of the four most used AI methods: artificial neural network (ANN), adaptive network-based fuzzy inference system (ANFIS), evolutionary algorithm (EA) and support vector machine (SVM), to reflect on the features and abilities while defining the greatest challenges throughout the process of providing desired results. Analysis among the four AI methods found that ANN performed better when handling a large number of data sets and accurately made predictions due to its ability to model complex non-linear and complex relationships, despite some weaknesses. The findings of this review demonstrate that the successful adoption of AI models is impacted by the appropriateness of input consideration, types of individual functions, the efficiency of performance metrics, etc. The outcomes from this study will be beneficial for groundwater development plans and contribute to the improvement of the AI applications in groundwater quality. Recommendations are presented in this study to strengthen the knowledge development towards improving the modelling structure in the mentioned area.","author":[{"dropping-particle":"","family":"Che Nordin","given":"Nur Farahin","non-dropping-particle":"","parse-names":false,"suffix":""},{"dropping-particle":"","family":"Mohd","given":"Nuruol Syuhadaa","non-dropping-particle":"","parse-names":false,"suffix":""},{"dropping-particle":"","family":"Koting","given":"Suhana","non-dropping-particle":"","parse-names":false,"suffix":""},{"dropping-particle":"","family":"Ismail","given":"Zubaidah","non-dropping-particle":"","parse-names":false,"suffix":""},{"dropping-particle":"","family":"Sherif","given":"Mohsen","non-dropping-particle":"","parse-names":false,"suffix":""},{"dropping-particle":"","family":"El-Shafie","given":"Ahmed","non-dropping-particle":"","parse-names":false,"suffix":""}],"container-title":"Groundwater for Sustainable Development","id":"ITEM-2","issued":{"date-parts":[["2021"]]},"page":"100643","publisher":"Elsevier B.V.","title":"Groundwater quality forecasting modelling using artificial intelligence: A review","type":"article-journal","volume":"14"},"uris":["http://www.mendeley.com/documents/?uuid=14c04914-630e-4f02-9c75-ba93dd83ac7f"]},{"id":"ITEM-3","itemData":{"DOI":"10.1007/s11270-021-05311-z","ISSN":"15732932","abstract":"This study reported the state of the art of different artificial intelligence (AI) methods for groundwater quality (GWQ) modeling and introduce a brief description of common AI approaches. In addtion a bibliographic review of practices over the past two decades, was presented and attained result were compared. More than 80 journal articles from 2001 to 2021 were review in terms of characteristics and capabilities of developing methods, considering data of input-output, etc. From the reviewed studies, it could be concluded that in spite of various weaknesses, if the artificial intelligence approaches were appropriately built, they can effectively be utilized for predicting the GWQ in various aquifers. Because many steps of applying AI methods are based on trial-and-error or experience procedures, it’s helpful to review them regarding the special application for GWQ modeling. Several partial and general findings were attained from the reviewed studies that could deliver relevant guidelines for scholars who intend to carry out related work. Many new ideas in the associated area of research are also introduced in this work to develop innovative approaches and to improve the quality of prediction water quality in groundwater for example, it has been found that the combined AI models with metaheuristic optimization are more reliable in capturing the nonlinearity of water quality parameters. However, in this review few papers were found that used these hybrid models in GWQ modeling. Therefore, for future works, it is recommended to use hybrid models to more furthere investigation and enhance the reliability and accuracy of predicting in GWQ.","author":[{"dropping-particle":"","family":"Hanoon","given":"Marwah Sattar","non-dropping-particle":"","parse-names":false,"suffix":""},{"dropping-particle":"","family":"Ahmed","given":"Ali Najah","non-dropping-particle":"","parse-names":false,"suffix":""},{"dropping-particle":"","family":"Fai","given":"Chow Ming","non-dropping-particle":"","parse-names":false,"suffix":""},{"dropping-particle":"","family":"Birima","given":"Ahmed H.","non-dropping-particle":"","parse-names":false,"suffix":""},{"dropping-particle":"","family":"Razzaq","given":"Arif","non-dropping-particle":"","parse-names":false,"suffix":""},{"dropping-particle":"","family":"Sherif","given":"Mohsen","non-dropping-particle":"","parse-names":false,"suffix":""},{"dropping-particle":"","family":"Sefelnasr","given":"Ahmed","non-dropping-particle":"","parse-names":false,"suffix":""},{"dropping-particle":"","family":"El-Shafie","given":"Ahmed","non-dropping-particle":"","parse-names":false,"suffix":""}],"container-title":"Water, Air, and Soil Pollution","id":"ITEM-3","issue":"10","issued":{"date-parts":[["2021"]]},"publisher":"Water, Air, &amp; Soil Pollution","title":"Application of Artificial Intelligence Models for modeling Water Quality in Groundwater: Comprehensive Review, Evaluation and Future Trends","type":"article-journal","volume":"232"},"uris":["http://www.mendeley.com/documents/?uuid=8c43d2ec-2da3-43d4-9113-d7a4f4f75e63"]},{"id":"ITEM-4","itemData":{"DOI":"10.1080/08839514.2022.2138130","ISSN":"10876545","abstract":"Groundwater (GW) is a key source of drinking water and irrigation to combat growing food insecurity and for improved water access in rural sub-Saharan Africa. However, there are limited studies due to data scarcity in the region. New modeling techniques such as Machine learning (ML) are found robust and promising tools to assess GW recharge with less expensive data. The study utilized ML technique in GW recharge prediction for selected locations to assess sustainability of GW resources in Ghana. Two artificial neural networks (ANN) models namely Feedforward Neural Network with Multilayer Perceptron (FNN-MLP) and Extreme Learning Machine (FNN-ELM) were used for the prediction of GW using 58 years (1960–2018) of GW data. Model evaluation between FNN-MLP and FNN-ELM showed that the former approach was better in predicting GW with R2 ranging from 0.97 to 0.99 while the latter has an R2 between 0.42 to 0.68. The overall performance of both models was acceptable and suggests that ANN is a useful forecasting tool for GW assessment. The outcomes from this study will add value to the current methods of GW assessment and development, which is one of the pillars of the sustainable development goals (SDG 6).","author":[{"dropping-particle":"","family":"Siabi","given":"Ebenezer K.","non-dropping-particle":"","parse-names":false,"suffix":""},{"dropping-particle":"","family":"Dile","given":"Yihun Taddele","non-dropping-particle":"","parse-names":false,"suffix":""},{"dropping-particle":"","family":"Kabo-Bah","given":"Amos T.","non-dropping-particle":"","parse-names":false,"suffix":""},{"dropping-particle":"","family":"Amo-Boateng","given":"Mark","non-dropping-particle":"","parse-names":false,"suffix":""},{"dropping-particle":"","family":"Anornu","given":"Geophery K.","non-dropping-particle":"","parse-names":false,"suffix":""},{"dropping-particle":"","family":"Akpoti","given":"Komlavi","non-dropping-particle":"","parse-names":false,"suffix":""},{"dropping-particle":"","family":"Vuu","given":"Christopher","non-dropping-particle":"","parse-names":false,"suffix":""},{"dropping-particle":"","family":"Donkor","given":"Peter","non-dropping-particle":"","parse-names":false,"suffix":""},{"dropping-particle":"","family":"Mensah","given":"Samuel K.","non-dropping-particle":"","parse-names":false,"suffix":""},{"dropping-particle":"","family":"Incoom","given":"Awo B.M.","non-dropping-particle":"","parse-names":false,"suffix":""},{"dropping-particle":"","family":"Opoku","given":"Emmanuel K.","non-dropping-particle":"","parse-names":false,"suffix":""},{"dropping-particle":"","family":"Atta-Darkwa","given":"Thomas","non-dropping-particle":"","parse-names":false,"suffix":""}],"container-title":"Applied Artificial Intelligence","id":"ITEM-4","issue":"1","issued":{"date-parts":[["2022"]]},"publisher":"Taylor &amp; Francis","title":"Machine learning based groundwater prediction in data scare Volta basin of Ghana","type":"article-journal","volume":"36"},"uris":["http://www.mendeley.com/documents/?uuid=33fc9a61-afa8-4b7d-949f-be74803bf3b8"]}],"mendeley":{"formattedCitation":"(Che Nordin et al. 2021; Hanoon et al. 2021; Gholami et al. 2022; Siabi et al. 2022)","plainTextFormattedCitation":"(Che Nordin et al. 2021; Hanoon et al. 2021; Gholami et al. 2022; Siabi et al. 2022)","previouslyFormattedCitation":"(Che Nordin et al., 2021; Gholami et al., 2022; Hanoon et al., 2021; Siabi et al., 2022)"},"properties":{"noteIndex":0},"schema":"https://github.com/citation-style-language/schema/raw/master/csl-citation.json"}</w:instrText>
            </w:r>
            <w:r w:rsidRPr="00E07B48">
              <w:rPr>
                <w:rFonts w:ascii="Times New Roman" w:hAnsi="Times New Roman" w:cs="Times New Roman"/>
                <w:color w:val="222222"/>
                <w:sz w:val="20"/>
                <w:szCs w:val="20"/>
                <w:shd w:val="clear" w:color="auto" w:fill="FFFFFF"/>
              </w:rPr>
              <w:fldChar w:fldCharType="separate"/>
            </w:r>
            <w:r w:rsidRPr="00E07B48">
              <w:rPr>
                <w:rFonts w:ascii="Times New Roman" w:hAnsi="Times New Roman" w:cs="Times New Roman"/>
                <w:noProof/>
                <w:color w:val="222222"/>
                <w:sz w:val="20"/>
                <w:szCs w:val="20"/>
                <w:shd w:val="clear" w:color="auto" w:fill="FFFFFF"/>
              </w:rPr>
              <w:t>(Che Nordin et al. 2021; Hanoon et al. 2021; Gholami et al. 2022; Siabi et al. 2022)</w:t>
            </w:r>
            <w:r w:rsidRPr="00E07B48">
              <w:rPr>
                <w:rFonts w:ascii="Times New Roman" w:hAnsi="Times New Roman" w:cs="Times New Roman"/>
                <w:color w:val="222222"/>
                <w:sz w:val="20"/>
                <w:szCs w:val="20"/>
                <w:shd w:val="clear" w:color="auto" w:fill="FFFFFF"/>
              </w:rPr>
              <w:fldChar w:fldCharType="end"/>
            </w:r>
          </w:p>
        </w:tc>
      </w:tr>
      <w:tr w:rsidR="00231F10" w:rsidRPr="00E07B48" w14:paraId="00B1C56E" w14:textId="77777777" w:rsidTr="00231F10">
        <w:trPr>
          <w:gridAfter w:val="1"/>
          <w:wAfter w:w="12" w:type="dxa"/>
        </w:trPr>
        <w:tc>
          <w:tcPr>
            <w:tcW w:w="1179" w:type="dxa"/>
            <w:tcBorders>
              <w:top w:val="nil"/>
              <w:left w:val="nil"/>
              <w:bottom w:val="nil"/>
              <w:right w:val="nil"/>
            </w:tcBorders>
            <w:hideMark/>
          </w:tcPr>
          <w:p w14:paraId="479CA351"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RMSE</w:t>
            </w:r>
          </w:p>
        </w:tc>
        <w:tc>
          <w:tcPr>
            <w:tcW w:w="2473" w:type="dxa"/>
            <w:tcBorders>
              <w:top w:val="nil"/>
              <w:left w:val="nil"/>
              <w:bottom w:val="nil"/>
              <w:right w:val="nil"/>
            </w:tcBorders>
            <w:hideMark/>
          </w:tcPr>
          <w:p w14:paraId="5F3241C0" w14:textId="77777777" w:rsidR="00231F10" w:rsidRPr="00E07B48" w:rsidRDefault="00000000">
            <w:pPr>
              <w:spacing w:line="360" w:lineRule="auto"/>
              <w:jc w:val="center"/>
              <w:rPr>
                <w:rFonts w:ascii="Times New Roman" w:hAnsi="Times New Roman" w:cs="Times New Roman"/>
                <w:sz w:val="20"/>
                <w:szCs w:val="20"/>
              </w:rPr>
            </w:pPr>
            <m:oMathPara>
              <m:oMath>
                <m:rad>
                  <m:radPr>
                    <m:degHide m:val="1"/>
                    <m:ctrlPr>
                      <w:rPr>
                        <w:rFonts w:ascii="Cambria Math" w:eastAsia="Calibri" w:hAnsi="Cambria Math" w:cs="Times New Roman"/>
                        <w:i/>
                        <w:sz w:val="20"/>
                        <w:szCs w:val="20"/>
                        <w:lang w:val="en-US" w:bidi="hi-IN"/>
                      </w:rPr>
                    </m:ctrlPr>
                  </m:radPr>
                  <m:deg/>
                  <m:e>
                    <m:f>
                      <m:fPr>
                        <m:ctrlPr>
                          <w:rPr>
                            <w:rFonts w:ascii="Cambria Math" w:eastAsia="Calibri" w:hAnsi="Cambria Math" w:cs="Times New Roman"/>
                            <w:i/>
                            <w:sz w:val="20"/>
                            <w:szCs w:val="20"/>
                            <w:lang w:val="en-US" w:bidi="hi-IN"/>
                          </w:rPr>
                        </m:ctrlPr>
                      </m:fPr>
                      <m:num>
                        <m:nary>
                          <m:naryPr>
                            <m:chr m:val="∑"/>
                            <m:limLoc m:val="undOvr"/>
                            <m:ctrlPr>
                              <w:rPr>
                                <w:rFonts w:ascii="Cambria Math" w:eastAsia="Calibri" w:hAnsi="Cambria Math" w:cs="Times New Roman"/>
                                <w:i/>
                                <w:sz w:val="20"/>
                                <w:szCs w:val="20"/>
                                <w:lang w:val="en-US" w:bidi="hi-IN"/>
                              </w:rPr>
                            </m:ctrlPr>
                          </m:naryPr>
                          <m:sub>
                            <m:r>
                              <w:rPr>
                                <w:rFonts w:ascii="Cambria Math" w:hAnsi="Cambria Math" w:cs="Times New Roman"/>
                                <w:sz w:val="20"/>
                                <w:szCs w:val="20"/>
                              </w:rPr>
                              <m:t>i=1</m:t>
                            </m:r>
                          </m:sub>
                          <m:sup>
                            <m:r>
                              <w:rPr>
                                <w:rFonts w:ascii="Cambria Math" w:hAnsi="Cambria Math" w:cs="Times New Roman"/>
                                <w:sz w:val="20"/>
                                <w:szCs w:val="20"/>
                              </w:rPr>
                              <m:t>n</m:t>
                            </m:r>
                          </m:sup>
                          <m:e>
                            <m:sSup>
                              <m:sSupPr>
                                <m:ctrlPr>
                                  <w:rPr>
                                    <w:rFonts w:ascii="Cambria Math" w:eastAsia="Calibri" w:hAnsi="Cambria Math" w:cs="Times New Roman"/>
                                    <w:i/>
                                    <w:sz w:val="20"/>
                                    <w:szCs w:val="20"/>
                                    <w:lang w:val="en-US" w:bidi="hi-IN"/>
                                  </w:rPr>
                                </m:ctrlPr>
                              </m:sSupPr>
                              <m:e>
                                <m:d>
                                  <m:dPr>
                                    <m:ctrlPr>
                                      <w:rPr>
                                        <w:rFonts w:ascii="Cambria Math" w:eastAsia="Calibri" w:hAnsi="Cambria Math" w:cs="Times New Roman"/>
                                        <w:i/>
                                        <w:sz w:val="20"/>
                                        <w:szCs w:val="20"/>
                                        <w:lang w:val="en-US" w:bidi="hi-IN"/>
                                      </w:rPr>
                                    </m:ctrlPr>
                                  </m:dPr>
                                  <m:e>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y</m:t>
                                        </m:r>
                                      </m:e>
                                      <m:sub>
                                        <m:r>
                                          <w:rPr>
                                            <w:rFonts w:ascii="Cambria Math" w:hAnsi="Cambria Math" w:cs="Times New Roman"/>
                                            <w:sz w:val="20"/>
                                            <w:szCs w:val="20"/>
                                          </w:rPr>
                                          <m:t>i</m:t>
                                        </m:r>
                                      </m:sub>
                                    </m:sSub>
                                  </m:e>
                                </m:d>
                              </m:e>
                              <m:sup>
                                <m:r>
                                  <w:rPr>
                                    <w:rFonts w:ascii="Cambria Math" w:hAnsi="Cambria Math" w:cs="Times New Roman"/>
                                    <w:sz w:val="20"/>
                                    <w:szCs w:val="20"/>
                                  </w:rPr>
                                  <m:t>2</m:t>
                                </m:r>
                              </m:sup>
                            </m:sSup>
                          </m:e>
                        </m:nary>
                      </m:num>
                      <m:den>
                        <m:r>
                          <w:rPr>
                            <w:rFonts w:ascii="Cambria Math" w:hAnsi="Cambria Math" w:cs="Times New Roman"/>
                            <w:sz w:val="20"/>
                            <w:szCs w:val="20"/>
                          </w:rPr>
                          <m:t>n</m:t>
                        </m:r>
                      </m:den>
                    </m:f>
                  </m:e>
                </m:rad>
              </m:oMath>
            </m:oMathPara>
          </w:p>
        </w:tc>
        <w:tc>
          <w:tcPr>
            <w:tcW w:w="7678" w:type="dxa"/>
            <w:tcBorders>
              <w:top w:val="nil"/>
              <w:left w:val="nil"/>
              <w:bottom w:val="nil"/>
              <w:right w:val="nil"/>
            </w:tcBorders>
            <w:hideMark/>
          </w:tcPr>
          <w:p w14:paraId="26114F19"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Models with zero errors and better predictions have a zero MSE.A good fit is therefore indicated by values near 0.</w:t>
            </w:r>
          </w:p>
        </w:tc>
        <w:tc>
          <w:tcPr>
            <w:tcW w:w="0" w:type="auto"/>
            <w:vMerge/>
            <w:tcBorders>
              <w:top w:val="single" w:sz="4" w:space="0" w:color="auto"/>
              <w:left w:val="nil"/>
              <w:bottom w:val="nil"/>
              <w:right w:val="nil"/>
            </w:tcBorders>
            <w:vAlign w:val="center"/>
            <w:hideMark/>
          </w:tcPr>
          <w:p w14:paraId="01143E97" w14:textId="77777777" w:rsidR="00231F10" w:rsidRPr="00E07B48" w:rsidRDefault="00231F10">
            <w:pPr>
              <w:spacing w:after="0" w:line="256" w:lineRule="auto"/>
              <w:rPr>
                <w:rFonts w:ascii="Times New Roman" w:eastAsia="Calibri" w:hAnsi="Times New Roman" w:cs="Times New Roman"/>
                <w:sz w:val="20"/>
                <w:szCs w:val="20"/>
                <w:lang w:val="en-US" w:bidi="hi-IN"/>
              </w:rPr>
            </w:pPr>
          </w:p>
        </w:tc>
      </w:tr>
      <w:tr w:rsidR="00231F10" w:rsidRPr="00E07B48" w14:paraId="64A0E66F" w14:textId="77777777" w:rsidTr="00231F10">
        <w:trPr>
          <w:gridAfter w:val="1"/>
          <w:wAfter w:w="12" w:type="dxa"/>
        </w:trPr>
        <w:tc>
          <w:tcPr>
            <w:tcW w:w="1179" w:type="dxa"/>
            <w:tcBorders>
              <w:top w:val="nil"/>
              <w:left w:val="nil"/>
              <w:bottom w:val="nil"/>
              <w:right w:val="nil"/>
            </w:tcBorders>
            <w:hideMark/>
          </w:tcPr>
          <w:p w14:paraId="3EEFC4A2"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SSE</w:t>
            </w:r>
          </w:p>
        </w:tc>
        <w:tc>
          <w:tcPr>
            <w:tcW w:w="2473" w:type="dxa"/>
            <w:tcBorders>
              <w:top w:val="nil"/>
              <w:left w:val="nil"/>
              <w:bottom w:val="nil"/>
              <w:right w:val="nil"/>
            </w:tcBorders>
            <w:hideMark/>
          </w:tcPr>
          <w:p w14:paraId="0F575E9F" w14:textId="77777777" w:rsidR="00231F10" w:rsidRPr="00E07B48" w:rsidRDefault="00000000">
            <w:pPr>
              <w:spacing w:line="360" w:lineRule="auto"/>
              <w:jc w:val="center"/>
              <w:rPr>
                <w:rFonts w:ascii="Times New Roman" w:hAnsi="Times New Roman" w:cs="Times New Roman"/>
                <w:sz w:val="20"/>
                <w:szCs w:val="20"/>
              </w:rPr>
            </w:pPr>
            <m:oMathPara>
              <m:oMath>
                <m:nary>
                  <m:naryPr>
                    <m:chr m:val="∑"/>
                    <m:limLoc m:val="undOvr"/>
                    <m:ctrlPr>
                      <w:rPr>
                        <w:rFonts w:ascii="Cambria Math" w:eastAsia="Calibri" w:hAnsi="Cambria Math" w:cs="Times New Roman"/>
                        <w:i/>
                        <w:sz w:val="20"/>
                        <w:szCs w:val="20"/>
                        <w:lang w:val="en-US" w:bidi="hi-IN"/>
                      </w:rPr>
                    </m:ctrlPr>
                  </m:naryPr>
                  <m:sub>
                    <m:r>
                      <w:rPr>
                        <w:rFonts w:ascii="Cambria Math" w:hAnsi="Cambria Math" w:cs="Times New Roman"/>
                        <w:sz w:val="20"/>
                        <w:szCs w:val="20"/>
                      </w:rPr>
                      <m:t>i=1</m:t>
                    </m:r>
                  </m:sub>
                  <m:sup>
                    <m:r>
                      <w:rPr>
                        <w:rFonts w:ascii="Cambria Math" w:hAnsi="Cambria Math" w:cs="Times New Roman"/>
                        <w:sz w:val="20"/>
                        <w:szCs w:val="20"/>
                      </w:rPr>
                      <m:t>n</m:t>
                    </m:r>
                  </m:sup>
                  <m:e>
                    <m:d>
                      <m:dPr>
                        <m:ctrlPr>
                          <w:rPr>
                            <w:rFonts w:ascii="Cambria Math" w:eastAsia="Calibri" w:hAnsi="Cambria Math" w:cs="Times New Roman"/>
                            <w:i/>
                            <w:sz w:val="20"/>
                            <w:szCs w:val="20"/>
                            <w:lang w:val="en-US" w:bidi="hi-IN"/>
                          </w:rPr>
                        </m:ctrlPr>
                      </m:dPr>
                      <m:e>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x</m:t>
                            </m:r>
                          </m:e>
                          <m:sub>
                            <m:r>
                              <w:rPr>
                                <w:rFonts w:ascii="Cambria Math" w:hAnsi="Cambria Math" w:cs="Times New Roman"/>
                                <w:sz w:val="20"/>
                                <w:szCs w:val="20"/>
                              </w:rPr>
                              <m:t>mean</m:t>
                            </m:r>
                          </m:sub>
                        </m:sSub>
                      </m:e>
                    </m:d>
                  </m:e>
                </m:nary>
              </m:oMath>
            </m:oMathPara>
          </w:p>
        </w:tc>
        <w:tc>
          <w:tcPr>
            <w:tcW w:w="7678" w:type="dxa"/>
            <w:tcBorders>
              <w:top w:val="nil"/>
              <w:left w:val="nil"/>
              <w:bottom w:val="nil"/>
              <w:right w:val="nil"/>
            </w:tcBorders>
            <w:hideMark/>
          </w:tcPr>
          <w:p w14:paraId="25D5A3E0"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The prediction is more precise when the SSE is lower. It indicates that the values close to 0 are well-fitting.</w:t>
            </w:r>
          </w:p>
        </w:tc>
        <w:tc>
          <w:tcPr>
            <w:tcW w:w="1599" w:type="dxa"/>
            <w:tcBorders>
              <w:top w:val="nil"/>
              <w:left w:val="nil"/>
              <w:bottom w:val="nil"/>
              <w:right w:val="nil"/>
            </w:tcBorders>
            <w:hideMark/>
          </w:tcPr>
          <w:p w14:paraId="0FFC7F00" w14:textId="77777777" w:rsidR="00231F10" w:rsidRPr="00E07B48" w:rsidRDefault="00231F10">
            <w:pPr>
              <w:spacing w:line="360" w:lineRule="auto"/>
              <w:rPr>
                <w:rFonts w:ascii="Times New Roman" w:hAnsi="Times New Roman" w:cs="Times New Roman"/>
                <w:b/>
                <w:sz w:val="20"/>
                <w:szCs w:val="20"/>
              </w:rPr>
            </w:pPr>
            <w:r w:rsidRPr="00E07B48">
              <w:rPr>
                <w:rFonts w:ascii="Times New Roman" w:hAnsi="Times New Roman" w:cs="Times New Roman"/>
                <w:sz w:val="20"/>
                <w:szCs w:val="20"/>
              </w:rPr>
              <w:fldChar w:fldCharType="begin" w:fldLock="1"/>
            </w:r>
            <w:r w:rsidRPr="00E07B48">
              <w:rPr>
                <w:rFonts w:ascii="Times New Roman" w:hAnsi="Times New Roman" w:cs="Times New Roman"/>
                <w:sz w:val="20"/>
                <w:szCs w:val="20"/>
              </w:rPr>
              <w:instrText>ADDIN CSL_CITATION {"citationItems":[{"id":"ITEM-1","itemData":{"DOI":"10.1016/j.chemosphere.2021.130265","ISSN":"18791298","PMID":"34088106","abstract":"To ensure safe drinking water sources in the future, it is imperative to understand the quality and pollution level of existing groundwater. The prediction of water quality with high accuracy is the key to control water pollution and the improvement of water management. In this study, a deep learning (DL) based model is proposed for predicting groundwater quality and compared with three other machine learning (ML) models, namely, random forest (RF), eXtreme gradient boosting (XGBoost), and artificial neural network (ANN). A total of 226 groundwater samples are collected from an agriculturally intensive area Arang of Raipur district, Chhattisgarh, India, and various physicochemical parameters are measured to compute entropy weight-based groundwater quality index (EWQI). Prediction performances of models are determined by introducing five error metrics. Results showed that DL model is the best prediction model with the highest accuracy in terms of R2, i.e., R2 = 0996 against the RF (R2 = 0.886), XGBoost (R2 = 0.0.927), and ANN (R2 = 0.917). The uncertainty of the DL model output is cross-verified by running the proposed algorithm with newly randomized dataset for ten times, where minor deviations in the mean value of performance metrics are observed. Moreover, input variable importance computed by prediction models highlights that DL model is the most realistic and accurate approach in the prediction of groundwater quality.","author":[{"dropping-particle":"","family":"Singha","given":"Sudhakar","non-dropping-particle":"","parse-names":false,"suffix":""},{"dropping-particle":"","family":"Pasupuleti","given":"Srinivas","non-dropping-particle":"","parse-names":false,"suffix":""},{"dropping-particle":"","family":"Singha","given":"Soumya S.","non-dropping-particle":"","parse-names":false,"suffix":""},{"dropping-particle":"","family":"Singh","given":"Rambabu","non-dropping-particle":"","parse-names":false,"suffix":""},{"dropping-particle":"","family":"Kumar","given":"Suresh","non-dropping-particle":"","parse-names":false,"suffix":""}],"container-title":"Chemosphere","id":"ITEM-1","issued":{"date-parts":[["2021"]]},"page":"130265","publisher":"Elsevier Ltd","title":"Prediction of groundwater quality using efficient machine learning technique","type":"article-journal","volume":"276"},"uris":["http://www.mendeley.com/documents/?uuid=f06e6db9-b4d9-4624-976b-133d869ed719"]}],"mendeley":{"formattedCitation":"(Singha et al. 2021)","plainTextFormattedCitation":"(Singha et al. 2021)","previouslyFormattedCitation":"(Singha et al., 2021)"},"properties":{"noteIndex":0},"schema":"https://github.com/citation-style-language/schema/raw/master/csl-citation.json"}</w:instrText>
            </w:r>
            <w:r w:rsidRPr="00E07B48">
              <w:rPr>
                <w:rFonts w:ascii="Times New Roman" w:hAnsi="Times New Roman" w:cs="Times New Roman"/>
                <w:sz w:val="20"/>
                <w:szCs w:val="20"/>
              </w:rPr>
              <w:fldChar w:fldCharType="separate"/>
            </w:r>
            <w:r w:rsidRPr="00E07B48">
              <w:rPr>
                <w:rFonts w:ascii="Times New Roman" w:hAnsi="Times New Roman" w:cs="Times New Roman"/>
                <w:noProof/>
                <w:sz w:val="20"/>
                <w:szCs w:val="20"/>
              </w:rPr>
              <w:t>(Singha et al. 2021)</w:t>
            </w:r>
            <w:r w:rsidRPr="00E07B48">
              <w:rPr>
                <w:rFonts w:ascii="Times New Roman" w:hAnsi="Times New Roman" w:cs="Times New Roman"/>
                <w:sz w:val="20"/>
                <w:szCs w:val="20"/>
              </w:rPr>
              <w:fldChar w:fldCharType="end"/>
            </w:r>
            <w:r w:rsidRPr="00E07B48">
              <w:rPr>
                <w:rFonts w:ascii="Times New Roman" w:hAnsi="Times New Roman" w:cs="Times New Roman"/>
                <w:sz w:val="20"/>
                <w:szCs w:val="20"/>
              </w:rPr>
              <w:t xml:space="preserve">; </w:t>
            </w:r>
            <w:r w:rsidRPr="00E07B48">
              <w:rPr>
                <w:rFonts w:ascii="Times New Roman" w:hAnsi="Times New Roman" w:cs="Times New Roman"/>
                <w:sz w:val="20"/>
                <w:szCs w:val="20"/>
              </w:rPr>
              <w:fldChar w:fldCharType="begin" w:fldLock="1"/>
            </w:r>
            <w:r w:rsidRPr="00E07B48">
              <w:rPr>
                <w:rFonts w:ascii="Times New Roman" w:hAnsi="Times New Roman" w:cs="Times New Roman"/>
                <w:sz w:val="20"/>
                <w:szCs w:val="20"/>
              </w:rPr>
              <w:instrText>ADDIN CSL_CITATION {"citationItems":[{"id":"ITEM-1","itemData":{"DOI":"10.1111/gwat.13063","ISSN":"17456584","PMID":"33314084","abstract":"A boosted regression tree model was developed to predict pH conditions in three dimensions throughout the glacial aquifer system of the contiguous United States using pH measurements in samples from 18,386 wells and predictor variables that represent aspects of the hydrogeologic setting. Model results indicate that the carbonate content of soils and aquifer materials strongly controls pH and, when coupled with long flowpaths, results in the most alkaline conditions. Conversely, in areas where glacial sediments are thin and carbonate-poor, pH conditions remain acidic. At depths typical of drinking-water supplies, predicted pH &gt;7.5—which is associated with arsenic mobilization—occurs more frequently than predicted pH &lt;6—which is associated with water corrosivity and the mobilization of other trace elements. A novel aspect of this model was the inclusion of numerically based estimates of groundwater flow characteristics (age and flowpath length) as predictor variables. The sensitivity of pH predictions to these variables was consistent with hydrologic understanding of groundwater flow systems and the geochemical evolution of groundwater quality. The model was not developed to provide precise estimates of pH at any given location. Rather, it can be used to more generally identify areas where contaminants may be mobilized into groundwater and where corrosivity issues may be of concern to prioritize areas for future groundwater monitoring.","author":[{"dropping-particle":"","family":"Stackelberg","given":"Paul E.","non-dropping-particle":"","parse-names":false,"suffix":""},{"dropping-particle":"","family":"Belitz","given":"Kenneth","non-dropping-particle":"","parse-names":false,"suffix":""},{"dropping-particle":"","family":"Brown","given":"Craig J.","non-dropping-particle":"","parse-names":false,"suffix":""},{"dropping-particle":"","family":"Erickson","given":"Melinda L.","non-dropping-particle":"","parse-names":false,"suffix":""},{"dropping-particle":"","family":"Elliott","given":"Sarah M.","non-dropping-particle":"","parse-names":false,"suffix":""},{"dropping-particle":"","family":"Kauffman","given":"Leon J.","non-dropping-particle":"","parse-names":false,"suffix":""},{"dropping-particle":"","family":"Ransom","given":"Katherine M.","non-dropping-particle":"","parse-names":false,"suffix":""},{"dropping-particle":"","family":"Reddy","given":"James E.","non-dropping-particle":"","parse-names":false,"suffix":""}],"container-title":"Groundwater","id":"ITEM-1","issue":"3","issued":{"date-parts":[["2021"]]},"page":"352-368","title":"Machine Learning Predictions of pH in the Glacial Aquifer System, Northern USA","type":"article-journal","volume":"59"},"uris":["http://www.mendeley.com/documents/?uuid=77f3b565-79aa-4824-8f16-002f0d3f5f69"]}],"mendeley":{"formattedCitation":"(Stackelberg et al. 2021)","plainTextFormattedCitation":"(Stackelberg et al. 2021)","previouslyFormattedCitation":"(Stackelberg et al., 2021)"},"properties":{"noteIndex":0},"schema":"https://github.com/citation-style-language/schema/raw/master/csl-citation.json"}</w:instrText>
            </w:r>
            <w:r w:rsidRPr="00E07B48">
              <w:rPr>
                <w:rFonts w:ascii="Times New Roman" w:hAnsi="Times New Roman" w:cs="Times New Roman"/>
                <w:sz w:val="20"/>
                <w:szCs w:val="20"/>
              </w:rPr>
              <w:fldChar w:fldCharType="separate"/>
            </w:r>
            <w:r w:rsidRPr="00E07B48">
              <w:rPr>
                <w:rFonts w:ascii="Times New Roman" w:hAnsi="Times New Roman" w:cs="Times New Roman"/>
                <w:noProof/>
                <w:sz w:val="20"/>
                <w:szCs w:val="20"/>
              </w:rPr>
              <w:t>(Stackelberg et al. 2021)</w:t>
            </w:r>
            <w:r w:rsidRPr="00E07B48">
              <w:rPr>
                <w:rFonts w:ascii="Times New Roman" w:hAnsi="Times New Roman" w:cs="Times New Roman"/>
                <w:sz w:val="20"/>
                <w:szCs w:val="20"/>
              </w:rPr>
              <w:fldChar w:fldCharType="end"/>
            </w:r>
          </w:p>
        </w:tc>
      </w:tr>
      <w:tr w:rsidR="00231F10" w:rsidRPr="00E07B48" w14:paraId="21C5C706" w14:textId="77777777" w:rsidTr="00231F10">
        <w:trPr>
          <w:gridAfter w:val="1"/>
          <w:wAfter w:w="12" w:type="dxa"/>
        </w:trPr>
        <w:tc>
          <w:tcPr>
            <w:tcW w:w="1179" w:type="dxa"/>
            <w:tcBorders>
              <w:top w:val="nil"/>
              <w:left w:val="nil"/>
              <w:bottom w:val="nil"/>
              <w:right w:val="nil"/>
            </w:tcBorders>
            <w:hideMark/>
          </w:tcPr>
          <w:p w14:paraId="0BB51C73"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R2</w:t>
            </w:r>
          </w:p>
        </w:tc>
        <w:tc>
          <w:tcPr>
            <w:tcW w:w="2473" w:type="dxa"/>
            <w:tcBorders>
              <w:top w:val="nil"/>
              <w:left w:val="nil"/>
              <w:bottom w:val="nil"/>
              <w:right w:val="nil"/>
            </w:tcBorders>
            <w:hideMark/>
          </w:tcPr>
          <w:p w14:paraId="3E111F60" w14:textId="77777777" w:rsidR="00231F10" w:rsidRPr="00E07B48" w:rsidRDefault="00231F10">
            <w:pPr>
              <w:spacing w:line="360" w:lineRule="auto"/>
              <w:jc w:val="center"/>
              <w:rPr>
                <w:rFonts w:ascii="Times New Roman" w:hAnsi="Times New Roman" w:cs="Times New Roman"/>
                <w:sz w:val="20"/>
                <w:szCs w:val="20"/>
              </w:rPr>
            </w:pPr>
            <m:oMathPara>
              <m:oMath>
                <m:r>
                  <w:rPr>
                    <w:rFonts w:ascii="Cambria Math" w:hAnsi="Cambria Math" w:cs="Times New Roman"/>
                    <w:sz w:val="20"/>
                    <w:szCs w:val="20"/>
                  </w:rPr>
                  <m:t>1-</m:t>
                </m:r>
                <m:f>
                  <m:fPr>
                    <m:ctrlPr>
                      <w:rPr>
                        <w:rFonts w:ascii="Cambria Math" w:eastAsia="Calibri" w:hAnsi="Cambria Math" w:cs="Times New Roman"/>
                        <w:i/>
                        <w:sz w:val="20"/>
                        <w:szCs w:val="20"/>
                        <w:lang w:val="en-US" w:bidi="hi-IN"/>
                      </w:rPr>
                    </m:ctrlPr>
                  </m:fPr>
                  <m:num>
                    <m:nary>
                      <m:naryPr>
                        <m:chr m:val="∑"/>
                        <m:limLoc m:val="undOvr"/>
                        <m:ctrlPr>
                          <w:rPr>
                            <w:rFonts w:ascii="Cambria Math" w:eastAsia="Calibri" w:hAnsi="Cambria Math" w:cs="Times New Roman"/>
                            <w:i/>
                            <w:sz w:val="20"/>
                            <w:szCs w:val="20"/>
                            <w:lang w:val="en-US" w:bidi="hi-IN"/>
                          </w:rPr>
                        </m:ctrlPr>
                      </m:naryPr>
                      <m:sub>
                        <m:r>
                          <w:rPr>
                            <w:rFonts w:ascii="Cambria Math" w:hAnsi="Cambria Math" w:cs="Times New Roman"/>
                            <w:sz w:val="20"/>
                            <w:szCs w:val="20"/>
                          </w:rPr>
                          <m:t>i=1</m:t>
                        </m:r>
                      </m:sub>
                      <m:sup>
                        <m:r>
                          <w:rPr>
                            <w:rFonts w:ascii="Cambria Math" w:hAnsi="Cambria Math" w:cs="Times New Roman"/>
                            <w:sz w:val="20"/>
                            <w:szCs w:val="20"/>
                          </w:rPr>
                          <m:t>n</m:t>
                        </m:r>
                      </m:sup>
                      <m:e>
                        <m:d>
                          <m:dPr>
                            <m:ctrlPr>
                              <w:rPr>
                                <w:rFonts w:ascii="Cambria Math" w:eastAsia="Calibri" w:hAnsi="Cambria Math" w:cs="Times New Roman"/>
                                <w:i/>
                                <w:sz w:val="20"/>
                                <w:szCs w:val="20"/>
                                <w:lang w:val="en-US" w:bidi="hi-IN"/>
                              </w:rPr>
                            </m:ctrlPr>
                          </m:dPr>
                          <m:e>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y</m:t>
                                </m:r>
                              </m:e>
                              <m:sub>
                                <m:r>
                                  <w:rPr>
                                    <w:rFonts w:ascii="Cambria Math" w:hAnsi="Cambria Math" w:cs="Times New Roman"/>
                                    <w:sz w:val="20"/>
                                    <w:szCs w:val="20"/>
                                  </w:rPr>
                                  <m:t>i</m:t>
                                </m:r>
                              </m:sub>
                            </m:sSub>
                          </m:e>
                        </m:d>
                      </m:e>
                    </m:nary>
                  </m:num>
                  <m:den>
                    <m:nary>
                      <m:naryPr>
                        <m:chr m:val="∑"/>
                        <m:limLoc m:val="undOvr"/>
                        <m:ctrlPr>
                          <w:rPr>
                            <w:rFonts w:ascii="Cambria Math" w:eastAsia="Calibri" w:hAnsi="Cambria Math" w:cs="Times New Roman"/>
                            <w:i/>
                            <w:sz w:val="20"/>
                            <w:szCs w:val="20"/>
                            <w:lang w:val="en-US" w:bidi="hi-IN"/>
                          </w:rPr>
                        </m:ctrlPr>
                      </m:naryPr>
                      <m:sub>
                        <m:r>
                          <w:rPr>
                            <w:rFonts w:ascii="Cambria Math" w:hAnsi="Cambria Math" w:cs="Times New Roman"/>
                            <w:sz w:val="20"/>
                            <w:szCs w:val="20"/>
                          </w:rPr>
                          <m:t>i=1</m:t>
                        </m:r>
                      </m:sub>
                      <m:sup>
                        <m:r>
                          <w:rPr>
                            <w:rFonts w:ascii="Cambria Math" w:hAnsi="Cambria Math" w:cs="Times New Roman"/>
                            <w:sz w:val="20"/>
                            <w:szCs w:val="20"/>
                          </w:rPr>
                          <m:t>n</m:t>
                        </m:r>
                      </m:sup>
                      <m:e>
                        <m:d>
                          <m:dPr>
                            <m:ctrlPr>
                              <w:rPr>
                                <w:rFonts w:ascii="Cambria Math" w:eastAsia="Calibri" w:hAnsi="Cambria Math" w:cs="Times New Roman"/>
                                <w:i/>
                                <w:sz w:val="20"/>
                                <w:szCs w:val="20"/>
                                <w:lang w:val="en-US" w:bidi="hi-IN"/>
                              </w:rPr>
                            </m:ctrlPr>
                          </m:dPr>
                          <m:e>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y</m:t>
                                </m:r>
                              </m:e>
                              <m:sub>
                                <m:r>
                                  <w:rPr>
                                    <w:rFonts w:ascii="Cambria Math" w:hAnsi="Cambria Math" w:cs="Times New Roman"/>
                                    <w:sz w:val="20"/>
                                    <w:szCs w:val="20"/>
                                  </w:rPr>
                                  <m:t>mean</m:t>
                                </m:r>
                              </m:sub>
                            </m:sSub>
                          </m:e>
                        </m:d>
                      </m:e>
                    </m:nary>
                  </m:den>
                </m:f>
              </m:oMath>
            </m:oMathPara>
          </w:p>
        </w:tc>
        <w:tc>
          <w:tcPr>
            <w:tcW w:w="7678" w:type="dxa"/>
            <w:tcBorders>
              <w:top w:val="nil"/>
              <w:left w:val="nil"/>
              <w:bottom w:val="nil"/>
              <w:right w:val="nil"/>
            </w:tcBorders>
            <w:hideMark/>
          </w:tcPr>
          <w:p w14:paraId="31ED772C"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A value that is close to 1 has a better prediction. It ranges between 0 and 1.</w:t>
            </w:r>
          </w:p>
        </w:tc>
        <w:tc>
          <w:tcPr>
            <w:tcW w:w="1599" w:type="dxa"/>
            <w:tcBorders>
              <w:top w:val="nil"/>
              <w:left w:val="nil"/>
              <w:bottom w:val="nil"/>
              <w:right w:val="nil"/>
            </w:tcBorders>
            <w:hideMark/>
          </w:tcPr>
          <w:p w14:paraId="7E01AFE4" w14:textId="77777777" w:rsidR="00231F10" w:rsidRPr="00E07B48" w:rsidRDefault="00231F10">
            <w:pPr>
              <w:spacing w:line="360" w:lineRule="auto"/>
              <w:rPr>
                <w:rFonts w:ascii="Times New Roman" w:hAnsi="Times New Roman" w:cs="Times New Roman"/>
                <w:sz w:val="20"/>
                <w:szCs w:val="20"/>
              </w:rPr>
            </w:pPr>
            <w:r w:rsidRPr="00E07B48">
              <w:rPr>
                <w:rFonts w:ascii="Times New Roman" w:hAnsi="Times New Roman" w:cs="Times New Roman"/>
                <w:sz w:val="20"/>
                <w:szCs w:val="20"/>
              </w:rPr>
              <w:fldChar w:fldCharType="begin" w:fldLock="1"/>
            </w:r>
            <w:r w:rsidRPr="00E07B48">
              <w:rPr>
                <w:rFonts w:ascii="Times New Roman" w:hAnsi="Times New Roman" w:cs="Times New Roman"/>
                <w:sz w:val="20"/>
                <w:szCs w:val="20"/>
              </w:rPr>
              <w:instrText>ADDIN CSL_CITATION {"citationItems":[{"id":"ITEM-1","itemData":{"DOI":"10.1007/s40808-019-00581-3","ISBN":"0123456789","ISSN":"23636211","abstract":"The present study has applied artificial neural network (ANN) and multiple linear regression (MLR) techniques to predict the fitness of groundwater quality for drinking from Shivganga River basin, located on the eastern slopes of the Western Ghat region of India. In view of this, thirty-four (34) representative groundwater samples have been collected and analyzed for major cations and anions during pre- and post-monsoon seasons of 2015. The physicochemical parameters such as pH, EC, TDS, TH, Ca, Mg, Na, K, Cl, HCO3, SO4, NO3 and PO4 were considered for computing water quality index (WQI). Analytical results confirmed that all the parameters are within acceptable range; however, EC, TDS, TH, Ca and Mg are exceeding the desirable limit of the WHO drinking standards. The groundwater suitability for drinking was ascertained by WQI method. The WQI value ranges from 25.75 to 129.07 and from 37.54 to 91.38 in pre- and post-monsoon seasons, respectively. Only one sample (DW5) shows 129.07 WQI value indicating poor quality for drinking due to input of domestic and agricultural waste. In the view of generating consistent and precise model for prediction of WQI-based groundwater quality, a Levenberg–Marquardt three-layer back propagation algorithm was used in ANN architecture. Further, MLR model is used to check the efficiency of ANN prediction. The results corroborated that predictions of ANN model are satisfactory and confirms consistently acceptable performance for both the seasons. The proposed ANN model may be useful in similar studies of groundwater quality prediction for drinking purpose.","author":[{"dropping-particle":"","family":"Kadam","given":"A. K.","non-dropping-particle":"","parse-names":false,"suffix":""},{"dropping-particle":"","family":"Wagh","given":"V. M.","non-dropping-particle":"","parse-names":false,"suffix":""},{"dropping-particle":"","family":"Muley","given":"A. A.","non-dropping-particle":"","parse-names":false,"suffix":""},{"dropping-particle":"","family":"Umrikar","given":"B. N.","non-dropping-particle":"","parse-names":false,"suffix":""},{"dropping-particle":"","family":"Sankhua","given":"R. N.","non-dropping-particle":"","parse-names":false,"suffix":""}],"container-title":"Modeling Earth Systems and Environment","id":"ITEM-1","issue":"3","issued":{"date-parts":[["2019"]]},"page":"951-962","publisher":"Springer International Publishing","title":"Prediction of water quality index using artificial neural network and multiple linear regression modelling approach in Shivganga River basin, India","type":"article-journal","volume":"5"},"uris":["http://www.mendeley.com/documents/?uuid=4c5149f0-6ab5-4b7b-9d61-127298080ca1"]},{"id":"ITEM-2","itemData":{"DOI":"10.1007/s13762-021-03596-5","ISBN":"0123456789","ISSN":"17352630","abstract":"Depletion of groundwater resources is nowadays being discussed as one of the most significant challenges in this field. Thus, simulation of the available groundwater resources seems necessary for taking reliable management measures for the plains. In the present study, a combination of various metaheuristic algorithms including feed-forward artificial neural network (ANN), the algorithm of innovative gunner (AIG), and black widow optimization (BWO) algorithm was employed to simulate the groundwater of the Selseleh plain located in the southwest of Iran during the period 2008–2018 on a monthly time scale. Furthermore, chicken swarm optimization (CSO) was adopted to optimize the weight coefficients. The data were divided with 70% being used for training purpose and the remaining 30% for test validation. Different statistical indices including the coefficient of determination (R2), root-mean-square error (RMSE), mean absolute error (MAE), Nash–Sutcliffe efficiency (NSE) coefficient, and percentage of bias (PBIAS) were utilized for evaluation of the efficiency of modeling. The results illustrated that all the three hybrid models had better results in combinatory patterns. Moreover, the evaluation criteria suggested that among all the applied models, the ANN-AIG model was the only one possessing all statistical indices (e.g., R2 = 0.964–0.995, RMSE = 0.273–0.71 m, MAE = 0.219–0.059 m, NSE = 0.886–0.978, and PBIAS = 0.002–0.001) in the validation stage. In a nutshell, this study suggested that among all the recommended hybrid models, ANN-AIG, ANN-BWO, and ANN-CSO reduced the simulation error compared to the standalone ANN model with (12.78–20.26)%, (10.13–17.61)%, and (9.27–1675)%, respectively.","author":[{"dropping-particle":"","family":"Dehghani","given":"R.","non-dropping-particle":"","parse-names":false,"suffix":""},{"dropping-particle":"","family":"Torabi Poudeh","given":"H.","non-dropping-particle":"","parse-names":false,"suffix":""}],"container-title":"International Journal of Environmental Science and Technology","id":"ITEM-2","issue":"5","issued":{"date-parts":[["2022"]]},"page":"4351-4368","publisher":"Springer Berlin Heidelberg","title":"Application of novel hybrid artificial intelligence algorithms to groundwater simulation","type":"article-journal","volume":"19"},"uris":["http://www.mendeley.com/documents/?uuid=03b21173-49b8-4191-8d4c-52289831639e"]}],"mendeley":{"formattedCitation":"(Kadam et al. 2019; Dehghani and Torabi Poudeh 2022)","plainTextFormattedCitation":"(Kadam et al. 2019; Dehghani and Torabi Poudeh 2022)","previouslyFormattedCitation":"(Dehghani and Torabi Poudeh, 2022; Kadam et al., 2019)"},"properties":{"noteIndex":0},"schema":"https://github.com/citation-style-language/schema/raw/master/csl-citation.json"}</w:instrText>
            </w:r>
            <w:r w:rsidRPr="00E07B48">
              <w:rPr>
                <w:rFonts w:ascii="Times New Roman" w:hAnsi="Times New Roman" w:cs="Times New Roman"/>
                <w:sz w:val="20"/>
                <w:szCs w:val="20"/>
              </w:rPr>
              <w:fldChar w:fldCharType="separate"/>
            </w:r>
            <w:r w:rsidRPr="00E07B48">
              <w:rPr>
                <w:rFonts w:ascii="Times New Roman" w:hAnsi="Times New Roman" w:cs="Times New Roman"/>
                <w:noProof/>
                <w:sz w:val="20"/>
                <w:szCs w:val="20"/>
              </w:rPr>
              <w:t>(Kadam et al. 2019; Dehghani and Torabi Poudeh 2022)</w:t>
            </w:r>
            <w:r w:rsidRPr="00E07B48">
              <w:rPr>
                <w:rFonts w:ascii="Times New Roman" w:hAnsi="Times New Roman" w:cs="Times New Roman"/>
                <w:sz w:val="20"/>
                <w:szCs w:val="20"/>
              </w:rPr>
              <w:fldChar w:fldCharType="end"/>
            </w:r>
          </w:p>
        </w:tc>
      </w:tr>
      <w:tr w:rsidR="00231F10" w:rsidRPr="00E07B48" w14:paraId="00FDD681" w14:textId="77777777" w:rsidTr="00231F10">
        <w:trPr>
          <w:gridAfter w:val="1"/>
          <w:wAfter w:w="12" w:type="dxa"/>
        </w:trPr>
        <w:tc>
          <w:tcPr>
            <w:tcW w:w="1179" w:type="dxa"/>
            <w:tcBorders>
              <w:top w:val="nil"/>
              <w:left w:val="nil"/>
              <w:bottom w:val="nil"/>
              <w:right w:val="nil"/>
            </w:tcBorders>
            <w:hideMark/>
          </w:tcPr>
          <w:p w14:paraId="3B70FB22"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AAD</w:t>
            </w:r>
          </w:p>
        </w:tc>
        <w:tc>
          <w:tcPr>
            <w:tcW w:w="2473" w:type="dxa"/>
            <w:tcBorders>
              <w:top w:val="nil"/>
              <w:left w:val="nil"/>
              <w:bottom w:val="nil"/>
              <w:right w:val="nil"/>
            </w:tcBorders>
            <w:hideMark/>
          </w:tcPr>
          <w:p w14:paraId="785F2BE7" w14:textId="77777777" w:rsidR="00231F10" w:rsidRPr="00E07B48" w:rsidRDefault="00000000">
            <w:pPr>
              <w:spacing w:line="360" w:lineRule="auto"/>
              <w:jc w:val="center"/>
              <w:rPr>
                <w:rFonts w:ascii="Times New Roman" w:hAnsi="Times New Roman" w:cs="Times New Roman"/>
                <w:sz w:val="20"/>
                <w:szCs w:val="20"/>
              </w:rPr>
            </w:pPr>
            <m:oMathPara>
              <m:oMath>
                <m:f>
                  <m:fPr>
                    <m:ctrlPr>
                      <w:rPr>
                        <w:rFonts w:ascii="Cambria Math" w:eastAsia="Calibri" w:hAnsi="Cambria Math" w:cs="Times New Roman"/>
                        <w:i/>
                        <w:sz w:val="20"/>
                        <w:szCs w:val="20"/>
                        <w:lang w:val="en-US" w:bidi="hi-IN"/>
                      </w:rPr>
                    </m:ctrlPr>
                  </m:fPr>
                  <m:num>
                    <m:nary>
                      <m:naryPr>
                        <m:chr m:val="∑"/>
                        <m:limLoc m:val="undOvr"/>
                        <m:ctrlPr>
                          <w:rPr>
                            <w:rFonts w:ascii="Cambria Math" w:eastAsia="Calibri" w:hAnsi="Cambria Math" w:cs="Times New Roman"/>
                            <w:i/>
                            <w:sz w:val="20"/>
                            <w:szCs w:val="20"/>
                            <w:lang w:val="en-US" w:bidi="hi-IN"/>
                          </w:rPr>
                        </m:ctrlPr>
                      </m:naryPr>
                      <m:sub>
                        <m:r>
                          <w:rPr>
                            <w:rFonts w:ascii="Cambria Math" w:hAnsi="Cambria Math" w:cs="Times New Roman"/>
                            <w:sz w:val="20"/>
                            <w:szCs w:val="20"/>
                          </w:rPr>
                          <m:t>i=1</m:t>
                        </m:r>
                      </m:sub>
                      <m:sup>
                        <m:r>
                          <w:rPr>
                            <w:rFonts w:ascii="Cambria Math" w:hAnsi="Cambria Math" w:cs="Times New Roman"/>
                            <w:sz w:val="20"/>
                            <w:szCs w:val="20"/>
                          </w:rPr>
                          <m:t>n</m:t>
                        </m:r>
                      </m:sup>
                      <m:e>
                        <m:d>
                          <m:dPr>
                            <m:ctrlPr>
                              <w:rPr>
                                <w:rFonts w:ascii="Cambria Math" w:eastAsia="Calibri" w:hAnsi="Cambria Math" w:cs="Times New Roman"/>
                                <w:i/>
                                <w:sz w:val="20"/>
                                <w:szCs w:val="20"/>
                                <w:lang w:val="en-US" w:bidi="hi-IN"/>
                              </w:rPr>
                            </m:ctrlPr>
                          </m:dPr>
                          <m:e>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x</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x</m:t>
                                </m:r>
                              </m:e>
                              <m:sub>
                                <m:r>
                                  <w:rPr>
                                    <w:rFonts w:ascii="Cambria Math" w:hAnsi="Cambria Math" w:cs="Times New Roman"/>
                                    <w:sz w:val="20"/>
                                    <w:szCs w:val="20"/>
                                  </w:rPr>
                                  <m:t>mean</m:t>
                                </m:r>
                              </m:sub>
                            </m:sSub>
                          </m:e>
                        </m:d>
                      </m:e>
                    </m:nary>
                  </m:num>
                  <m:den>
                    <m:r>
                      <w:rPr>
                        <w:rFonts w:ascii="Cambria Math" w:hAnsi="Cambria Math" w:cs="Times New Roman"/>
                        <w:sz w:val="20"/>
                        <w:szCs w:val="20"/>
                      </w:rPr>
                      <m:t>n</m:t>
                    </m:r>
                  </m:den>
                </m:f>
              </m:oMath>
            </m:oMathPara>
          </w:p>
        </w:tc>
        <w:tc>
          <w:tcPr>
            <w:tcW w:w="7678" w:type="dxa"/>
            <w:tcBorders>
              <w:top w:val="nil"/>
              <w:left w:val="nil"/>
              <w:bottom w:val="nil"/>
              <w:right w:val="nil"/>
            </w:tcBorders>
            <w:hideMark/>
          </w:tcPr>
          <w:p w14:paraId="762433FA"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Greater values indicate a greater variation of the data points from the mean. So, when value is little, the best fit will be attained.</w:t>
            </w:r>
          </w:p>
        </w:tc>
        <w:tc>
          <w:tcPr>
            <w:tcW w:w="1599" w:type="dxa"/>
            <w:tcBorders>
              <w:top w:val="nil"/>
              <w:left w:val="nil"/>
              <w:bottom w:val="nil"/>
              <w:right w:val="nil"/>
            </w:tcBorders>
            <w:hideMark/>
          </w:tcPr>
          <w:p w14:paraId="65EAEFC9" w14:textId="77777777" w:rsidR="00231F10" w:rsidRPr="00E07B48" w:rsidRDefault="00231F10">
            <w:pPr>
              <w:spacing w:line="360" w:lineRule="auto"/>
              <w:rPr>
                <w:rFonts w:ascii="Times New Roman" w:hAnsi="Times New Roman" w:cs="Times New Roman"/>
                <w:b/>
                <w:sz w:val="20"/>
                <w:szCs w:val="20"/>
              </w:rPr>
            </w:pPr>
            <w:r w:rsidRPr="00E07B48">
              <w:rPr>
                <w:rFonts w:ascii="Times New Roman" w:hAnsi="Times New Roman" w:cs="Times New Roman"/>
                <w:color w:val="000000"/>
                <w:sz w:val="20"/>
                <w:szCs w:val="20"/>
                <w:shd w:val="clear" w:color="auto" w:fill="FFFFFF"/>
              </w:rPr>
              <w:fldChar w:fldCharType="begin" w:fldLock="1"/>
            </w:r>
            <w:r w:rsidRPr="00E07B48">
              <w:rPr>
                <w:rFonts w:ascii="Times New Roman" w:hAnsi="Times New Roman" w:cs="Times New Roman"/>
                <w:color w:val="000000"/>
                <w:sz w:val="20"/>
                <w:szCs w:val="20"/>
                <w:shd w:val="clear" w:color="auto" w:fill="FFFFFF"/>
              </w:rPr>
              <w:instrText>ADDIN CSL_CITATION {"citationItems":[{"id":"ITEM-1","itemData":{"DOI":"10.1080/10106049.2022.2037729","ISSN":"10106049","abstract":"In this work, a new parameter of fracture media is introduced to the conventional DRASTIC model to establish a new model for the fractured aquifer vulnerability mapping. Therefore, Artificial Intelligence technique (AI) is employed to reduce potential uncertainties using unsupervised Multi-Frameworks Technique (MFT) (Standard DRASTIC-Fr Framework (SDF) and Fuzzy Membership Framework (FMF)) and supervised learning based on Multi-Models Approach (MMA) (Genetic Algorithm (GA) and Genetic Expression Programming (GEP)). This novel framework comprises two stages; Stage 1 building of two frameworks MFT and models MMA; Stage 2 developing four frameworks including MFT/MMA combination based on Support Vector Machine algorithm. The proposed framework is tested with the fractured aquifer of the Meknassy area (central Tunisia), where the rapid expansive agricultural habits have been converted into excessive usage of fertilizers. Outputs demonstrate that the vulnerability in the study area is very low VL = 31%, low L = 21.5%, moderate M = 22.9%, high H = 15% and very high VH = 9.6%.","author":[{"dropping-particle":"","family":"Msaddek","given":"Mohamed Haythem","non-dropping-particle":"","parse-names":false,"suffix":""},{"dropping-particle":"","family":"Moumni","given":"Yahya","non-dropping-particle":"","parse-names":false,"suffix":""},{"dropping-particle":"","family":"Ayari","given":"Alaeddine","non-dropping-particle":"","parse-names":false,"suffix":""},{"dropping-particle":"","family":"May","given":"Moufida","non-dropping-particle":"El","parse-names":false,"suffix":""},{"dropping-particle":"","family":"Chenini","given":"Ismail","non-dropping-particle":"","parse-names":false,"suffix":""}],"container-title":"Geocarto International","id":"ITEM-1","issue":"25","issued":{"date-parts":[["2022"]]},"page":"10480-10510","publisher":"Taylor &amp; Francis","title":"Artificial intelligence modelling framework for mapping groundwater vulnerability of fractured aquifer","type":"article-journal","volume":"37"},"uris":["http://www.mendeley.com/documents/?uuid=3e342d6a-7f71-4d73-bce0-a1c0037882e5"]}],"mendeley":{"formattedCitation":"(Msaddek et al. 2022)","plainTextFormattedCitation":"(Msaddek et al. 2022)","previouslyFormattedCitation":"(Msaddek et al., 2022)"},"properties":{"noteIndex":0},"schema":"https://github.com/citation-style-language/schema/raw/master/csl-citation.json"}</w:instrText>
            </w:r>
            <w:r w:rsidRPr="00E07B48">
              <w:rPr>
                <w:rFonts w:ascii="Times New Roman" w:hAnsi="Times New Roman" w:cs="Times New Roman"/>
                <w:color w:val="000000"/>
                <w:sz w:val="20"/>
                <w:szCs w:val="20"/>
                <w:shd w:val="clear" w:color="auto" w:fill="FFFFFF"/>
              </w:rPr>
              <w:fldChar w:fldCharType="separate"/>
            </w:r>
            <w:r w:rsidRPr="00E07B48">
              <w:rPr>
                <w:rFonts w:ascii="Times New Roman" w:hAnsi="Times New Roman" w:cs="Times New Roman"/>
                <w:noProof/>
                <w:color w:val="000000"/>
                <w:sz w:val="20"/>
                <w:szCs w:val="20"/>
                <w:shd w:val="clear" w:color="auto" w:fill="FFFFFF"/>
              </w:rPr>
              <w:t>(Msaddek et al. 2022)</w:t>
            </w:r>
            <w:r w:rsidRPr="00E07B48">
              <w:rPr>
                <w:rFonts w:ascii="Times New Roman" w:hAnsi="Times New Roman" w:cs="Times New Roman"/>
                <w:color w:val="000000"/>
                <w:sz w:val="20"/>
                <w:szCs w:val="20"/>
                <w:shd w:val="clear" w:color="auto" w:fill="FFFFFF"/>
              </w:rPr>
              <w:fldChar w:fldCharType="end"/>
            </w:r>
            <w:r w:rsidRPr="00E07B48">
              <w:rPr>
                <w:rFonts w:ascii="Times New Roman" w:hAnsi="Times New Roman" w:cs="Times New Roman"/>
                <w:b/>
                <w:sz w:val="20"/>
                <w:szCs w:val="20"/>
              </w:rPr>
              <w:t xml:space="preserve"> </w:t>
            </w:r>
          </w:p>
        </w:tc>
      </w:tr>
      <w:tr w:rsidR="00231F10" w:rsidRPr="00E07B48" w14:paraId="5D80DAA5" w14:textId="77777777" w:rsidTr="00231F10">
        <w:trPr>
          <w:gridAfter w:val="1"/>
          <w:wAfter w:w="12" w:type="dxa"/>
        </w:trPr>
        <w:tc>
          <w:tcPr>
            <w:tcW w:w="1179" w:type="dxa"/>
            <w:tcBorders>
              <w:top w:val="nil"/>
              <w:left w:val="nil"/>
              <w:bottom w:val="nil"/>
              <w:right w:val="nil"/>
            </w:tcBorders>
            <w:hideMark/>
          </w:tcPr>
          <w:p w14:paraId="251AB63B"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Adjusted R2</w:t>
            </w:r>
          </w:p>
        </w:tc>
        <w:tc>
          <w:tcPr>
            <w:tcW w:w="2473" w:type="dxa"/>
            <w:tcBorders>
              <w:top w:val="nil"/>
              <w:left w:val="nil"/>
              <w:bottom w:val="nil"/>
              <w:right w:val="nil"/>
            </w:tcBorders>
            <w:hideMark/>
          </w:tcPr>
          <w:p w14:paraId="0CCDC516" w14:textId="77777777" w:rsidR="00231F10" w:rsidRPr="00E07B48" w:rsidRDefault="00000000">
            <w:pPr>
              <w:spacing w:line="360" w:lineRule="auto"/>
              <w:jc w:val="center"/>
              <w:rPr>
                <w:rFonts w:ascii="Times New Roman" w:hAnsi="Times New Roman" w:cs="Times New Roman"/>
                <w:sz w:val="20"/>
                <w:szCs w:val="20"/>
              </w:rPr>
            </w:pPr>
            <m:oMathPara>
              <m:oMath>
                <m:f>
                  <m:fPr>
                    <m:ctrlPr>
                      <w:rPr>
                        <w:rFonts w:ascii="Cambria Math" w:eastAsia="Calibri" w:hAnsi="Cambria Math" w:cs="Times New Roman"/>
                        <w:i/>
                        <w:sz w:val="20"/>
                        <w:szCs w:val="20"/>
                        <w:lang w:val="en-US" w:bidi="hi-IN"/>
                      </w:rPr>
                    </m:ctrlPr>
                  </m:fPr>
                  <m:num>
                    <m:d>
                      <m:dPr>
                        <m:ctrlPr>
                          <w:rPr>
                            <w:rFonts w:ascii="Cambria Math" w:eastAsia="Calibri" w:hAnsi="Cambria Math" w:cs="Times New Roman"/>
                            <w:i/>
                            <w:sz w:val="20"/>
                            <w:szCs w:val="20"/>
                            <w:lang w:val="en-US" w:bidi="hi-IN"/>
                          </w:rPr>
                        </m:ctrlPr>
                      </m:dPr>
                      <m:e>
                        <m:r>
                          <w:rPr>
                            <w:rFonts w:ascii="Cambria Math" w:hAnsi="Cambria Math" w:cs="Times New Roman"/>
                            <w:sz w:val="20"/>
                            <w:szCs w:val="20"/>
                          </w:rPr>
                          <m:t>1-</m:t>
                        </m:r>
                        <m:sSup>
                          <m:sSupPr>
                            <m:ctrlPr>
                              <w:rPr>
                                <w:rFonts w:ascii="Cambria Math" w:eastAsia="Calibri" w:hAnsi="Cambria Math" w:cs="Times New Roman"/>
                                <w:i/>
                                <w:sz w:val="20"/>
                                <w:szCs w:val="20"/>
                                <w:lang w:val="en-US" w:bidi="hi-IN"/>
                              </w:rPr>
                            </m:ctrlPr>
                          </m:sSupPr>
                          <m:e>
                            <m:r>
                              <w:rPr>
                                <w:rFonts w:ascii="Cambria Math" w:hAnsi="Cambria Math" w:cs="Times New Roman"/>
                                <w:sz w:val="20"/>
                                <w:szCs w:val="20"/>
                              </w:rPr>
                              <m:t>R</m:t>
                            </m:r>
                          </m:e>
                          <m:sup>
                            <m:r>
                              <w:rPr>
                                <w:rFonts w:ascii="Cambria Math" w:hAnsi="Cambria Math" w:cs="Times New Roman"/>
                                <w:sz w:val="20"/>
                                <w:szCs w:val="20"/>
                              </w:rPr>
                              <m:t>2</m:t>
                            </m:r>
                          </m:sup>
                        </m:sSup>
                      </m:e>
                    </m:d>
                    <m:r>
                      <w:rPr>
                        <w:rFonts w:ascii="Cambria Math" w:hAnsi="Cambria Math" w:cs="Times New Roman"/>
                        <w:sz w:val="20"/>
                        <w:szCs w:val="20"/>
                      </w:rPr>
                      <m:t>x</m:t>
                    </m:r>
                    <m:d>
                      <m:dPr>
                        <m:ctrlPr>
                          <w:rPr>
                            <w:rFonts w:ascii="Cambria Math" w:eastAsia="Calibri" w:hAnsi="Cambria Math" w:cs="Times New Roman"/>
                            <w:i/>
                            <w:sz w:val="20"/>
                            <w:szCs w:val="20"/>
                            <w:lang w:val="en-US" w:bidi="hi-IN"/>
                          </w:rPr>
                        </m:ctrlPr>
                      </m:dPr>
                      <m:e>
                        <m:r>
                          <w:rPr>
                            <w:rFonts w:ascii="Cambria Math" w:hAnsi="Cambria Math" w:cs="Times New Roman"/>
                            <w:sz w:val="20"/>
                            <w:szCs w:val="20"/>
                          </w:rPr>
                          <m:t>n-1</m:t>
                        </m:r>
                      </m:e>
                    </m:d>
                  </m:num>
                  <m:den>
                    <m:d>
                      <m:dPr>
                        <m:ctrlPr>
                          <w:rPr>
                            <w:rFonts w:ascii="Cambria Math" w:eastAsia="Calibri" w:hAnsi="Cambria Math" w:cs="Times New Roman"/>
                            <w:i/>
                            <w:sz w:val="20"/>
                            <w:szCs w:val="20"/>
                            <w:lang w:val="en-US" w:bidi="hi-IN"/>
                          </w:rPr>
                        </m:ctrlPr>
                      </m:dPr>
                      <m:e>
                        <m:r>
                          <w:rPr>
                            <w:rFonts w:ascii="Cambria Math" w:hAnsi="Cambria Math" w:cs="Times New Roman"/>
                            <w:sz w:val="20"/>
                            <w:szCs w:val="20"/>
                          </w:rPr>
                          <m:t>n-k-1</m:t>
                        </m:r>
                      </m:e>
                    </m:d>
                  </m:den>
                </m:f>
              </m:oMath>
            </m:oMathPara>
          </w:p>
        </w:tc>
        <w:tc>
          <w:tcPr>
            <w:tcW w:w="7678" w:type="dxa"/>
            <w:tcBorders>
              <w:top w:val="nil"/>
              <w:left w:val="nil"/>
              <w:bottom w:val="nil"/>
              <w:right w:val="nil"/>
            </w:tcBorders>
            <w:hideMark/>
          </w:tcPr>
          <w:p w14:paraId="4D0E9F31"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Better prediction is made when the value is close to 1. It ranges between 0 and 1.</w:t>
            </w:r>
          </w:p>
        </w:tc>
        <w:tc>
          <w:tcPr>
            <w:tcW w:w="1599" w:type="dxa"/>
            <w:tcBorders>
              <w:top w:val="nil"/>
              <w:left w:val="nil"/>
              <w:bottom w:val="nil"/>
              <w:right w:val="nil"/>
            </w:tcBorders>
            <w:hideMark/>
          </w:tcPr>
          <w:p w14:paraId="44FDF3DA" w14:textId="77777777" w:rsidR="00231F10" w:rsidRPr="00E07B48" w:rsidRDefault="00231F10">
            <w:pPr>
              <w:spacing w:line="360" w:lineRule="auto"/>
              <w:rPr>
                <w:rFonts w:ascii="Times New Roman" w:hAnsi="Times New Roman" w:cs="Times New Roman"/>
                <w:b/>
                <w:sz w:val="20"/>
                <w:szCs w:val="20"/>
              </w:rPr>
            </w:pPr>
            <w:r w:rsidRPr="00E07B48">
              <w:rPr>
                <w:rFonts w:ascii="Times New Roman" w:hAnsi="Times New Roman" w:cs="Times New Roman"/>
                <w:color w:val="222222"/>
                <w:sz w:val="20"/>
                <w:szCs w:val="20"/>
                <w:shd w:val="clear" w:color="auto" w:fill="FFFFFF"/>
              </w:rPr>
              <w:fldChar w:fldCharType="begin" w:fldLock="1"/>
            </w:r>
            <w:r w:rsidRPr="00E07B48">
              <w:rPr>
                <w:rFonts w:ascii="Times New Roman" w:hAnsi="Times New Roman" w:cs="Times New Roman"/>
                <w:color w:val="222222"/>
                <w:sz w:val="20"/>
                <w:szCs w:val="20"/>
                <w:shd w:val="clear" w:color="auto" w:fill="FFFFFF"/>
              </w:rPr>
              <w:instrText>ADDIN CSL_CITATION {"citationItems":[{"id":"ITEM-1","itemData":{"DOI":"10.1007/s13762-021-03596-5","ISBN":"0123456789","ISSN":"17352630","abstract":"Depletion of groundwater resources is nowadays being discussed as one of the most significant challenges in this field. Thus, simulation of the available groundwater resources seems necessary for taking reliable management measures for the plains. In the present study, a combination of various metaheuristic algorithms including feed-forward artificial neural network (ANN), the algorithm of innovative gunner (AIG), and black widow optimization (BWO) algorithm was employed to simulate the groundwater of the Selseleh plain located in the southwest of Iran during the period 2008–2018 on a monthly time scale. Furthermore, chicken swarm optimization (CSO) was adopted to optimize the weight coefficients. The data were divided with 70% being used for training purpose and the remaining 30% for test validation. Different statistical indices including the coefficient of determination (R2), root-mean-square error (RMSE), mean absolute error (MAE), Nash–Sutcliffe efficiency (NSE) coefficient, and percentage of bias (PBIAS) were utilized for evaluation of the efficiency of modeling. The results illustrated that all the three hybrid models had better results in combinatory patterns. Moreover, the evaluation criteria suggested that among all the applied models, the ANN-AIG model was the only one possessing all statistical indices (e.g., R2 = 0.964–0.995, RMSE = 0.273–0.71 m, MAE = 0.219–0.059 m, NSE = 0.886–0.978, and PBIAS = 0.002–0.001) in the validation stage. In a nutshell, this study suggested that among all the recommended hybrid models, ANN-AIG, ANN-BWO, and ANN-CSO reduced the simulation error compared to the standalone ANN model with (12.78–20.26)%, (10.13–17.61)%, and (9.27–1675)%, respectively.","author":[{"dropping-particle":"","family":"Dehghani","given":"R.","non-dropping-particle":"","parse-names":false,"suffix":""},{"dropping-particle":"","family":"Torabi Poudeh","given":"H.","non-dropping-particle":"","parse-names":false,"suffix":""}],"container-title":"International Journal of Environmental Science and Technology","id":"ITEM-1","issue":"5","issued":{"date-parts":[["2022"]]},"page":"4351-4368","publisher":"Springer Berlin Heidelberg","title":"Application of novel hybrid artificial intelligence algorithms to groundwater simulation","type":"article-journal","volume":"19"},"uris":["http://www.mendeley.com/documents/?uuid=03b21173-49b8-4191-8d4c-52289831639e"]}],"mendeley":{"formattedCitation":"(Dehghani and Torabi Poudeh 2022)","plainTextFormattedCitation":"(Dehghani and Torabi Poudeh 2022)","previouslyFormattedCitation":"(Dehghani and Torabi Poudeh, 2022)"},"properties":{"noteIndex":0},"schema":"https://github.com/citation-style-language/schema/raw/master/csl-citation.json"}</w:instrText>
            </w:r>
            <w:r w:rsidRPr="00E07B48">
              <w:rPr>
                <w:rFonts w:ascii="Times New Roman" w:hAnsi="Times New Roman" w:cs="Times New Roman"/>
                <w:color w:val="222222"/>
                <w:sz w:val="20"/>
                <w:szCs w:val="20"/>
                <w:shd w:val="clear" w:color="auto" w:fill="FFFFFF"/>
              </w:rPr>
              <w:fldChar w:fldCharType="separate"/>
            </w:r>
            <w:r w:rsidRPr="00E07B48">
              <w:rPr>
                <w:rFonts w:ascii="Times New Roman" w:hAnsi="Times New Roman" w:cs="Times New Roman"/>
                <w:noProof/>
                <w:color w:val="222222"/>
                <w:sz w:val="20"/>
                <w:szCs w:val="20"/>
                <w:shd w:val="clear" w:color="auto" w:fill="FFFFFF"/>
              </w:rPr>
              <w:t>(Dehghani and Torabi Poudeh 2022)</w:t>
            </w:r>
            <w:r w:rsidRPr="00E07B48">
              <w:rPr>
                <w:rFonts w:ascii="Times New Roman" w:hAnsi="Times New Roman" w:cs="Times New Roman"/>
                <w:color w:val="222222"/>
                <w:sz w:val="20"/>
                <w:szCs w:val="20"/>
                <w:shd w:val="clear" w:color="auto" w:fill="FFFFFF"/>
              </w:rPr>
              <w:fldChar w:fldCharType="end"/>
            </w:r>
            <w:r w:rsidRPr="00E07B48">
              <w:rPr>
                <w:rFonts w:ascii="Times New Roman" w:hAnsi="Times New Roman" w:cs="Times New Roman"/>
                <w:b/>
                <w:sz w:val="20"/>
                <w:szCs w:val="20"/>
              </w:rPr>
              <w:t xml:space="preserve"> </w:t>
            </w:r>
          </w:p>
        </w:tc>
      </w:tr>
      <w:tr w:rsidR="00231F10" w:rsidRPr="00E07B48" w14:paraId="20726C18" w14:textId="77777777" w:rsidTr="00231F10">
        <w:trPr>
          <w:gridAfter w:val="1"/>
          <w:wAfter w:w="12" w:type="dxa"/>
        </w:trPr>
        <w:tc>
          <w:tcPr>
            <w:tcW w:w="1179" w:type="dxa"/>
            <w:tcBorders>
              <w:top w:val="nil"/>
              <w:left w:val="nil"/>
              <w:bottom w:val="nil"/>
              <w:right w:val="nil"/>
            </w:tcBorders>
            <w:hideMark/>
          </w:tcPr>
          <w:p w14:paraId="3350CDB9"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NRMSE</w:t>
            </w:r>
          </w:p>
        </w:tc>
        <w:tc>
          <w:tcPr>
            <w:tcW w:w="2473" w:type="dxa"/>
            <w:tcBorders>
              <w:top w:val="nil"/>
              <w:left w:val="nil"/>
              <w:bottom w:val="nil"/>
              <w:right w:val="nil"/>
            </w:tcBorders>
            <w:hideMark/>
          </w:tcPr>
          <w:p w14:paraId="3DF10D9F" w14:textId="77777777" w:rsidR="00231F10" w:rsidRPr="00E07B48" w:rsidRDefault="00000000">
            <w:pPr>
              <w:spacing w:line="360" w:lineRule="auto"/>
              <w:jc w:val="center"/>
              <w:rPr>
                <w:rFonts w:ascii="Times New Roman" w:hAnsi="Times New Roman" w:cs="Times New Roman"/>
                <w:sz w:val="20"/>
                <w:szCs w:val="20"/>
              </w:rPr>
            </w:pPr>
            <m:oMathPara>
              <m:oMath>
                <m:f>
                  <m:fPr>
                    <m:ctrlPr>
                      <w:rPr>
                        <w:rFonts w:ascii="Cambria Math" w:eastAsia="Calibri" w:hAnsi="Cambria Math" w:cs="Times New Roman"/>
                        <w:i/>
                        <w:sz w:val="20"/>
                        <w:szCs w:val="20"/>
                        <w:lang w:val="en-US" w:bidi="hi-IN"/>
                      </w:rPr>
                    </m:ctrlPr>
                  </m:fPr>
                  <m:num>
                    <m:nary>
                      <m:naryPr>
                        <m:chr m:val="∑"/>
                        <m:limLoc m:val="undOvr"/>
                        <m:ctrlPr>
                          <w:rPr>
                            <w:rFonts w:ascii="Cambria Math" w:eastAsia="Calibri" w:hAnsi="Cambria Math" w:cs="Times New Roman"/>
                            <w:i/>
                            <w:sz w:val="20"/>
                            <w:szCs w:val="20"/>
                            <w:lang w:val="en-US" w:bidi="hi-IN"/>
                          </w:rPr>
                        </m:ctrlPr>
                      </m:naryPr>
                      <m:sub>
                        <m:r>
                          <w:rPr>
                            <w:rFonts w:ascii="Cambria Math" w:hAnsi="Cambria Math" w:cs="Times New Roman"/>
                            <w:sz w:val="20"/>
                            <w:szCs w:val="20"/>
                          </w:rPr>
                          <m:t>i=1</m:t>
                        </m:r>
                      </m:sub>
                      <m:sup>
                        <m:r>
                          <w:rPr>
                            <w:rFonts w:ascii="Cambria Math" w:hAnsi="Cambria Math" w:cs="Times New Roman"/>
                            <w:sz w:val="20"/>
                            <w:szCs w:val="20"/>
                          </w:rPr>
                          <m:t>n</m:t>
                        </m:r>
                      </m:sup>
                      <m:e>
                        <m:sSup>
                          <m:sSupPr>
                            <m:ctrlPr>
                              <w:rPr>
                                <w:rFonts w:ascii="Cambria Math" w:eastAsia="Calibri" w:hAnsi="Cambria Math" w:cs="Times New Roman"/>
                                <w:i/>
                                <w:sz w:val="20"/>
                                <w:szCs w:val="20"/>
                                <w:lang w:val="en-US" w:bidi="hi-IN"/>
                              </w:rPr>
                            </m:ctrlPr>
                          </m:sSupPr>
                          <m:e>
                            <m:d>
                              <m:dPr>
                                <m:ctrlPr>
                                  <w:rPr>
                                    <w:rFonts w:ascii="Cambria Math" w:eastAsia="Calibri" w:hAnsi="Cambria Math" w:cs="Times New Roman"/>
                                    <w:i/>
                                    <w:sz w:val="20"/>
                                    <w:szCs w:val="20"/>
                                    <w:lang w:val="en-US" w:bidi="hi-IN"/>
                                  </w:rPr>
                                </m:ctrlPr>
                              </m:dPr>
                              <m:e>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y</m:t>
                                    </m:r>
                                  </m:e>
                                  <m:sub>
                                    <m:r>
                                      <w:rPr>
                                        <w:rFonts w:ascii="Cambria Math" w:hAnsi="Cambria Math" w:cs="Times New Roman"/>
                                        <w:sz w:val="20"/>
                                        <w:szCs w:val="20"/>
                                      </w:rPr>
                                      <m:t>i</m:t>
                                    </m:r>
                                  </m:sub>
                                </m:sSub>
                              </m:e>
                            </m:d>
                          </m:e>
                          <m:sup>
                            <m:r>
                              <w:rPr>
                                <w:rFonts w:ascii="Cambria Math" w:hAnsi="Cambria Math" w:cs="Times New Roman"/>
                                <w:sz w:val="20"/>
                                <w:szCs w:val="20"/>
                              </w:rPr>
                              <m:t>2</m:t>
                            </m:r>
                          </m:sup>
                        </m:sSup>
                      </m:e>
                    </m:nary>
                  </m:num>
                  <m:den>
                    <m:nary>
                      <m:naryPr>
                        <m:chr m:val="∑"/>
                        <m:limLoc m:val="undOvr"/>
                        <m:ctrlPr>
                          <w:rPr>
                            <w:rFonts w:ascii="Cambria Math" w:eastAsia="Calibri" w:hAnsi="Cambria Math" w:cs="Times New Roman"/>
                            <w:i/>
                            <w:sz w:val="20"/>
                            <w:szCs w:val="20"/>
                            <w:lang w:val="en-US" w:bidi="hi-IN"/>
                          </w:rPr>
                        </m:ctrlPr>
                      </m:naryPr>
                      <m:sub>
                        <m:r>
                          <w:rPr>
                            <w:rFonts w:ascii="Cambria Math" w:hAnsi="Cambria Math" w:cs="Times New Roman"/>
                            <w:sz w:val="20"/>
                            <w:szCs w:val="20"/>
                          </w:rPr>
                          <m:t>i=1</m:t>
                        </m:r>
                      </m:sub>
                      <m:sup>
                        <m:r>
                          <w:rPr>
                            <w:rFonts w:ascii="Cambria Math" w:hAnsi="Cambria Math" w:cs="Times New Roman"/>
                            <w:sz w:val="20"/>
                            <w:szCs w:val="20"/>
                          </w:rPr>
                          <m:t>n</m:t>
                        </m:r>
                      </m:sup>
                      <m:e>
                        <m:sSup>
                          <m:sSupPr>
                            <m:ctrlPr>
                              <w:rPr>
                                <w:rFonts w:ascii="Cambria Math" w:eastAsia="Calibri" w:hAnsi="Cambria Math" w:cs="Times New Roman"/>
                                <w:i/>
                                <w:sz w:val="20"/>
                                <w:szCs w:val="20"/>
                                <w:lang w:val="en-US" w:bidi="hi-IN"/>
                              </w:rPr>
                            </m:ctrlPr>
                          </m:sSupPr>
                          <m:e>
                            <m:r>
                              <w:rPr>
                                <w:rFonts w:ascii="Cambria Math" w:hAnsi="Cambria Math" w:cs="Times New Roman"/>
                                <w:sz w:val="20"/>
                                <w:szCs w:val="20"/>
                              </w:rPr>
                              <m:t>y</m:t>
                            </m:r>
                          </m:e>
                          <m:sup>
                            <m:r>
                              <w:rPr>
                                <w:rFonts w:ascii="Cambria Math" w:hAnsi="Cambria Math" w:cs="Times New Roman"/>
                                <w:sz w:val="20"/>
                                <w:szCs w:val="20"/>
                              </w:rPr>
                              <m:t>2</m:t>
                            </m:r>
                          </m:sup>
                        </m:sSup>
                      </m:e>
                    </m:nary>
                  </m:den>
                </m:f>
              </m:oMath>
            </m:oMathPara>
          </w:p>
        </w:tc>
        <w:tc>
          <w:tcPr>
            <w:tcW w:w="7678" w:type="dxa"/>
            <w:tcBorders>
              <w:top w:val="nil"/>
              <w:left w:val="nil"/>
              <w:bottom w:val="nil"/>
              <w:right w:val="nil"/>
            </w:tcBorders>
            <w:hideMark/>
          </w:tcPr>
          <w:p w14:paraId="63A45750" w14:textId="77777777" w:rsidR="00231F10" w:rsidRPr="00E07B48" w:rsidRDefault="00231F10">
            <w:pPr>
              <w:spacing w:line="360" w:lineRule="auto"/>
              <w:jc w:val="center"/>
              <w:rPr>
                <w:rFonts w:ascii="Times New Roman" w:hAnsi="Times New Roman" w:cs="Times New Roman"/>
                <w:sz w:val="20"/>
                <w:szCs w:val="20"/>
              </w:rPr>
            </w:pPr>
            <w:r w:rsidRPr="00E07B48">
              <w:rPr>
                <w:rFonts w:ascii="Times New Roman" w:hAnsi="Times New Roman" w:cs="Times New Roman"/>
                <w:sz w:val="20"/>
                <w:szCs w:val="20"/>
              </w:rPr>
              <w:t>A model's ability to "fit" a dataset improves with decreasing RMSE</w:t>
            </w:r>
          </w:p>
        </w:tc>
        <w:tc>
          <w:tcPr>
            <w:tcW w:w="1599" w:type="dxa"/>
            <w:tcBorders>
              <w:top w:val="nil"/>
              <w:left w:val="nil"/>
              <w:bottom w:val="nil"/>
              <w:right w:val="nil"/>
            </w:tcBorders>
            <w:hideMark/>
          </w:tcPr>
          <w:p w14:paraId="32B68E00" w14:textId="77777777" w:rsidR="00231F10" w:rsidRPr="00E07B48" w:rsidRDefault="00231F10">
            <w:pPr>
              <w:spacing w:line="360" w:lineRule="auto"/>
              <w:rPr>
                <w:rFonts w:ascii="Times New Roman" w:hAnsi="Times New Roman" w:cs="Times New Roman"/>
                <w:sz w:val="20"/>
                <w:szCs w:val="20"/>
              </w:rPr>
            </w:pPr>
            <w:r w:rsidRPr="00E07B48">
              <w:rPr>
                <w:rFonts w:ascii="Times New Roman" w:hAnsi="Times New Roman" w:cs="Times New Roman"/>
                <w:sz w:val="20"/>
                <w:szCs w:val="20"/>
              </w:rPr>
              <w:fldChar w:fldCharType="begin" w:fldLock="1"/>
            </w:r>
            <w:r w:rsidRPr="00E07B48">
              <w:rPr>
                <w:rFonts w:ascii="Times New Roman" w:hAnsi="Times New Roman" w:cs="Times New Roman"/>
                <w:sz w:val="20"/>
                <w:szCs w:val="20"/>
              </w:rPr>
              <w:instrText>ADDIN CSL_CITATION {"citationItems":[{"id":"ITEM-1","itemData":{"DOI":"10.1016/j.chemosphere.2021.130265","ISSN":"18791298","PMID":"34088106","abstract":"To ensure safe drinking water sources in the future, it is imperative to understand the quality and pollution level of existing groundwater. The prediction of water quality with high accuracy is the key to control water pollution and the improvement of water management. In this study, a deep learning (DL) based model is proposed for predicting groundwater quality and compared with three other machine learning (ML) models, namely, random forest (RF), eXtreme gradient boosting (XGBoost), and artificial neural network (ANN). A total of 226 groundwater samples are collected from an agriculturally intensive area Arang of Raipur district, Chhattisgarh, India, and various physicochemical parameters are measured to compute entropy weight-based groundwater quality index (EWQI). Prediction performances of models are determined by introducing five error metrics. Results showed that DL model is the best prediction model with the highest accuracy in terms of R2, i.e., R2 = 0996 against the RF (R2 = 0.886), XGBoost (R2 = 0.0.927), and ANN (R2 = 0.917). The uncertainty of the DL model output is cross-verified by running the proposed algorithm with newly randomized dataset for ten times, where minor deviations in the mean value of performance metrics are observed. Moreover, input variable importance computed by prediction models highlights that DL model is the most realistic and accurate approach in the prediction of groundwater quality.","author":[{"dropping-particle":"","family":"Singha","given":"Sudhakar","non-dropping-particle":"","parse-names":false,"suffix":""},{"dropping-particle":"","family":"Pasupuleti","given":"Srinivas","non-dropping-particle":"","parse-names":false,"suffix":""},{"dropping-particle":"","family":"Singha","given":"Soumya S.","non-dropping-particle":"","parse-names":false,"suffix":""},{"dropping-particle":"","family":"Singh","given":"Rambabu","non-dropping-particle":"","parse-names":false,"suffix":""},{"dropping-particle":"","family":"Kumar","given":"Suresh","non-dropping-particle":"","parse-names":false,"suffix":""}],"container-title":"Chemosphere","id":"ITEM-1","issued":{"date-parts":[["2021"]]},"page":"130265","publisher":"Elsevier Ltd","title":"Prediction of groundwater quality using efficient machine learning technique","type":"article-journal","volume":"276"},"uris":["http://www.mendeley.com/documents/?uuid=f06e6db9-b4d9-4624-976b-133d869ed719"]}],"mendeley":{"formattedCitation":"(Singha et al. 2021)","plainTextFormattedCitation":"(Singha et al. 2021)","previouslyFormattedCitation":"(Singha et al., 2021)"},"properties":{"noteIndex":0},"schema":"https://github.com/citation-style-language/schema/raw/master/csl-citation.json"}</w:instrText>
            </w:r>
            <w:r w:rsidRPr="00E07B48">
              <w:rPr>
                <w:rFonts w:ascii="Times New Roman" w:hAnsi="Times New Roman" w:cs="Times New Roman"/>
                <w:sz w:val="20"/>
                <w:szCs w:val="20"/>
              </w:rPr>
              <w:fldChar w:fldCharType="separate"/>
            </w:r>
            <w:r w:rsidRPr="00E07B48">
              <w:rPr>
                <w:rFonts w:ascii="Times New Roman" w:hAnsi="Times New Roman" w:cs="Times New Roman"/>
                <w:noProof/>
                <w:sz w:val="20"/>
                <w:szCs w:val="20"/>
              </w:rPr>
              <w:t>(Singha et al. 2021)</w:t>
            </w:r>
            <w:r w:rsidRPr="00E07B48">
              <w:rPr>
                <w:rFonts w:ascii="Times New Roman" w:hAnsi="Times New Roman" w:cs="Times New Roman"/>
                <w:sz w:val="20"/>
                <w:szCs w:val="20"/>
              </w:rPr>
              <w:fldChar w:fldCharType="end"/>
            </w:r>
            <w:r w:rsidRPr="00E07B48">
              <w:rPr>
                <w:rFonts w:ascii="Times New Roman" w:hAnsi="Times New Roman" w:cs="Times New Roman"/>
                <w:sz w:val="20"/>
                <w:szCs w:val="20"/>
              </w:rPr>
              <w:t xml:space="preserve"> </w:t>
            </w:r>
          </w:p>
        </w:tc>
      </w:tr>
      <w:tr w:rsidR="00231F10" w:rsidRPr="00E07B48" w14:paraId="689851CC" w14:textId="77777777" w:rsidTr="00231F10">
        <w:trPr>
          <w:gridAfter w:val="1"/>
          <w:wAfter w:w="12" w:type="dxa"/>
        </w:trPr>
        <w:tc>
          <w:tcPr>
            <w:tcW w:w="1179" w:type="dxa"/>
            <w:tcBorders>
              <w:top w:val="nil"/>
              <w:left w:val="nil"/>
              <w:bottom w:val="single" w:sz="4" w:space="0" w:color="auto"/>
              <w:right w:val="nil"/>
            </w:tcBorders>
            <w:hideMark/>
          </w:tcPr>
          <w:p w14:paraId="60A9A33E" w14:textId="77777777" w:rsidR="00231F10" w:rsidRPr="00E07B48" w:rsidRDefault="00231F10">
            <w:pPr>
              <w:spacing w:after="0" w:line="360" w:lineRule="auto"/>
              <w:jc w:val="center"/>
              <w:rPr>
                <w:rFonts w:ascii="Times New Roman" w:hAnsi="Times New Roman" w:cs="Times New Roman"/>
                <w:sz w:val="20"/>
                <w:szCs w:val="20"/>
              </w:rPr>
            </w:pPr>
            <w:r w:rsidRPr="00E07B48">
              <w:rPr>
                <w:rFonts w:ascii="Times New Roman" w:hAnsi="Times New Roman" w:cs="Times New Roman"/>
                <w:sz w:val="20"/>
                <w:szCs w:val="20"/>
              </w:rPr>
              <w:lastRenderedPageBreak/>
              <w:t>MAE</w:t>
            </w:r>
          </w:p>
        </w:tc>
        <w:tc>
          <w:tcPr>
            <w:tcW w:w="2473" w:type="dxa"/>
            <w:tcBorders>
              <w:top w:val="nil"/>
              <w:left w:val="nil"/>
              <w:bottom w:val="single" w:sz="4" w:space="0" w:color="auto"/>
              <w:right w:val="nil"/>
            </w:tcBorders>
            <w:hideMark/>
          </w:tcPr>
          <w:p w14:paraId="66E86926" w14:textId="77777777" w:rsidR="00231F10" w:rsidRPr="00E07B48" w:rsidRDefault="00000000">
            <w:pPr>
              <w:spacing w:after="0" w:line="360" w:lineRule="auto"/>
              <w:jc w:val="center"/>
              <w:rPr>
                <w:rFonts w:ascii="Times New Roman" w:hAnsi="Times New Roman" w:cs="Times New Roman"/>
                <w:sz w:val="20"/>
                <w:szCs w:val="20"/>
              </w:rPr>
            </w:pPr>
            <m:oMathPara>
              <m:oMath>
                <m:f>
                  <m:fPr>
                    <m:ctrlPr>
                      <w:rPr>
                        <w:rFonts w:ascii="Cambria Math" w:eastAsia="Calibri" w:hAnsi="Cambria Math" w:cs="Times New Roman"/>
                        <w:i/>
                        <w:sz w:val="20"/>
                        <w:szCs w:val="20"/>
                        <w:lang w:val="en-US" w:bidi="hi-IN"/>
                      </w:rPr>
                    </m:ctrlPr>
                  </m:fPr>
                  <m:num>
                    <m:nary>
                      <m:naryPr>
                        <m:chr m:val="∑"/>
                        <m:limLoc m:val="undOvr"/>
                        <m:ctrlPr>
                          <w:rPr>
                            <w:rFonts w:ascii="Cambria Math" w:eastAsia="Calibri" w:hAnsi="Cambria Math" w:cs="Times New Roman"/>
                            <w:i/>
                            <w:sz w:val="20"/>
                            <w:szCs w:val="20"/>
                            <w:lang w:val="en-US" w:bidi="hi-IN"/>
                          </w:rPr>
                        </m:ctrlPr>
                      </m:naryPr>
                      <m:sub>
                        <m:r>
                          <w:rPr>
                            <w:rFonts w:ascii="Cambria Math" w:hAnsi="Cambria Math" w:cs="Times New Roman"/>
                            <w:sz w:val="20"/>
                            <w:szCs w:val="20"/>
                          </w:rPr>
                          <m:t>i=1</m:t>
                        </m:r>
                      </m:sub>
                      <m:sup>
                        <m:r>
                          <w:rPr>
                            <w:rFonts w:ascii="Cambria Math" w:hAnsi="Cambria Math" w:cs="Times New Roman"/>
                            <w:sz w:val="20"/>
                            <w:szCs w:val="20"/>
                          </w:rPr>
                          <m:t>n</m:t>
                        </m:r>
                      </m:sup>
                      <m:e>
                        <m:d>
                          <m:dPr>
                            <m:ctrlPr>
                              <w:rPr>
                                <w:rFonts w:ascii="Cambria Math" w:eastAsia="Calibri" w:hAnsi="Cambria Math" w:cs="Times New Roman"/>
                                <w:i/>
                                <w:sz w:val="20"/>
                                <w:szCs w:val="20"/>
                                <w:lang w:val="en-US" w:bidi="hi-IN"/>
                              </w:rPr>
                            </m:ctrlPr>
                          </m:dPr>
                          <m:e>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z</m:t>
                                </m:r>
                              </m:e>
                              <m:sub>
                                <m:r>
                                  <w:rPr>
                                    <w:rFonts w:ascii="Cambria Math" w:hAnsi="Cambria Math" w:cs="Times New Roman"/>
                                    <w:sz w:val="20"/>
                                    <w:szCs w:val="20"/>
                                  </w:rPr>
                                  <m:t>i</m:t>
                                </m:r>
                              </m:sub>
                            </m:sSub>
                            <m:r>
                              <w:rPr>
                                <w:rFonts w:ascii="Cambria Math" w:hAnsi="Cambria Math" w:cs="Times New Roman"/>
                                <w:sz w:val="20"/>
                                <w:szCs w:val="20"/>
                              </w:rPr>
                              <m:t>-</m:t>
                            </m:r>
                            <m:sSub>
                              <m:sSubPr>
                                <m:ctrlPr>
                                  <w:rPr>
                                    <w:rFonts w:ascii="Cambria Math" w:eastAsia="Calibri" w:hAnsi="Cambria Math" w:cs="Times New Roman"/>
                                    <w:i/>
                                    <w:sz w:val="20"/>
                                    <w:szCs w:val="20"/>
                                    <w:lang w:val="en-US" w:bidi="hi-IN"/>
                                  </w:rPr>
                                </m:ctrlPr>
                              </m:sSubPr>
                              <m:e>
                                <m:r>
                                  <w:rPr>
                                    <w:rFonts w:ascii="Cambria Math" w:hAnsi="Cambria Math" w:cs="Times New Roman"/>
                                    <w:sz w:val="20"/>
                                    <w:szCs w:val="20"/>
                                  </w:rPr>
                                  <m:t>y</m:t>
                                </m:r>
                              </m:e>
                              <m:sub>
                                <m:r>
                                  <w:rPr>
                                    <w:rFonts w:ascii="Cambria Math" w:hAnsi="Cambria Math" w:cs="Times New Roman"/>
                                    <w:sz w:val="20"/>
                                    <w:szCs w:val="20"/>
                                  </w:rPr>
                                  <m:t>i</m:t>
                                </m:r>
                              </m:sub>
                            </m:sSub>
                          </m:e>
                        </m:d>
                      </m:e>
                    </m:nary>
                  </m:num>
                  <m:den>
                    <m:r>
                      <w:rPr>
                        <w:rFonts w:ascii="Cambria Math" w:hAnsi="Cambria Math" w:cs="Times New Roman"/>
                        <w:sz w:val="20"/>
                        <w:szCs w:val="20"/>
                      </w:rPr>
                      <m:t>n</m:t>
                    </m:r>
                  </m:den>
                </m:f>
              </m:oMath>
            </m:oMathPara>
          </w:p>
        </w:tc>
        <w:tc>
          <w:tcPr>
            <w:tcW w:w="7678" w:type="dxa"/>
            <w:tcBorders>
              <w:top w:val="nil"/>
              <w:left w:val="nil"/>
              <w:bottom w:val="single" w:sz="4" w:space="0" w:color="auto"/>
              <w:right w:val="nil"/>
            </w:tcBorders>
            <w:hideMark/>
          </w:tcPr>
          <w:p w14:paraId="7D16B8A8" w14:textId="77777777" w:rsidR="00231F10" w:rsidRPr="00E07B48" w:rsidRDefault="00231F10">
            <w:pPr>
              <w:spacing w:after="0" w:line="360" w:lineRule="auto"/>
              <w:jc w:val="center"/>
              <w:rPr>
                <w:rFonts w:ascii="Times New Roman" w:hAnsi="Times New Roman" w:cs="Times New Roman"/>
                <w:sz w:val="20"/>
                <w:szCs w:val="20"/>
              </w:rPr>
            </w:pPr>
            <w:r w:rsidRPr="00E07B48">
              <w:rPr>
                <w:rFonts w:ascii="Times New Roman" w:hAnsi="Times New Roman" w:cs="Times New Roman"/>
                <w:sz w:val="20"/>
                <w:szCs w:val="20"/>
              </w:rPr>
              <w:t>Same as NRMSE</w:t>
            </w:r>
          </w:p>
        </w:tc>
        <w:tc>
          <w:tcPr>
            <w:tcW w:w="1599" w:type="dxa"/>
            <w:tcBorders>
              <w:top w:val="nil"/>
              <w:left w:val="nil"/>
              <w:bottom w:val="single" w:sz="4" w:space="0" w:color="auto"/>
              <w:right w:val="nil"/>
            </w:tcBorders>
            <w:hideMark/>
          </w:tcPr>
          <w:p w14:paraId="6BB70DC6" w14:textId="77777777" w:rsidR="00231F10" w:rsidRPr="00E07B48" w:rsidRDefault="00231F10">
            <w:pPr>
              <w:spacing w:after="0" w:line="360" w:lineRule="auto"/>
              <w:rPr>
                <w:rFonts w:ascii="Times New Roman" w:hAnsi="Times New Roman" w:cs="Times New Roman"/>
                <w:color w:val="222222"/>
                <w:sz w:val="20"/>
                <w:szCs w:val="20"/>
                <w:shd w:val="clear" w:color="auto" w:fill="FFFFFF"/>
              </w:rPr>
            </w:pPr>
            <w:r w:rsidRPr="00E07B48">
              <w:rPr>
                <w:rFonts w:ascii="Times New Roman" w:hAnsi="Times New Roman" w:cs="Times New Roman"/>
                <w:color w:val="222222"/>
                <w:sz w:val="20"/>
                <w:szCs w:val="20"/>
                <w:shd w:val="clear" w:color="auto" w:fill="FFFFFF"/>
              </w:rPr>
              <w:fldChar w:fldCharType="begin" w:fldLock="1"/>
            </w:r>
            <w:r w:rsidRPr="00E07B48">
              <w:rPr>
                <w:rFonts w:ascii="Times New Roman" w:hAnsi="Times New Roman" w:cs="Times New Roman"/>
                <w:color w:val="222222"/>
                <w:sz w:val="20"/>
                <w:szCs w:val="20"/>
                <w:shd w:val="clear" w:color="auto" w:fill="FFFFFF"/>
              </w:rPr>
              <w:instrText>ADDIN CSL_CITATION {"citationItems":[{"id":"ITEM-1","itemData":{"DOI":"10.1155/2022/8425798","ISSN":"16879813","PMID":"36060879","abstract":"Humans and all other living things depend on having access to clean water, as it is an indispensable essential resource. Therefore, the development of a model that can predict water quality conditions in the future will have substantial societal and economic value. This can be accomplished by using a model that can predict future water quality circumstances. In this study, we employed a sophisticated artificial neural network (ANN) model. This study intends to develop a hybrid model of single exponential smoothing (SES) with bidirectional long short-term memory (BiLSTM) and an adaptive neurofuzzy inference system (ANFIS) to predict water quality (WQ) in different groundwater in the Al-Baha region of Saudi Arabia. Single exponential smoothing (SES) was employed as a preprocessing method to adjust the weight of the dataset, and the output from SES was processed using the BiLSTM and ANFIS models for predicting water quality. The data were randomly divided into two phases, training (70%) and testing (30%). Efficiency statistics were used to evaluate the SES-BiLSTM and SES-ANFIS models' prediction abilities. The results showed that while both the SES-BiLSTM and SES-ANFIS models performed well in predicting the water quality index (WQI), the SES-BiLSTM model performed best with accuracy (R = 99.95% and RMSE = 0.00910) at the testing phase, where the performance of the SES-ANFIS model was R = 99.95% and RMSE = 2.2941 × 100-07. The findings support the idea that the SES-BilSTM and SES-ANFIS models can be used to predict the WQI with high accuracy, which will help to enhance WQ. The results demonstrated that the SES-BiLSTM and SES-ANFIS models' forecasts are accurate and that both seasons' performances are consistent. Similar investigations of groundwater quality prediction for drinking purposes should benefit from the proposed SES-BiLSTM and SES-ANFIS models. Consequently, the results demonstrate that the proposed SES-BiLSTM and SES-ANFIS models are useful tools for predicting whether the groundwater in Al-Baha city is suitable for drinking and irrigation purposes.","author":[{"dropping-particle":"","family":"Al-Adhaileh","given":"Mosleh Hmoud","non-dropping-particle":"","parse-names":false,"suffix":""},{"dropping-particle":"","family":"Aldhyani","given":"Theyazn H.H.","non-dropping-particle":"","parse-names":false,"suffix":""},{"dropping-particle":"","family":"Alsaade","given":"Fawaz Waselallah","non-dropping-particle":"","parse-names":false,"suffix":""},{"dropping-particle":"","family":"Al-Yaari","given":"Mohammed","non-dropping-particle":"","parse-names":false,"suffix":""},{"dropping-particle":"","family":"Albaggar","given":"Ali Khalaf Ahmed","non-dropping-particle":"","parse-names":false,"suffix":""}],"container-title":"Journal of Environmental and Public Health","id":"ITEM-1","issued":{"date-parts":[["2022"]]},"title":"Groundwater Quality: The Application of Artificial Intelligence","type":"article-journal","volume":"2022"},"uris":["http://www.mendeley.com/documents/?uuid=60c1a223-6a67-4b5b-9f7c-c11b0a0a4908"]}],"mendeley":{"formattedCitation":"(Al-Adhaileh et al. 2022)","plainTextFormattedCitation":"(Al-Adhaileh et al. 2022)","previouslyFormattedCitation":"(Al-Adhaileh et al., 2022)"},"properties":{"noteIndex":0},"schema":"https://github.com/citation-style-language/schema/raw/master/csl-citation.json"}</w:instrText>
            </w:r>
            <w:r w:rsidRPr="00E07B48">
              <w:rPr>
                <w:rFonts w:ascii="Times New Roman" w:hAnsi="Times New Roman" w:cs="Times New Roman"/>
                <w:color w:val="222222"/>
                <w:sz w:val="20"/>
                <w:szCs w:val="20"/>
                <w:shd w:val="clear" w:color="auto" w:fill="FFFFFF"/>
              </w:rPr>
              <w:fldChar w:fldCharType="separate"/>
            </w:r>
            <w:r w:rsidRPr="00E07B48">
              <w:rPr>
                <w:rFonts w:ascii="Times New Roman" w:hAnsi="Times New Roman" w:cs="Times New Roman"/>
                <w:noProof/>
                <w:color w:val="222222"/>
                <w:sz w:val="20"/>
                <w:szCs w:val="20"/>
                <w:shd w:val="clear" w:color="auto" w:fill="FFFFFF"/>
              </w:rPr>
              <w:t>(Al-Adhaileh et al. 2022)</w:t>
            </w:r>
            <w:r w:rsidRPr="00E07B48">
              <w:rPr>
                <w:rFonts w:ascii="Times New Roman" w:hAnsi="Times New Roman" w:cs="Times New Roman"/>
                <w:color w:val="222222"/>
                <w:sz w:val="20"/>
                <w:szCs w:val="20"/>
                <w:shd w:val="clear" w:color="auto" w:fill="FFFFFF"/>
              </w:rPr>
              <w:fldChar w:fldCharType="end"/>
            </w:r>
          </w:p>
        </w:tc>
      </w:tr>
    </w:tbl>
    <w:p w14:paraId="3686FC77" w14:textId="77777777" w:rsidR="00231F10" w:rsidRPr="00E07B48" w:rsidRDefault="00231F10" w:rsidP="00231F10">
      <w:pPr>
        <w:rPr>
          <w:rFonts w:ascii="Times New Roman" w:eastAsia="Calibri" w:hAnsi="Times New Roman" w:cs="Times New Roman"/>
          <w:sz w:val="20"/>
          <w:szCs w:val="20"/>
          <w:lang w:val="en-US" w:bidi="hi-IN"/>
        </w:rPr>
      </w:pPr>
      <w:r w:rsidRPr="00E07B48">
        <w:rPr>
          <w:rFonts w:ascii="Times New Roman" w:hAnsi="Times New Roman" w:cs="Times New Roman"/>
          <w:sz w:val="20"/>
          <w:szCs w:val="20"/>
        </w:rPr>
        <w:t>n - total number (</w:t>
      </w:r>
      <w:proofErr w:type="spellStart"/>
      <w:r w:rsidRPr="00E07B48">
        <w:rPr>
          <w:rFonts w:ascii="Times New Roman" w:hAnsi="Times New Roman" w:cs="Times New Roman"/>
          <w:sz w:val="20"/>
          <w:szCs w:val="20"/>
        </w:rPr>
        <w:t>t</w:t>
      </w:r>
      <w:r w:rsidRPr="00E07B48">
        <w:rPr>
          <w:rFonts w:ascii="Times New Roman" w:hAnsi="Times New Roman" w:cs="Times New Roman"/>
          <w:sz w:val="20"/>
          <w:szCs w:val="20"/>
          <w:vertAlign w:val="subscript"/>
        </w:rPr>
        <w:t>n</w:t>
      </w:r>
      <w:proofErr w:type="spellEnd"/>
      <w:r w:rsidRPr="00E07B48">
        <w:rPr>
          <w:rFonts w:ascii="Times New Roman" w:hAnsi="Times New Roman" w:cs="Times New Roman"/>
          <w:sz w:val="20"/>
          <w:szCs w:val="20"/>
        </w:rPr>
        <w:t xml:space="preserve">) of data points, </w:t>
      </w:r>
      <w:proofErr w:type="spellStart"/>
      <w:r w:rsidRPr="00E07B48">
        <w:rPr>
          <w:rFonts w:ascii="Times New Roman" w:hAnsi="Times New Roman" w:cs="Times New Roman"/>
          <w:sz w:val="20"/>
          <w:szCs w:val="20"/>
        </w:rPr>
        <w:t>y</w:t>
      </w:r>
      <w:r w:rsidRPr="00E07B48">
        <w:rPr>
          <w:rFonts w:ascii="Times New Roman" w:hAnsi="Times New Roman" w:cs="Times New Roman"/>
          <w:sz w:val="20"/>
          <w:szCs w:val="20"/>
          <w:vertAlign w:val="subscript"/>
        </w:rPr>
        <w:t>i</w:t>
      </w:r>
      <w:proofErr w:type="spellEnd"/>
      <w:r w:rsidRPr="00E07B48">
        <w:rPr>
          <w:rFonts w:ascii="Times New Roman" w:hAnsi="Times New Roman" w:cs="Times New Roman"/>
          <w:sz w:val="20"/>
          <w:szCs w:val="20"/>
        </w:rPr>
        <w:t>- actual data, z</w:t>
      </w:r>
      <w:r w:rsidRPr="00E07B48">
        <w:rPr>
          <w:rFonts w:ascii="Times New Roman" w:hAnsi="Times New Roman" w:cs="Times New Roman"/>
          <w:sz w:val="20"/>
          <w:szCs w:val="20"/>
          <w:vertAlign w:val="subscript"/>
        </w:rPr>
        <w:t>i</w:t>
      </w:r>
      <w:r w:rsidRPr="00E07B48">
        <w:rPr>
          <w:rFonts w:ascii="Times New Roman" w:hAnsi="Times New Roman" w:cs="Times New Roman"/>
          <w:sz w:val="20"/>
          <w:szCs w:val="20"/>
        </w:rPr>
        <w:t xml:space="preserve"> is forecasted value, k -</w:t>
      </w:r>
      <w:proofErr w:type="spellStart"/>
      <w:r w:rsidRPr="00E07B48">
        <w:rPr>
          <w:rFonts w:ascii="Times New Roman" w:hAnsi="Times New Roman" w:cs="Times New Roman"/>
          <w:sz w:val="20"/>
          <w:szCs w:val="20"/>
        </w:rPr>
        <w:t>tn</w:t>
      </w:r>
      <w:proofErr w:type="spellEnd"/>
      <w:r w:rsidRPr="00E07B48">
        <w:rPr>
          <w:rFonts w:ascii="Times New Roman" w:hAnsi="Times New Roman" w:cs="Times New Roman"/>
          <w:sz w:val="20"/>
          <w:szCs w:val="20"/>
        </w:rPr>
        <w:t xml:space="preserve"> of parameters, R defines maximal pixel value of the image, w is the weight of each</w:t>
      </w:r>
      <w:r w:rsidRPr="00E07B48">
        <w:rPr>
          <w:rFonts w:ascii="Times New Roman" w:hAnsi="Times New Roman" w:cs="Times New Roman"/>
          <w:color w:val="FFFFFF"/>
          <w:sz w:val="20"/>
          <w:szCs w:val="20"/>
        </w:rPr>
        <w:t xml:space="preserve"> </w:t>
      </w:r>
      <w:r w:rsidRPr="00E07B48">
        <w:rPr>
          <w:rFonts w:ascii="Times New Roman" w:hAnsi="Times New Roman" w:cs="Times New Roman"/>
          <w:sz w:val="20"/>
          <w:szCs w:val="20"/>
        </w:rPr>
        <w:t>performance index, a, r, and f represent accuracy, recall, and F-measure, true</w:t>
      </w:r>
      <w:r w:rsidRPr="00E07B48">
        <w:rPr>
          <w:rFonts w:ascii="Times New Roman" w:hAnsi="Times New Roman" w:cs="Times New Roman"/>
          <w:color w:val="FFFFFF"/>
          <w:sz w:val="20"/>
          <w:szCs w:val="20"/>
        </w:rPr>
        <w:t xml:space="preserve"> </w:t>
      </w:r>
      <w:r w:rsidRPr="00E07B48">
        <w:rPr>
          <w:rFonts w:ascii="Times New Roman" w:hAnsi="Times New Roman" w:cs="Times New Roman"/>
          <w:sz w:val="20"/>
          <w:szCs w:val="20"/>
        </w:rPr>
        <w:t>positive (TP), negative (TN), and false</w:t>
      </w:r>
      <w:r w:rsidRPr="00E07B48">
        <w:rPr>
          <w:rFonts w:ascii="Times New Roman" w:hAnsi="Times New Roman" w:cs="Times New Roman"/>
          <w:color w:val="FFFFFF"/>
          <w:sz w:val="20"/>
          <w:szCs w:val="20"/>
        </w:rPr>
        <w:t xml:space="preserve"> </w:t>
      </w:r>
      <w:r w:rsidRPr="00E07B48">
        <w:rPr>
          <w:rFonts w:ascii="Times New Roman" w:hAnsi="Times New Roman" w:cs="Times New Roman"/>
          <w:sz w:val="20"/>
          <w:szCs w:val="20"/>
        </w:rPr>
        <w:t>negative (FN).</w:t>
      </w:r>
    </w:p>
    <w:p w14:paraId="739036A5" w14:textId="77777777" w:rsidR="00231F10" w:rsidRDefault="00231F10" w:rsidP="00231F10">
      <w:pPr>
        <w:rPr>
          <w:rFonts w:ascii="Calibri" w:hAnsi="Calibri"/>
          <w:szCs w:val="20"/>
        </w:rPr>
      </w:pPr>
    </w:p>
    <w:p w14:paraId="3B05ACE3" w14:textId="062E3184" w:rsidR="00231F10" w:rsidRDefault="00231F10">
      <w:pPr>
        <w:rPr>
          <w:rFonts w:ascii="Times New Roman" w:hAnsi="Times New Roman" w:cs="Times New Roman"/>
          <w:sz w:val="18"/>
          <w:szCs w:val="18"/>
        </w:rPr>
      </w:pPr>
    </w:p>
    <w:p w14:paraId="352E5B3D" w14:textId="4E6EF52C" w:rsidR="00231F10" w:rsidRDefault="00231F10">
      <w:pPr>
        <w:rPr>
          <w:rFonts w:ascii="Times New Roman" w:hAnsi="Times New Roman" w:cs="Times New Roman"/>
          <w:sz w:val="18"/>
          <w:szCs w:val="18"/>
        </w:rPr>
      </w:pPr>
    </w:p>
    <w:p w14:paraId="11C073CD" w14:textId="1F2738A5" w:rsidR="00231F10" w:rsidRDefault="00231F10">
      <w:pPr>
        <w:rPr>
          <w:rFonts w:ascii="Times New Roman" w:hAnsi="Times New Roman" w:cs="Times New Roman"/>
          <w:sz w:val="18"/>
          <w:szCs w:val="18"/>
        </w:rPr>
      </w:pPr>
    </w:p>
    <w:p w14:paraId="1C50F842" w14:textId="1DD8F2C9" w:rsidR="00231F10" w:rsidRDefault="00231F10">
      <w:pPr>
        <w:rPr>
          <w:rFonts w:ascii="Times New Roman" w:hAnsi="Times New Roman" w:cs="Times New Roman"/>
          <w:sz w:val="18"/>
          <w:szCs w:val="18"/>
        </w:rPr>
      </w:pPr>
    </w:p>
    <w:p w14:paraId="26E6BD8C" w14:textId="7D0263FF" w:rsidR="00A730B7" w:rsidRDefault="00A730B7">
      <w:pPr>
        <w:rPr>
          <w:rFonts w:ascii="Times New Roman" w:hAnsi="Times New Roman" w:cs="Times New Roman"/>
          <w:sz w:val="18"/>
          <w:szCs w:val="18"/>
        </w:rPr>
      </w:pPr>
    </w:p>
    <w:p w14:paraId="5FC31A0E" w14:textId="5ACB84FE" w:rsidR="00A730B7" w:rsidRDefault="00A730B7">
      <w:pPr>
        <w:rPr>
          <w:rFonts w:ascii="Times New Roman" w:hAnsi="Times New Roman" w:cs="Times New Roman"/>
          <w:sz w:val="18"/>
          <w:szCs w:val="18"/>
        </w:rPr>
      </w:pPr>
    </w:p>
    <w:p w14:paraId="1AD44C60" w14:textId="77777777" w:rsidR="00A730B7" w:rsidRDefault="00A730B7">
      <w:pPr>
        <w:rPr>
          <w:rFonts w:ascii="Times New Roman" w:hAnsi="Times New Roman" w:cs="Times New Roman"/>
          <w:sz w:val="18"/>
          <w:szCs w:val="18"/>
        </w:rPr>
      </w:pPr>
    </w:p>
    <w:p w14:paraId="5B615908" w14:textId="40A1603F" w:rsidR="00231F10" w:rsidRDefault="00231F10">
      <w:pPr>
        <w:rPr>
          <w:rFonts w:ascii="Times New Roman" w:hAnsi="Times New Roman" w:cs="Times New Roman"/>
          <w:sz w:val="18"/>
          <w:szCs w:val="18"/>
        </w:rPr>
      </w:pPr>
    </w:p>
    <w:p w14:paraId="0F90E1A1" w14:textId="77777777" w:rsidR="00231F10" w:rsidRDefault="00231F10" w:rsidP="00231F10">
      <w:pPr>
        <w:widowControl w:val="0"/>
        <w:autoSpaceDE w:val="0"/>
        <w:autoSpaceDN w:val="0"/>
        <w:adjustRightInd w:val="0"/>
        <w:spacing w:line="360" w:lineRule="auto"/>
        <w:jc w:val="center"/>
        <w:rPr>
          <w:rFonts w:ascii="Times New Roman" w:hAnsi="Times New Roman" w:cs="Times New Roman"/>
          <w:color w:val="000000" w:themeColor="text1"/>
          <w:sz w:val="24"/>
          <w:szCs w:val="24"/>
        </w:rPr>
      </w:pPr>
    </w:p>
    <w:p w14:paraId="7D631E28" w14:textId="77777777" w:rsidR="00231F10" w:rsidRDefault="00231F10" w:rsidP="00231F10">
      <w:pPr>
        <w:widowControl w:val="0"/>
        <w:autoSpaceDE w:val="0"/>
        <w:autoSpaceDN w:val="0"/>
        <w:adjustRightInd w:val="0"/>
        <w:spacing w:line="360" w:lineRule="auto"/>
        <w:jc w:val="center"/>
        <w:rPr>
          <w:rFonts w:ascii="Times New Roman" w:hAnsi="Times New Roman" w:cs="Times New Roman"/>
          <w:color w:val="000000" w:themeColor="text1"/>
          <w:sz w:val="24"/>
          <w:szCs w:val="24"/>
        </w:rPr>
      </w:pPr>
    </w:p>
    <w:p w14:paraId="449393DB" w14:textId="77777777" w:rsidR="00231F10" w:rsidRDefault="00231F10" w:rsidP="00231F10">
      <w:pPr>
        <w:widowControl w:val="0"/>
        <w:autoSpaceDE w:val="0"/>
        <w:autoSpaceDN w:val="0"/>
        <w:adjustRightInd w:val="0"/>
        <w:spacing w:line="360" w:lineRule="auto"/>
        <w:jc w:val="center"/>
        <w:rPr>
          <w:rFonts w:ascii="Times New Roman" w:hAnsi="Times New Roman" w:cs="Times New Roman"/>
          <w:color w:val="000000" w:themeColor="text1"/>
          <w:sz w:val="24"/>
          <w:szCs w:val="24"/>
        </w:rPr>
      </w:pPr>
    </w:p>
    <w:p w14:paraId="46824C19" w14:textId="62BEE501" w:rsidR="00231F10" w:rsidRDefault="00231F10" w:rsidP="00231F10">
      <w:pPr>
        <w:widowControl w:val="0"/>
        <w:autoSpaceDE w:val="0"/>
        <w:autoSpaceDN w:val="0"/>
        <w:adjustRightInd w:val="0"/>
        <w:spacing w:line="360" w:lineRule="auto"/>
        <w:jc w:val="center"/>
        <w:rPr>
          <w:rFonts w:ascii="Times New Roman" w:hAnsi="Times New Roman" w:cs="Times New Roman"/>
          <w:color w:val="000000" w:themeColor="text1"/>
          <w:sz w:val="24"/>
          <w:szCs w:val="24"/>
        </w:rPr>
      </w:pPr>
    </w:p>
    <w:p w14:paraId="50643433" w14:textId="2F336464" w:rsidR="00741E8C" w:rsidRDefault="00741E8C" w:rsidP="00231F10">
      <w:pPr>
        <w:widowControl w:val="0"/>
        <w:autoSpaceDE w:val="0"/>
        <w:autoSpaceDN w:val="0"/>
        <w:adjustRightInd w:val="0"/>
        <w:spacing w:line="360" w:lineRule="auto"/>
        <w:jc w:val="center"/>
        <w:rPr>
          <w:rFonts w:ascii="Times New Roman" w:hAnsi="Times New Roman" w:cs="Times New Roman"/>
          <w:color w:val="000000" w:themeColor="text1"/>
          <w:sz w:val="24"/>
          <w:szCs w:val="24"/>
        </w:rPr>
      </w:pPr>
    </w:p>
    <w:p w14:paraId="619F1E54" w14:textId="77777777" w:rsidR="00741E8C" w:rsidRDefault="00741E8C" w:rsidP="00231F10">
      <w:pPr>
        <w:widowControl w:val="0"/>
        <w:autoSpaceDE w:val="0"/>
        <w:autoSpaceDN w:val="0"/>
        <w:adjustRightInd w:val="0"/>
        <w:spacing w:line="360" w:lineRule="auto"/>
        <w:jc w:val="center"/>
        <w:rPr>
          <w:rFonts w:ascii="Times New Roman" w:hAnsi="Times New Roman" w:cs="Times New Roman"/>
          <w:color w:val="000000" w:themeColor="text1"/>
          <w:sz w:val="24"/>
          <w:szCs w:val="24"/>
        </w:rPr>
      </w:pPr>
    </w:p>
    <w:p w14:paraId="65AB9709" w14:textId="77777777" w:rsidR="00C110A0" w:rsidRPr="00C80EAA" w:rsidRDefault="00C110A0">
      <w:pPr>
        <w:rPr>
          <w:rFonts w:ascii="Times New Roman" w:hAnsi="Times New Roman" w:cs="Times New Roman"/>
          <w:sz w:val="18"/>
          <w:szCs w:val="18"/>
        </w:rPr>
      </w:pPr>
    </w:p>
    <w:sectPr w:rsidR="00C110A0" w:rsidRPr="00C80EAA" w:rsidSect="00231F1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1D"/>
    <w:rsid w:val="00065F04"/>
    <w:rsid w:val="000A068E"/>
    <w:rsid w:val="000E15C1"/>
    <w:rsid w:val="00140DB0"/>
    <w:rsid w:val="0015208B"/>
    <w:rsid w:val="001908F9"/>
    <w:rsid w:val="001956C2"/>
    <w:rsid w:val="001E15A6"/>
    <w:rsid w:val="00231F10"/>
    <w:rsid w:val="00235739"/>
    <w:rsid w:val="002363AD"/>
    <w:rsid w:val="0026143B"/>
    <w:rsid w:val="0027231D"/>
    <w:rsid w:val="002861CC"/>
    <w:rsid w:val="00294FC4"/>
    <w:rsid w:val="002A2D83"/>
    <w:rsid w:val="002D1BA8"/>
    <w:rsid w:val="002E5CCD"/>
    <w:rsid w:val="003C5847"/>
    <w:rsid w:val="003D52D3"/>
    <w:rsid w:val="004530EC"/>
    <w:rsid w:val="00466997"/>
    <w:rsid w:val="00467BCE"/>
    <w:rsid w:val="004859F6"/>
    <w:rsid w:val="00486839"/>
    <w:rsid w:val="004D0065"/>
    <w:rsid w:val="004D0FD3"/>
    <w:rsid w:val="004F10C9"/>
    <w:rsid w:val="005073D4"/>
    <w:rsid w:val="005A2BC3"/>
    <w:rsid w:val="005E1FC7"/>
    <w:rsid w:val="005F6670"/>
    <w:rsid w:val="006166AA"/>
    <w:rsid w:val="006365E7"/>
    <w:rsid w:val="006410D2"/>
    <w:rsid w:val="00647BD1"/>
    <w:rsid w:val="00647D33"/>
    <w:rsid w:val="006868B2"/>
    <w:rsid w:val="00694F9F"/>
    <w:rsid w:val="00695EDE"/>
    <w:rsid w:val="006C61C2"/>
    <w:rsid w:val="006D3BCF"/>
    <w:rsid w:val="00732C5F"/>
    <w:rsid w:val="00741E8C"/>
    <w:rsid w:val="00746A2B"/>
    <w:rsid w:val="007A3E3A"/>
    <w:rsid w:val="007A479A"/>
    <w:rsid w:val="007B61FC"/>
    <w:rsid w:val="007C0636"/>
    <w:rsid w:val="008103F0"/>
    <w:rsid w:val="00850E1C"/>
    <w:rsid w:val="0088051D"/>
    <w:rsid w:val="009002E4"/>
    <w:rsid w:val="0090092C"/>
    <w:rsid w:val="009609B1"/>
    <w:rsid w:val="009A5FD7"/>
    <w:rsid w:val="00A45C1F"/>
    <w:rsid w:val="00A730B7"/>
    <w:rsid w:val="00A80A18"/>
    <w:rsid w:val="00A84325"/>
    <w:rsid w:val="00AA7400"/>
    <w:rsid w:val="00AE63EB"/>
    <w:rsid w:val="00AF5968"/>
    <w:rsid w:val="00AF7948"/>
    <w:rsid w:val="00B10066"/>
    <w:rsid w:val="00BA5367"/>
    <w:rsid w:val="00BE5C39"/>
    <w:rsid w:val="00C110A0"/>
    <w:rsid w:val="00C37A05"/>
    <w:rsid w:val="00C80EAA"/>
    <w:rsid w:val="00CA4E94"/>
    <w:rsid w:val="00CA6E57"/>
    <w:rsid w:val="00CD0444"/>
    <w:rsid w:val="00D24923"/>
    <w:rsid w:val="00D340B0"/>
    <w:rsid w:val="00D42FD8"/>
    <w:rsid w:val="00D447D0"/>
    <w:rsid w:val="00D56AA5"/>
    <w:rsid w:val="00D82140"/>
    <w:rsid w:val="00D96150"/>
    <w:rsid w:val="00DB1843"/>
    <w:rsid w:val="00E0737E"/>
    <w:rsid w:val="00E07B48"/>
    <w:rsid w:val="00E13B64"/>
    <w:rsid w:val="00E144D2"/>
    <w:rsid w:val="00EA1297"/>
    <w:rsid w:val="00F0633A"/>
    <w:rsid w:val="00F8402D"/>
    <w:rsid w:val="00FC42A9"/>
    <w:rsid w:val="00FD76BD"/>
    <w:rsid w:val="00FE77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B96B1"/>
  <w15:chartTrackingRefBased/>
  <w15:docId w15:val="{E459BFB1-2A9E-4852-A148-D75506CBF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9609B1"/>
    <w:pPr>
      <w:spacing w:before="100" w:beforeAutospacing="1" w:after="100" w:afterAutospacing="1" w:line="240" w:lineRule="auto"/>
      <w:outlineLvl w:val="3"/>
    </w:pPr>
    <w:rPr>
      <w:rFonts w:ascii="Times New Roman" w:eastAsia="Times New Roman" w:hAnsi="Times New Roman" w:cs="Times New Roman"/>
      <w:b/>
      <w:bCs/>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09B1"/>
    <w:rPr>
      <w:color w:val="0000FF"/>
      <w:u w:val="single"/>
    </w:rPr>
  </w:style>
  <w:style w:type="character" w:customStyle="1" w:styleId="Heading4Char">
    <w:name w:val="Heading 4 Char"/>
    <w:basedOn w:val="DefaultParagraphFont"/>
    <w:link w:val="Heading4"/>
    <w:uiPriority w:val="9"/>
    <w:rsid w:val="009609B1"/>
    <w:rPr>
      <w:rFonts w:ascii="Times New Roman" w:eastAsia="Times New Roman" w:hAnsi="Times New Roman" w:cs="Times New Roman"/>
      <w:b/>
      <w:bCs/>
      <w:sz w:val="24"/>
      <w:szCs w:val="24"/>
      <w:lang w:eastAsia="en-ZA"/>
    </w:rPr>
  </w:style>
  <w:style w:type="table" w:styleId="TableGrid">
    <w:name w:val="Table Grid"/>
    <w:basedOn w:val="TableNormal"/>
    <w:uiPriority w:val="59"/>
    <w:rsid w:val="00AF7948"/>
    <w:pPr>
      <w:spacing w:after="0" w:line="260" w:lineRule="atLeast"/>
      <w:jc w:val="both"/>
    </w:pPr>
    <w:rPr>
      <w:rFonts w:ascii="Palatino Linotype" w:eastAsia="SimSun" w:hAnsi="Palatino Linotype" w:cs="Times New Roman"/>
      <w:color w:val="00000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xgbd">
    <w:name w:val="muxgbd"/>
    <w:basedOn w:val="DefaultParagraphFont"/>
    <w:rsid w:val="006166AA"/>
  </w:style>
  <w:style w:type="character" w:styleId="Emphasis">
    <w:name w:val="Emphasis"/>
    <w:basedOn w:val="DefaultParagraphFont"/>
    <w:uiPriority w:val="20"/>
    <w:qFormat/>
    <w:rsid w:val="006166AA"/>
    <w:rPr>
      <w:i/>
      <w:iCs/>
    </w:rPr>
  </w:style>
  <w:style w:type="character" w:customStyle="1" w:styleId="given-name">
    <w:name w:val="given-name"/>
    <w:basedOn w:val="DefaultParagraphFont"/>
    <w:rsid w:val="00FE778B"/>
  </w:style>
  <w:style w:type="character" w:customStyle="1" w:styleId="text">
    <w:name w:val="text"/>
    <w:basedOn w:val="DefaultParagraphFont"/>
    <w:rsid w:val="00FE778B"/>
  </w:style>
  <w:style w:type="character" w:customStyle="1" w:styleId="mo">
    <w:name w:val="mo"/>
    <w:basedOn w:val="DefaultParagraphFont"/>
    <w:rsid w:val="00641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5235298">
      <w:bodyDiv w:val="1"/>
      <w:marLeft w:val="0"/>
      <w:marRight w:val="0"/>
      <w:marTop w:val="0"/>
      <w:marBottom w:val="0"/>
      <w:divBdr>
        <w:top w:val="none" w:sz="0" w:space="0" w:color="auto"/>
        <w:left w:val="none" w:sz="0" w:space="0" w:color="auto"/>
        <w:bottom w:val="none" w:sz="0" w:space="0" w:color="auto"/>
        <w:right w:val="none" w:sz="0" w:space="0" w:color="auto"/>
      </w:divBdr>
    </w:div>
    <w:div w:id="967859235">
      <w:bodyDiv w:val="1"/>
      <w:marLeft w:val="0"/>
      <w:marRight w:val="0"/>
      <w:marTop w:val="0"/>
      <w:marBottom w:val="0"/>
      <w:divBdr>
        <w:top w:val="none" w:sz="0" w:space="0" w:color="auto"/>
        <w:left w:val="none" w:sz="0" w:space="0" w:color="auto"/>
        <w:bottom w:val="none" w:sz="0" w:space="0" w:color="auto"/>
        <w:right w:val="none" w:sz="0" w:space="0" w:color="auto"/>
      </w:divBdr>
    </w:div>
    <w:div w:id="1010645884">
      <w:bodyDiv w:val="1"/>
      <w:marLeft w:val="0"/>
      <w:marRight w:val="0"/>
      <w:marTop w:val="0"/>
      <w:marBottom w:val="0"/>
      <w:divBdr>
        <w:top w:val="none" w:sz="0" w:space="0" w:color="auto"/>
        <w:left w:val="none" w:sz="0" w:space="0" w:color="auto"/>
        <w:bottom w:val="none" w:sz="0" w:space="0" w:color="auto"/>
        <w:right w:val="none" w:sz="0" w:space="0" w:color="auto"/>
      </w:divBdr>
    </w:div>
    <w:div w:id="1114208857">
      <w:bodyDiv w:val="1"/>
      <w:marLeft w:val="0"/>
      <w:marRight w:val="0"/>
      <w:marTop w:val="0"/>
      <w:marBottom w:val="0"/>
      <w:divBdr>
        <w:top w:val="none" w:sz="0" w:space="0" w:color="auto"/>
        <w:left w:val="none" w:sz="0" w:space="0" w:color="auto"/>
        <w:bottom w:val="none" w:sz="0" w:space="0" w:color="auto"/>
        <w:right w:val="none" w:sz="0" w:space="0" w:color="auto"/>
      </w:divBdr>
    </w:div>
    <w:div w:id="1332248173">
      <w:bodyDiv w:val="1"/>
      <w:marLeft w:val="0"/>
      <w:marRight w:val="0"/>
      <w:marTop w:val="0"/>
      <w:marBottom w:val="0"/>
      <w:divBdr>
        <w:top w:val="none" w:sz="0" w:space="0" w:color="auto"/>
        <w:left w:val="none" w:sz="0" w:space="0" w:color="auto"/>
        <w:bottom w:val="none" w:sz="0" w:space="0" w:color="auto"/>
        <w:right w:val="none" w:sz="0" w:space="0" w:color="auto"/>
      </w:divBdr>
    </w:div>
    <w:div w:id="1991207797">
      <w:bodyDiv w:val="1"/>
      <w:marLeft w:val="0"/>
      <w:marRight w:val="0"/>
      <w:marTop w:val="0"/>
      <w:marBottom w:val="0"/>
      <w:divBdr>
        <w:top w:val="none" w:sz="0" w:space="0" w:color="auto"/>
        <w:left w:val="none" w:sz="0" w:space="0" w:color="auto"/>
        <w:bottom w:val="none" w:sz="0" w:space="0" w:color="auto"/>
        <w:right w:val="none" w:sz="0" w:space="0" w:color="auto"/>
      </w:divBdr>
    </w:div>
    <w:div w:id="2120055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heenak1@dut.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5705</Words>
  <Characters>32524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Gaffar Sheik</dc:creator>
  <cp:keywords/>
  <dc:description/>
  <cp:lastModifiedBy>A1386</cp:lastModifiedBy>
  <cp:revision>42</cp:revision>
  <dcterms:created xsi:type="dcterms:W3CDTF">2023-07-10T06:05:00Z</dcterms:created>
  <dcterms:modified xsi:type="dcterms:W3CDTF">2024-10-22T21:04:00Z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3bd808fd3828e489c720a69eee84332815d69022013b4debc77bcc7470417ee7</vt:lpwstr>
  </property>
</Properties>
</file>