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DFD6A" w14:textId="77777777" w:rsidR="00F1457D" w:rsidRPr="006639AF" w:rsidRDefault="00F1457D" w:rsidP="00115657">
      <w:pPr>
        <w:keepNext/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6639AF">
        <w:rPr>
          <w:rFonts w:ascii="Times New Roman" w:hAnsi="Times New Roman" w:cs="Times New Roman"/>
          <w:b/>
          <w:bCs/>
          <w:sz w:val="28"/>
          <w:szCs w:val="28"/>
        </w:rPr>
        <w:t>Sonocatalytic degradation of RB-5 dye using ZnO nanoparticles doped with transition metals.</w:t>
      </w:r>
    </w:p>
    <w:p w14:paraId="39FF8CEC" w14:textId="183EBD55" w:rsidR="00F1457D" w:rsidRPr="00566459" w:rsidRDefault="00F1457D" w:rsidP="00115657">
      <w:pPr>
        <w:keepNext/>
        <w:spacing w:after="240"/>
        <w:rPr>
          <w:rFonts w:asciiTheme="majorHAnsi" w:hAnsiTheme="majorHAnsi" w:cstheme="majorHAnsi"/>
          <w:sz w:val="18"/>
          <w:szCs w:val="18"/>
          <w:lang w:val="es-MX"/>
        </w:rPr>
      </w:pPr>
      <w:r w:rsidRPr="00566459">
        <w:rPr>
          <w:rFonts w:asciiTheme="majorHAnsi" w:hAnsiTheme="majorHAnsi" w:cstheme="majorHAnsi"/>
          <w:sz w:val="18"/>
          <w:szCs w:val="18"/>
          <w:lang w:val="es-MX"/>
        </w:rPr>
        <w:t>Tatiana Rodríguez-Flores</w:t>
      </w:r>
      <w:r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>a</w:t>
      </w:r>
      <w:r w:rsidRPr="00566459">
        <w:rPr>
          <w:rFonts w:asciiTheme="majorHAnsi" w:hAnsiTheme="majorHAnsi" w:cstheme="majorHAnsi"/>
          <w:sz w:val="18"/>
          <w:szCs w:val="18"/>
          <w:lang w:val="es-MX"/>
        </w:rPr>
        <w:t>,</w:t>
      </w:r>
      <w:r w:rsidR="00380203">
        <w:rPr>
          <w:rFonts w:asciiTheme="majorHAnsi" w:hAnsiTheme="majorHAnsi" w:cstheme="majorHAnsi"/>
          <w:sz w:val="18"/>
          <w:szCs w:val="18"/>
          <w:lang w:val="es-MX"/>
        </w:rPr>
        <w:t xml:space="preserve"> </w:t>
      </w:r>
      <w:r w:rsidR="00380203" w:rsidRPr="00566459">
        <w:rPr>
          <w:rFonts w:asciiTheme="majorHAnsi" w:hAnsiTheme="majorHAnsi" w:cstheme="majorHAnsi"/>
          <w:sz w:val="18"/>
          <w:szCs w:val="18"/>
          <w:lang w:val="es-MX"/>
        </w:rPr>
        <w:t>Isaías Hernández-Pérez</w:t>
      </w:r>
      <w:r w:rsidR="005B6C4F">
        <w:rPr>
          <w:rFonts w:asciiTheme="majorHAnsi" w:hAnsiTheme="majorHAnsi" w:cstheme="majorHAnsi"/>
          <w:sz w:val="18"/>
          <w:szCs w:val="18"/>
          <w:lang w:val="es-MX"/>
        </w:rPr>
        <w:t>*</w:t>
      </w:r>
      <w:r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>a</w:t>
      </w:r>
      <w:r w:rsidRPr="00566459">
        <w:rPr>
          <w:rFonts w:asciiTheme="majorHAnsi" w:hAnsiTheme="majorHAnsi" w:cstheme="majorHAnsi"/>
          <w:sz w:val="18"/>
          <w:szCs w:val="18"/>
          <w:lang w:val="es-MX"/>
        </w:rPr>
        <w:t>, Gloria Elena de la Huerta-Hernández</w:t>
      </w:r>
      <w:r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>a</w:t>
      </w:r>
      <w:r w:rsidRPr="00566459">
        <w:rPr>
          <w:rFonts w:asciiTheme="majorHAnsi" w:hAnsiTheme="majorHAnsi" w:cstheme="majorHAnsi"/>
          <w:sz w:val="18"/>
          <w:szCs w:val="18"/>
          <w:lang w:val="es-MX"/>
        </w:rPr>
        <w:t>, Raúl Suárez-Parra</w:t>
      </w:r>
      <w:r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>b</w:t>
      </w:r>
      <w:r w:rsidRPr="00566459">
        <w:rPr>
          <w:rFonts w:asciiTheme="majorHAnsi" w:hAnsiTheme="majorHAnsi" w:cstheme="majorHAnsi"/>
          <w:sz w:val="18"/>
          <w:szCs w:val="18"/>
          <w:lang w:val="es-MX"/>
        </w:rPr>
        <w:t xml:space="preserve">, </w:t>
      </w:r>
      <w:r w:rsidR="00380203" w:rsidRPr="00566459">
        <w:rPr>
          <w:rFonts w:asciiTheme="majorHAnsi" w:hAnsiTheme="majorHAnsi" w:cstheme="majorHAnsi"/>
          <w:sz w:val="18"/>
          <w:szCs w:val="18"/>
          <w:lang w:val="es-MX"/>
        </w:rPr>
        <w:t>Catalina Haro-</w:t>
      </w:r>
      <w:r w:rsidR="00380203">
        <w:rPr>
          <w:rFonts w:asciiTheme="majorHAnsi" w:hAnsiTheme="majorHAnsi" w:cstheme="majorHAnsi"/>
          <w:sz w:val="18"/>
          <w:szCs w:val="18"/>
          <w:lang w:val="es-MX"/>
        </w:rPr>
        <w:t>Pérez</w:t>
      </w:r>
      <w:r w:rsidR="00380203"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 xml:space="preserve"> </w:t>
      </w:r>
      <w:r w:rsidRPr="00566459">
        <w:rPr>
          <w:rFonts w:asciiTheme="majorHAnsi" w:hAnsiTheme="majorHAnsi" w:cstheme="majorHAnsi"/>
          <w:sz w:val="18"/>
          <w:szCs w:val="18"/>
          <w:vertAlign w:val="superscript"/>
          <w:lang w:val="es-MX"/>
        </w:rPr>
        <w:t>a</w:t>
      </w:r>
    </w:p>
    <w:p w14:paraId="1BCE032B" w14:textId="667829BD" w:rsidR="00F1457D" w:rsidRPr="00115657" w:rsidRDefault="00F1457D" w:rsidP="00F1457D">
      <w:pPr>
        <w:keepNext/>
        <w:spacing w:after="240"/>
        <w:jc w:val="both"/>
        <w:rPr>
          <w:rFonts w:asciiTheme="majorHAnsi" w:hAnsiTheme="majorHAnsi" w:cstheme="majorHAnsi"/>
          <w:sz w:val="16"/>
          <w:szCs w:val="16"/>
          <w:lang w:val="es-MX"/>
        </w:rPr>
      </w:pPr>
      <w:r w:rsidRPr="00115657">
        <w:rPr>
          <w:rFonts w:asciiTheme="majorHAnsi" w:hAnsiTheme="majorHAnsi" w:cstheme="majorHAnsi"/>
          <w:sz w:val="16"/>
          <w:szCs w:val="16"/>
          <w:vertAlign w:val="superscript"/>
          <w:lang w:val="es-MX"/>
        </w:rPr>
        <w:t>a</w:t>
      </w:r>
      <w:r w:rsidRPr="00115657">
        <w:rPr>
          <w:rFonts w:asciiTheme="majorHAnsi" w:hAnsiTheme="majorHAnsi" w:cstheme="majorHAnsi"/>
          <w:sz w:val="16"/>
          <w:szCs w:val="16"/>
          <w:lang w:val="es-MX"/>
        </w:rPr>
        <w:t xml:space="preserve"> Departamento de Ciencias Básicas, Universidad Autónoma Metropolitana-Azcapotzalco, </w:t>
      </w:r>
      <w:r w:rsidR="0089472D" w:rsidRPr="00115657">
        <w:rPr>
          <w:rFonts w:asciiTheme="majorHAnsi" w:hAnsiTheme="majorHAnsi" w:cstheme="majorHAnsi"/>
          <w:sz w:val="16"/>
          <w:szCs w:val="16"/>
          <w:lang w:val="es-MX"/>
        </w:rPr>
        <w:t>Av. San Pablo 420, C.P 02128</w:t>
      </w:r>
      <w:r w:rsidRPr="00115657">
        <w:rPr>
          <w:rFonts w:asciiTheme="majorHAnsi" w:hAnsiTheme="majorHAnsi" w:cstheme="majorHAnsi"/>
          <w:sz w:val="16"/>
          <w:szCs w:val="16"/>
          <w:lang w:val="es-MX"/>
        </w:rPr>
        <w:t>, Ciudad de México, México</w:t>
      </w:r>
    </w:p>
    <w:p w14:paraId="495C3C65" w14:textId="32259892" w:rsidR="00F1457D" w:rsidRPr="0027482E" w:rsidRDefault="00F1457D" w:rsidP="00F1457D">
      <w:pPr>
        <w:keepNext/>
        <w:spacing w:after="240"/>
        <w:jc w:val="both"/>
        <w:rPr>
          <w:rFonts w:asciiTheme="majorHAnsi" w:hAnsiTheme="majorHAnsi" w:cstheme="majorHAnsi"/>
          <w:sz w:val="16"/>
          <w:szCs w:val="16"/>
          <w:lang w:val="es-ES"/>
        </w:rPr>
      </w:pPr>
      <w:r w:rsidRPr="00115657">
        <w:rPr>
          <w:rFonts w:asciiTheme="majorHAnsi" w:hAnsiTheme="majorHAnsi" w:cstheme="majorHAnsi"/>
          <w:sz w:val="16"/>
          <w:szCs w:val="16"/>
          <w:vertAlign w:val="superscript"/>
          <w:lang w:val="es-MX"/>
        </w:rPr>
        <w:t>b</w:t>
      </w:r>
      <w:r w:rsidRPr="00115657">
        <w:rPr>
          <w:rFonts w:asciiTheme="majorHAnsi" w:hAnsiTheme="majorHAnsi" w:cstheme="majorHAnsi"/>
          <w:sz w:val="16"/>
          <w:szCs w:val="16"/>
          <w:lang w:val="es-MX"/>
        </w:rPr>
        <w:t xml:space="preserve"> Departamento de Materiales Solares, Instituto de Energías Renovables, Universidad Nacional Autónoma de México, Priv. </w:t>
      </w:r>
      <w:r w:rsidR="0089472D" w:rsidRPr="0027482E">
        <w:rPr>
          <w:rFonts w:asciiTheme="majorHAnsi" w:hAnsiTheme="majorHAnsi" w:cstheme="majorHAnsi"/>
          <w:sz w:val="16"/>
          <w:szCs w:val="16"/>
          <w:lang w:val="es-ES"/>
        </w:rPr>
        <w:t>Xochicalco s/n, C.P. 62580 Temixco, Morelos, México</w:t>
      </w:r>
    </w:p>
    <w:p w14:paraId="318EA7A4" w14:textId="4491BEDC" w:rsidR="00F1457D" w:rsidRPr="009E07DF" w:rsidRDefault="0083581F" w:rsidP="00F1457D">
      <w:pPr>
        <w:keepNext/>
        <w:spacing w:after="240"/>
        <w:jc w:val="both"/>
        <w:rPr>
          <w:rFonts w:asciiTheme="majorHAnsi" w:hAnsiTheme="majorHAnsi" w:cstheme="majorHAnsi"/>
          <w:sz w:val="16"/>
          <w:szCs w:val="16"/>
        </w:rPr>
      </w:pPr>
      <w:r w:rsidRPr="009E07DF">
        <w:rPr>
          <w:rFonts w:asciiTheme="majorHAnsi" w:hAnsiTheme="majorHAnsi" w:cstheme="majorHAnsi"/>
          <w:sz w:val="16"/>
          <w:szCs w:val="16"/>
        </w:rPr>
        <w:t>*</w:t>
      </w:r>
      <w:r w:rsidR="00F1457D" w:rsidRPr="009E07DF">
        <w:rPr>
          <w:rFonts w:asciiTheme="majorHAnsi" w:hAnsiTheme="majorHAnsi" w:cstheme="majorHAnsi"/>
          <w:sz w:val="16"/>
          <w:szCs w:val="16"/>
        </w:rPr>
        <w:t>Corresponding Author</w:t>
      </w:r>
      <w:r w:rsidR="002951B4" w:rsidRPr="009E07DF">
        <w:rPr>
          <w:rFonts w:asciiTheme="majorHAnsi" w:hAnsiTheme="majorHAnsi" w:cstheme="majorHAnsi"/>
          <w:sz w:val="16"/>
          <w:szCs w:val="16"/>
        </w:rPr>
        <w:t>:</w:t>
      </w:r>
      <w:r w:rsidR="00F1457D" w:rsidRPr="009E07DF">
        <w:rPr>
          <w:rFonts w:asciiTheme="majorHAnsi" w:hAnsiTheme="majorHAnsi" w:cstheme="majorHAnsi"/>
          <w:sz w:val="16"/>
          <w:szCs w:val="16"/>
        </w:rPr>
        <w:t xml:space="preserve"> </w:t>
      </w:r>
      <w:hyperlink r:id="rId5" w:history="1">
        <w:r w:rsidR="0089472D" w:rsidRPr="009E07DF">
          <w:rPr>
            <w:rStyle w:val="Hyperlink"/>
            <w:rFonts w:asciiTheme="majorHAnsi" w:hAnsiTheme="majorHAnsi" w:cstheme="majorHAnsi"/>
            <w:sz w:val="16"/>
            <w:szCs w:val="16"/>
          </w:rPr>
          <w:t>ihp@azc.uam.mx</w:t>
        </w:r>
      </w:hyperlink>
      <w:r w:rsidR="004B278F" w:rsidRPr="009E07DF">
        <w:rPr>
          <w:rStyle w:val="Hyperlink"/>
          <w:rFonts w:asciiTheme="majorHAnsi" w:hAnsiTheme="majorHAnsi" w:cstheme="majorHAnsi"/>
          <w:sz w:val="16"/>
          <w:szCs w:val="16"/>
        </w:rPr>
        <w:t>;</w:t>
      </w:r>
    </w:p>
    <w:p w14:paraId="11753E9B" w14:textId="77777777" w:rsidR="00F75535" w:rsidRDefault="00AB5C02" w:rsidP="00646E99">
      <w:pPr>
        <w:keepNext/>
        <w:spacing w:before="480" w:after="240"/>
        <w:jc w:val="both"/>
      </w:pPr>
      <w:r>
        <w:rPr>
          <w:noProof/>
        </w:rPr>
        <w:drawing>
          <wp:inline distT="0" distB="0" distL="0" distR="0" wp14:anchorId="0603B25A" wp14:editId="003F310D">
            <wp:extent cx="5612130" cy="3072130"/>
            <wp:effectExtent l="0" t="0" r="7620" b="0"/>
            <wp:docPr id="1685407342" name="Picture 1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07342" name="Picture 1" descr="A collage of images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AD571" w14:textId="0DCEA055" w:rsidR="00D217AB" w:rsidRDefault="00F75535" w:rsidP="00F75535">
      <w:pPr>
        <w:pStyle w:val="Caption"/>
        <w:jc w:val="center"/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>Fig. S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fldChar w:fldCharType="begin"/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instrText xml:space="preserve"> SEQ Fig._S \* ARABIC </w:instrTex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fldChar w:fldCharType="separate"/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>1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fldChar w:fldCharType="end"/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. </w:t>
      </w:r>
      <w:r w:rsidR="0005356B">
        <w:rPr>
          <w:rFonts w:ascii="Times New Roman" w:hAnsi="Times New Roman" w:cs="Times New Roman"/>
          <w:color w:val="4472C4" w:themeColor="accent1"/>
          <w:sz w:val="20"/>
          <w:szCs w:val="20"/>
        </w:rPr>
        <w:t>HRTEM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analysis: (a)</w:t>
      </w:r>
      <w:r w:rsidR="00772B5A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Rh-ZnO sample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>, (b), (c), and (d) show the EDS mapping of</w:t>
      </w:r>
      <w:r w:rsidR="00C60ADA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Zn, O and Rh distribution, respectively, of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the Rh-ZnO sample, (e) </w:t>
      </w:r>
      <w:r w:rsidR="00E24815">
        <w:rPr>
          <w:rFonts w:ascii="Times New Roman" w:hAnsi="Times New Roman" w:cs="Times New Roman"/>
          <w:color w:val="4472C4" w:themeColor="accent1"/>
          <w:sz w:val="20"/>
          <w:szCs w:val="20"/>
        </w:rPr>
        <w:t>S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pectrum of Rh-ZnO, (f) </w:t>
      </w:r>
      <w:r w:rsidR="00E24815">
        <w:rPr>
          <w:rFonts w:ascii="Times New Roman" w:hAnsi="Times New Roman" w:cs="Times New Roman"/>
          <w:color w:val="4472C4" w:themeColor="accent1"/>
          <w:sz w:val="20"/>
          <w:szCs w:val="20"/>
        </w:rPr>
        <w:t>S</w:t>
      </w:r>
      <w:r w:rsidRPr="00A150DB">
        <w:rPr>
          <w:rFonts w:ascii="Times New Roman" w:hAnsi="Times New Roman" w:cs="Times New Roman"/>
          <w:color w:val="4472C4" w:themeColor="accent1"/>
          <w:sz w:val="20"/>
          <w:szCs w:val="20"/>
        </w:rPr>
        <w:t>pectrum of RhW-ZnO, and (g)</w:t>
      </w:r>
      <w:r w:rsidR="00DC6990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="00DF7385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Elemental </w:t>
      </w:r>
      <w:r w:rsidR="009B4D5F">
        <w:rPr>
          <w:rFonts w:ascii="Times New Roman" w:hAnsi="Times New Roman" w:cs="Times New Roman"/>
          <w:color w:val="4472C4" w:themeColor="accent1"/>
          <w:sz w:val="20"/>
          <w:szCs w:val="20"/>
        </w:rPr>
        <w:t>composition</w:t>
      </w:r>
      <w:r w:rsidR="00DC6990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of </w:t>
      </w:r>
      <w:r w:rsidR="00D9606D">
        <w:rPr>
          <w:rFonts w:ascii="Times New Roman" w:hAnsi="Times New Roman" w:cs="Times New Roman"/>
          <w:color w:val="4472C4" w:themeColor="accent1"/>
          <w:sz w:val="20"/>
          <w:szCs w:val="20"/>
        </w:rPr>
        <w:t>pure ZnO, Rh-ZnO, and RhW-ZnO.</w:t>
      </w:r>
    </w:p>
    <w:p w14:paraId="3AD21203" w14:textId="77777777" w:rsidR="004323F4" w:rsidRPr="004323F4" w:rsidRDefault="004323F4" w:rsidP="004323F4"/>
    <w:p w14:paraId="3FC02A50" w14:textId="6498A461" w:rsidR="00F1457D" w:rsidRPr="006639AF" w:rsidRDefault="00F1457D" w:rsidP="006B444B">
      <w:pPr>
        <w:keepNext/>
        <w:spacing w:before="480" w:after="240"/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lastRenderedPageBreak/>
        <w:t>Scherrer equation</w:t>
      </w:r>
    </w:p>
    <w:tbl>
      <w:tblPr>
        <w:tblStyle w:val="TableGrid"/>
        <w:tblW w:w="8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426"/>
        <w:gridCol w:w="1814"/>
      </w:tblGrid>
      <w:tr w:rsidR="00F1457D" w:rsidRPr="006639AF" w14:paraId="57F13737" w14:textId="77777777" w:rsidTr="00F1457D">
        <w:trPr>
          <w:jc w:val="center"/>
        </w:trPr>
        <w:tc>
          <w:tcPr>
            <w:tcW w:w="1270" w:type="dxa"/>
            <w:vAlign w:val="center"/>
          </w:tcPr>
          <w:p w14:paraId="1B7DD82E" w14:textId="77777777" w:rsidR="00F1457D" w:rsidRPr="006639AF" w:rsidRDefault="00F1457D" w:rsidP="00F1457D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  <w:vAlign w:val="center"/>
          </w:tcPr>
          <w:p w14:paraId="45DB0FBD" w14:textId="5658D093" w:rsidR="00F1457D" w:rsidRPr="006639AF" w:rsidRDefault="006639AF" w:rsidP="00F1457D">
            <w:pPr>
              <w:keepNext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/>
                  </w:rPr>
                  <m:t>D 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</w:rPr>
                      <m:t>kλ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</w:rPr>
                      <m:t>β(cosθ)</m:t>
                    </m:r>
                  </m:den>
                </m:f>
              </m:oMath>
            </m:oMathPara>
          </w:p>
        </w:tc>
        <w:tc>
          <w:tcPr>
            <w:tcW w:w="1814" w:type="dxa"/>
            <w:vAlign w:val="center"/>
          </w:tcPr>
          <w:p w14:paraId="7FF793E2" w14:textId="66F4AEEA" w:rsidR="00F1457D" w:rsidRPr="006639AF" w:rsidRDefault="00F1457D" w:rsidP="00F1457D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6639AF">
              <w:rPr>
                <w:rFonts w:ascii="Times New Roman" w:hAnsi="Times New Roman" w:cs="Times New Roman"/>
              </w:rPr>
              <w:t>Eq. (S1)</w:t>
            </w:r>
          </w:p>
        </w:tc>
      </w:tr>
    </w:tbl>
    <w:p w14:paraId="63FEFD0E" w14:textId="77777777" w:rsidR="00F1457D" w:rsidRPr="006639AF" w:rsidRDefault="00F1457D" w:rsidP="00F1457D">
      <w:pPr>
        <w:keepNext/>
        <w:spacing w:before="360"/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t>where k is a constant (0.9), λ is the X-ray wavelength, β is the full-width at half maximum of the diffraction peak, and θ is the Bragg angle.</w:t>
      </w:r>
    </w:p>
    <w:p w14:paraId="483EFB65" w14:textId="77777777" w:rsidR="00F1457D" w:rsidRPr="006639AF" w:rsidRDefault="00F1457D" w:rsidP="00F1457D">
      <w:pPr>
        <w:keepNext/>
        <w:spacing w:after="360"/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t>Bragg’s law principles for hexagonal wurtzite structure</w:t>
      </w:r>
    </w:p>
    <w:tbl>
      <w:tblPr>
        <w:tblStyle w:val="TableGrid"/>
        <w:tblW w:w="8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426"/>
        <w:gridCol w:w="1814"/>
      </w:tblGrid>
      <w:tr w:rsidR="00F1457D" w:rsidRPr="006639AF" w14:paraId="27B5D315" w14:textId="77777777" w:rsidTr="00491896">
        <w:trPr>
          <w:jc w:val="center"/>
        </w:trPr>
        <w:tc>
          <w:tcPr>
            <w:tcW w:w="1270" w:type="dxa"/>
            <w:vAlign w:val="center"/>
          </w:tcPr>
          <w:p w14:paraId="182956EB" w14:textId="77777777" w:rsidR="00F1457D" w:rsidRPr="006639AF" w:rsidRDefault="00F1457D" w:rsidP="0049189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  <w:vAlign w:val="center"/>
          </w:tcPr>
          <w:p w14:paraId="04F82B06" w14:textId="616F7567" w:rsidR="00F1457D" w:rsidRPr="006639AF" w:rsidRDefault="00000000" w:rsidP="00491896">
            <w:pPr>
              <w:keepNext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d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</w:rPr>
                      <m:t>4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+hk+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k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l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c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814" w:type="dxa"/>
            <w:vAlign w:val="center"/>
          </w:tcPr>
          <w:p w14:paraId="3F973AC1" w14:textId="27355C90" w:rsidR="00F1457D" w:rsidRPr="006639AF" w:rsidRDefault="00F1457D" w:rsidP="0049189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6639AF">
              <w:rPr>
                <w:rFonts w:ascii="Times New Roman" w:hAnsi="Times New Roman" w:cs="Times New Roman"/>
              </w:rPr>
              <w:t>Eq. (S2)</w:t>
            </w:r>
          </w:p>
        </w:tc>
      </w:tr>
    </w:tbl>
    <w:p w14:paraId="3D8F97CD" w14:textId="2E53ABE4" w:rsidR="00F6587C" w:rsidRDefault="00F1457D" w:rsidP="00F1457D">
      <w:pPr>
        <w:keepNext/>
        <w:spacing w:before="360" w:after="0"/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t xml:space="preserve">Where </w:t>
      </w:r>
      <w:r w:rsidRPr="006639AF">
        <w:rPr>
          <w:rFonts w:ascii="Times New Roman" w:hAnsi="Times New Roman" w:cs="Times New Roman"/>
          <w:i/>
          <w:iCs/>
        </w:rPr>
        <w:t>d</w:t>
      </w:r>
      <w:r w:rsidRPr="006639AF">
        <w:rPr>
          <w:rFonts w:ascii="Times New Roman" w:hAnsi="Times New Roman" w:cs="Times New Roman"/>
        </w:rPr>
        <w:t xml:space="preserve"> is the interplanar distance, </w:t>
      </w:r>
      <w:r w:rsidRPr="006639AF">
        <w:rPr>
          <w:rFonts w:ascii="Times New Roman" w:hAnsi="Times New Roman" w:cs="Times New Roman"/>
          <w:i/>
          <w:iCs/>
        </w:rPr>
        <w:t>h</w:t>
      </w:r>
      <w:r w:rsidRPr="006639AF">
        <w:rPr>
          <w:rFonts w:ascii="Times New Roman" w:hAnsi="Times New Roman" w:cs="Times New Roman"/>
        </w:rPr>
        <w:t xml:space="preserve">, </w:t>
      </w:r>
      <w:r w:rsidRPr="006639AF">
        <w:rPr>
          <w:rFonts w:ascii="Times New Roman" w:hAnsi="Times New Roman" w:cs="Times New Roman"/>
          <w:i/>
          <w:iCs/>
        </w:rPr>
        <w:t>k</w:t>
      </w:r>
      <w:r w:rsidRPr="006639AF">
        <w:rPr>
          <w:rFonts w:ascii="Times New Roman" w:hAnsi="Times New Roman" w:cs="Times New Roman"/>
        </w:rPr>
        <w:t xml:space="preserve">, and </w:t>
      </w:r>
      <w:r w:rsidRPr="006639AF">
        <w:rPr>
          <w:rFonts w:ascii="Times New Roman" w:hAnsi="Times New Roman" w:cs="Times New Roman"/>
          <w:i/>
          <w:iCs/>
        </w:rPr>
        <w:t>l</w:t>
      </w:r>
      <w:r w:rsidRPr="006639AF">
        <w:rPr>
          <w:rFonts w:ascii="Times New Roman" w:hAnsi="Times New Roman" w:cs="Times New Roman"/>
        </w:rPr>
        <w:t xml:space="preserve"> are the Miller indices of the crystal planes and </w:t>
      </w:r>
      <w:r w:rsidRPr="006639AF">
        <w:rPr>
          <w:rFonts w:ascii="Times New Roman" w:hAnsi="Times New Roman" w:cs="Times New Roman"/>
          <w:i/>
          <w:iCs/>
        </w:rPr>
        <w:t>a</w:t>
      </w:r>
      <w:r w:rsidRPr="006639AF">
        <w:rPr>
          <w:rFonts w:ascii="Times New Roman" w:hAnsi="Times New Roman" w:cs="Times New Roman"/>
        </w:rPr>
        <w:t xml:space="preserve"> and </w:t>
      </w:r>
      <w:r w:rsidRPr="006639AF">
        <w:rPr>
          <w:rFonts w:ascii="Times New Roman" w:hAnsi="Times New Roman" w:cs="Times New Roman"/>
          <w:i/>
          <w:iCs/>
        </w:rPr>
        <w:t>c</w:t>
      </w:r>
      <w:r w:rsidRPr="006639AF">
        <w:rPr>
          <w:rFonts w:ascii="Times New Roman" w:hAnsi="Times New Roman" w:cs="Times New Roman"/>
        </w:rPr>
        <w:t xml:space="preserve"> are the lattice constants.</w:t>
      </w:r>
      <w:r w:rsidR="00566459" w:rsidRPr="006639AF">
        <w:rPr>
          <w:rFonts w:ascii="Times New Roman" w:hAnsi="Times New Roman" w:cs="Times New Roman"/>
        </w:rPr>
        <w:t xml:space="preserve"> </w:t>
      </w:r>
      <w:r w:rsidRPr="006639AF">
        <w:rPr>
          <w:rFonts w:ascii="Times New Roman" w:hAnsi="Times New Roman" w:cs="Times New Roman"/>
        </w:rPr>
        <w:t xml:space="preserve">From this </w:t>
      </w:r>
      <w:r w:rsidR="006B444B" w:rsidRPr="006639AF">
        <w:rPr>
          <w:rFonts w:ascii="Times New Roman" w:hAnsi="Times New Roman" w:cs="Times New Roman"/>
        </w:rPr>
        <w:t>equation</w:t>
      </w:r>
      <w:r w:rsidRPr="006639AF">
        <w:rPr>
          <w:rFonts w:ascii="Times New Roman" w:hAnsi="Times New Roman" w:cs="Times New Roman"/>
        </w:rPr>
        <w:t xml:space="preserve"> </w:t>
      </w:r>
      <w:r w:rsidR="006B444B" w:rsidRPr="006639AF">
        <w:rPr>
          <w:rFonts w:ascii="Times New Roman" w:hAnsi="Times New Roman" w:cs="Times New Roman"/>
        </w:rPr>
        <w:t xml:space="preserve">and the </w:t>
      </w:r>
      <w:r w:rsidRPr="006639AF">
        <w:rPr>
          <w:rFonts w:ascii="Times New Roman" w:hAnsi="Times New Roman" w:cs="Times New Roman"/>
        </w:rPr>
        <w:t>X-ray diffraction patterns</w:t>
      </w:r>
      <w:r w:rsidR="009740D9">
        <w:rPr>
          <w:rFonts w:ascii="Times New Roman" w:hAnsi="Times New Roman" w:cs="Times New Roman"/>
        </w:rPr>
        <w:t>,</w:t>
      </w:r>
      <w:r w:rsidRPr="006639AF">
        <w:rPr>
          <w:rFonts w:ascii="Times New Roman" w:hAnsi="Times New Roman" w:cs="Times New Roman"/>
        </w:rPr>
        <w:t xml:space="preserve"> the lattice parameters of pure and doped ZnO</w:t>
      </w:r>
      <w:r w:rsidR="009740D9">
        <w:rPr>
          <w:rFonts w:ascii="Times New Roman" w:hAnsi="Times New Roman" w:cs="Times New Roman"/>
        </w:rPr>
        <w:t xml:space="preserve"> were calculated</w:t>
      </w:r>
      <w:r w:rsidRPr="006639AF">
        <w:rPr>
          <w:rFonts w:ascii="Times New Roman" w:hAnsi="Times New Roman" w:cs="Times New Roman"/>
        </w:rPr>
        <w:t>.</w:t>
      </w:r>
    </w:p>
    <w:p w14:paraId="542985C7" w14:textId="77777777" w:rsidR="00406D16" w:rsidRDefault="00406D16" w:rsidP="00406D16">
      <w:pPr>
        <w:keepNext/>
        <w:spacing w:after="0"/>
        <w:jc w:val="both"/>
        <w:rPr>
          <w:rFonts w:ascii="Times New Roman" w:hAnsi="Times New Roman" w:cs="Times New Roman"/>
        </w:rPr>
      </w:pPr>
    </w:p>
    <w:p w14:paraId="1FE25AD2" w14:textId="61C4BB19" w:rsidR="00E24361" w:rsidRDefault="00E24361" w:rsidP="00E24361">
      <w:pPr>
        <w:jc w:val="both"/>
        <w:rPr>
          <w:rFonts w:ascii="Times New Roman" w:hAnsi="Times New Roman" w:cs="Times New Roman"/>
          <w:color w:val="0070C0"/>
        </w:rPr>
      </w:pPr>
      <w:r w:rsidRPr="001D5A2B">
        <w:rPr>
          <w:rFonts w:ascii="Times New Roman" w:hAnsi="Times New Roman" w:cs="Times New Roman"/>
          <w:color w:val="0070C0"/>
        </w:rPr>
        <w:t xml:space="preserve">The XRD patterns were refined </w:t>
      </w:r>
      <w:r w:rsidR="00475FA4">
        <w:rPr>
          <w:rFonts w:ascii="Times New Roman" w:hAnsi="Times New Roman" w:cs="Times New Roman"/>
          <w:color w:val="0070C0"/>
        </w:rPr>
        <w:t>using a</w:t>
      </w:r>
      <w:r w:rsidRPr="001D5A2B">
        <w:rPr>
          <w:rFonts w:ascii="Times New Roman" w:hAnsi="Times New Roman" w:cs="Times New Roman"/>
          <w:color w:val="0070C0"/>
        </w:rPr>
        <w:t xml:space="preserve"> linear interpolation between a set </w:t>
      </w:r>
      <w:r w:rsidR="00475FA4">
        <w:rPr>
          <w:rFonts w:ascii="Times New Roman" w:hAnsi="Times New Roman" w:cs="Times New Roman"/>
          <w:color w:val="0070C0"/>
        </w:rPr>
        <w:t xml:space="preserve">of </w:t>
      </w:r>
      <w:r w:rsidRPr="001D5A2B">
        <w:rPr>
          <w:rFonts w:ascii="Times New Roman" w:hAnsi="Times New Roman" w:cs="Times New Roman"/>
          <w:color w:val="0070C0"/>
        </w:rPr>
        <w:t>background point</w:t>
      </w:r>
      <w:r w:rsidR="00475FA4">
        <w:rPr>
          <w:rFonts w:ascii="Times New Roman" w:hAnsi="Times New Roman" w:cs="Times New Roman"/>
          <w:color w:val="0070C0"/>
        </w:rPr>
        <w:t>s</w:t>
      </w:r>
      <w:r w:rsidRPr="001D5A2B">
        <w:rPr>
          <w:rFonts w:ascii="Times New Roman" w:hAnsi="Times New Roman" w:cs="Times New Roman"/>
          <w:color w:val="0070C0"/>
        </w:rPr>
        <w:t xml:space="preserve"> with the Thompson-Cox-Hasting function, considering anisotropic samples. The refinement parameters </w:t>
      </w:r>
      <w:r w:rsidR="00475FA4">
        <w:rPr>
          <w:rFonts w:ascii="Times New Roman" w:hAnsi="Times New Roman" w:cs="Times New Roman"/>
          <w:color w:val="0070C0"/>
        </w:rPr>
        <w:t>included</w:t>
      </w:r>
      <w:r w:rsidRPr="001D5A2B">
        <w:rPr>
          <w:rFonts w:ascii="Times New Roman" w:hAnsi="Times New Roman" w:cs="Times New Roman"/>
          <w:color w:val="0070C0"/>
        </w:rPr>
        <w:t xml:space="preserve"> instrumental parameters, lattice parameters, asymmetries, atomic positions</w:t>
      </w:r>
      <w:r w:rsidR="00475FA4">
        <w:rPr>
          <w:rFonts w:ascii="Times New Roman" w:hAnsi="Times New Roman" w:cs="Times New Roman"/>
          <w:color w:val="0070C0"/>
        </w:rPr>
        <w:t>, and</w:t>
      </w:r>
      <w:r w:rsidRPr="001D5A2B">
        <w:rPr>
          <w:rFonts w:ascii="Times New Roman" w:hAnsi="Times New Roman" w:cs="Times New Roman"/>
          <w:color w:val="0070C0"/>
        </w:rPr>
        <w:t xml:space="preserve"> shape parameters</w:t>
      </w:r>
      <w:r w:rsidR="00475FA4">
        <w:rPr>
          <w:rFonts w:ascii="Times New Roman" w:hAnsi="Times New Roman" w:cs="Times New Roman"/>
          <w:color w:val="0070C0"/>
        </w:rPr>
        <w:t>.</w:t>
      </w:r>
      <w:r w:rsidRPr="001D5A2B">
        <w:rPr>
          <w:rFonts w:ascii="Times New Roman" w:hAnsi="Times New Roman" w:cs="Times New Roman"/>
          <w:color w:val="0070C0"/>
        </w:rPr>
        <w:t xml:space="preserve"> </w:t>
      </w:r>
      <w:r w:rsidR="00475FA4" w:rsidRPr="00475FA4">
        <w:rPr>
          <w:rFonts w:ascii="Times New Roman" w:hAnsi="Times New Roman" w:cs="Times New Roman"/>
          <w:color w:val="0070C0"/>
        </w:rPr>
        <w:t>This approach aimed to determine the occupancy of pure and doped ZnO and to confirm the presence of dopants in the crystal structure.</w:t>
      </w:r>
      <w:r w:rsidRPr="001D5A2B">
        <w:rPr>
          <w:rFonts w:ascii="Times New Roman" w:hAnsi="Times New Roman" w:cs="Times New Roman"/>
          <w:color w:val="0070C0"/>
        </w:rPr>
        <w:t xml:space="preserve"> The occupancies were calculated from dopant/multiplicity</w:t>
      </w:r>
      <w:r w:rsidR="00475FA4">
        <w:rPr>
          <w:rFonts w:ascii="Times New Roman" w:hAnsi="Times New Roman" w:cs="Times New Roman"/>
          <w:color w:val="0070C0"/>
        </w:rPr>
        <w:t xml:space="preserve"> ratio</w:t>
      </w:r>
      <w:r w:rsidRPr="001D5A2B">
        <w:rPr>
          <w:rFonts w:ascii="Times New Roman" w:hAnsi="Times New Roman" w:cs="Times New Roman"/>
          <w:color w:val="0070C0"/>
        </w:rPr>
        <w:t>.</w:t>
      </w:r>
    </w:p>
    <w:p w14:paraId="59948664" w14:textId="7CF41021" w:rsidR="00E24361" w:rsidRPr="00E24361" w:rsidRDefault="00E24361" w:rsidP="00E24361">
      <w:pPr>
        <w:pStyle w:val="Caption"/>
        <w:keepNext/>
        <w:rPr>
          <w:rFonts w:ascii="Times New Roman" w:hAnsi="Times New Roman" w:cs="Times New Roman"/>
          <w:color w:val="0070C0"/>
          <w:sz w:val="20"/>
          <w:szCs w:val="20"/>
        </w:rPr>
      </w:pPr>
      <w:r w:rsidRPr="00771BDE">
        <w:rPr>
          <w:rFonts w:ascii="Times New Roman" w:hAnsi="Times New Roman" w:cs="Times New Roman"/>
          <w:color w:val="0070C0"/>
          <w:sz w:val="20"/>
          <w:szCs w:val="20"/>
        </w:rPr>
        <w:t>Table S</w:t>
      </w:r>
      <w:r w:rsidR="00445408">
        <w:rPr>
          <w:rFonts w:ascii="Times New Roman" w:hAnsi="Times New Roman" w:cs="Times New Roman"/>
          <w:color w:val="0070C0"/>
          <w:sz w:val="20"/>
          <w:szCs w:val="20"/>
        </w:rPr>
        <w:t>1</w:t>
      </w:r>
      <w:r w:rsidRPr="00771BDE">
        <w:rPr>
          <w:rFonts w:ascii="Times New Roman" w:hAnsi="Times New Roman" w:cs="Times New Roman"/>
          <w:color w:val="0070C0"/>
          <w:sz w:val="20"/>
          <w:szCs w:val="20"/>
        </w:rPr>
        <w:t>. Theor</w:t>
      </w:r>
      <w:r w:rsidR="00F54552">
        <w:rPr>
          <w:rFonts w:ascii="Times New Roman" w:hAnsi="Times New Roman" w:cs="Times New Roman"/>
          <w:color w:val="0070C0"/>
          <w:sz w:val="20"/>
          <w:szCs w:val="20"/>
        </w:rPr>
        <w:t>et</w:t>
      </w:r>
      <w:r w:rsidRPr="00771BDE">
        <w:rPr>
          <w:rFonts w:ascii="Times New Roman" w:hAnsi="Times New Roman" w:cs="Times New Roman"/>
          <w:color w:val="0070C0"/>
          <w:sz w:val="20"/>
          <w:szCs w:val="20"/>
        </w:rPr>
        <w:t>ical and refined occupancies of pure, doped and co-doped ZnO with Rh and W.</w:t>
      </w:r>
    </w:p>
    <w:tbl>
      <w:tblPr>
        <w:tblStyle w:val="TableGrid"/>
        <w:tblW w:w="93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0"/>
        <w:gridCol w:w="931"/>
        <w:gridCol w:w="1066"/>
        <w:gridCol w:w="931"/>
        <w:gridCol w:w="1084"/>
        <w:gridCol w:w="1037"/>
        <w:gridCol w:w="1084"/>
        <w:gridCol w:w="992"/>
        <w:gridCol w:w="1276"/>
      </w:tblGrid>
      <w:tr w:rsidR="00E06FEB" w:rsidRPr="00AD4525" w14:paraId="40109014" w14:textId="0FEE0A64" w:rsidTr="005F4AF6">
        <w:trPr>
          <w:trHeight w:val="564"/>
        </w:trPr>
        <w:tc>
          <w:tcPr>
            <w:tcW w:w="950" w:type="dxa"/>
            <w:vMerge w:val="restart"/>
            <w:vAlign w:val="center"/>
          </w:tcPr>
          <w:p w14:paraId="7F9965E3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Element</w:t>
            </w:r>
          </w:p>
        </w:tc>
        <w:tc>
          <w:tcPr>
            <w:tcW w:w="4012" w:type="dxa"/>
            <w:gridSpan w:val="4"/>
            <w:vAlign w:val="center"/>
          </w:tcPr>
          <w:p w14:paraId="3AE6B73E" w14:textId="6C71FBA6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Theorical occupancies</w:t>
            </w:r>
          </w:p>
        </w:tc>
        <w:tc>
          <w:tcPr>
            <w:tcW w:w="4389" w:type="dxa"/>
            <w:gridSpan w:val="4"/>
            <w:vAlign w:val="center"/>
          </w:tcPr>
          <w:p w14:paraId="3A115ADF" w14:textId="2A8C125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Refined occupancies</w:t>
            </w:r>
          </w:p>
        </w:tc>
      </w:tr>
      <w:tr w:rsidR="00E06FEB" w:rsidRPr="00AD4525" w14:paraId="2BD1484E" w14:textId="77777777" w:rsidTr="00E06FEB">
        <w:tc>
          <w:tcPr>
            <w:tcW w:w="950" w:type="dxa"/>
            <w:vMerge/>
            <w:vAlign w:val="center"/>
          </w:tcPr>
          <w:p w14:paraId="1E807931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31" w:type="dxa"/>
            <w:vAlign w:val="center"/>
          </w:tcPr>
          <w:p w14:paraId="41B608D2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ZnO</w:t>
            </w:r>
          </w:p>
        </w:tc>
        <w:tc>
          <w:tcPr>
            <w:tcW w:w="1066" w:type="dxa"/>
            <w:vAlign w:val="center"/>
          </w:tcPr>
          <w:p w14:paraId="7F7D26B8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Rh</w:t>
            </w:r>
            <w:r>
              <w:rPr>
                <w:rFonts w:ascii="Times New Roman" w:hAnsi="Times New Roman" w:cs="Times New Roman"/>
                <w:color w:val="0070C0"/>
              </w:rPr>
              <w:t>-Zn</w:t>
            </w: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  <w:tc>
          <w:tcPr>
            <w:tcW w:w="931" w:type="dxa"/>
            <w:vAlign w:val="center"/>
          </w:tcPr>
          <w:p w14:paraId="7F435727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W</w:t>
            </w:r>
            <w:r>
              <w:rPr>
                <w:rFonts w:ascii="Times New Roman" w:hAnsi="Times New Roman" w:cs="Times New Roman"/>
                <w:color w:val="0070C0"/>
              </w:rPr>
              <w:t>-Zn</w:t>
            </w: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  <w:tc>
          <w:tcPr>
            <w:tcW w:w="1084" w:type="dxa"/>
            <w:vAlign w:val="center"/>
          </w:tcPr>
          <w:p w14:paraId="55736C2D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RhW</w:t>
            </w:r>
            <w:r>
              <w:rPr>
                <w:rFonts w:ascii="Times New Roman" w:hAnsi="Times New Roman" w:cs="Times New Roman"/>
                <w:color w:val="0070C0"/>
              </w:rPr>
              <w:t>-Zn</w:t>
            </w: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  <w:tc>
          <w:tcPr>
            <w:tcW w:w="1037" w:type="dxa"/>
            <w:vAlign w:val="center"/>
          </w:tcPr>
          <w:p w14:paraId="4809E1AC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ZnO</w:t>
            </w:r>
          </w:p>
        </w:tc>
        <w:tc>
          <w:tcPr>
            <w:tcW w:w="1084" w:type="dxa"/>
            <w:vAlign w:val="center"/>
          </w:tcPr>
          <w:p w14:paraId="3E236FD5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Rh</w:t>
            </w:r>
            <w:r>
              <w:rPr>
                <w:rFonts w:ascii="Times New Roman" w:hAnsi="Times New Roman" w:cs="Times New Roman"/>
                <w:color w:val="0070C0"/>
              </w:rPr>
              <w:t>-ZnO</w:t>
            </w:r>
          </w:p>
        </w:tc>
        <w:tc>
          <w:tcPr>
            <w:tcW w:w="992" w:type="dxa"/>
            <w:vAlign w:val="center"/>
          </w:tcPr>
          <w:p w14:paraId="70860AE1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W</w:t>
            </w:r>
            <w:r>
              <w:rPr>
                <w:rFonts w:ascii="Times New Roman" w:hAnsi="Times New Roman" w:cs="Times New Roman"/>
                <w:color w:val="0070C0"/>
              </w:rPr>
              <w:t>-Zn</w:t>
            </w: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  <w:tc>
          <w:tcPr>
            <w:tcW w:w="1276" w:type="dxa"/>
            <w:vAlign w:val="center"/>
          </w:tcPr>
          <w:p w14:paraId="615C4509" w14:textId="77777777" w:rsidR="00E06FEB" w:rsidRPr="00AD4525" w:rsidRDefault="00E06FEB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RhW</w:t>
            </w:r>
            <w:r>
              <w:rPr>
                <w:rFonts w:ascii="Times New Roman" w:hAnsi="Times New Roman" w:cs="Times New Roman"/>
                <w:color w:val="0070C0"/>
              </w:rPr>
              <w:t>-Zn</w:t>
            </w: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</w:tr>
      <w:tr w:rsidR="00E24361" w:rsidRPr="00AD4525" w14:paraId="00FD269D" w14:textId="77777777" w:rsidTr="00E06FEB">
        <w:tc>
          <w:tcPr>
            <w:tcW w:w="950" w:type="dxa"/>
            <w:vAlign w:val="center"/>
          </w:tcPr>
          <w:p w14:paraId="16CFB09B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Zn</w:t>
            </w:r>
          </w:p>
        </w:tc>
        <w:tc>
          <w:tcPr>
            <w:tcW w:w="931" w:type="dxa"/>
            <w:vAlign w:val="center"/>
          </w:tcPr>
          <w:p w14:paraId="38B6DCBC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0.04167</w:t>
            </w:r>
          </w:p>
        </w:tc>
        <w:tc>
          <w:tcPr>
            <w:tcW w:w="1066" w:type="dxa"/>
            <w:vAlign w:val="center"/>
          </w:tcPr>
          <w:p w14:paraId="5A3EFB80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0.04125</w:t>
            </w:r>
          </w:p>
        </w:tc>
        <w:tc>
          <w:tcPr>
            <w:tcW w:w="931" w:type="dxa"/>
            <w:vAlign w:val="center"/>
          </w:tcPr>
          <w:p w14:paraId="3D434A39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0.04125</w:t>
            </w:r>
          </w:p>
        </w:tc>
        <w:tc>
          <w:tcPr>
            <w:tcW w:w="1084" w:type="dxa"/>
            <w:vAlign w:val="center"/>
          </w:tcPr>
          <w:p w14:paraId="598335B0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0.04125</w:t>
            </w:r>
          </w:p>
        </w:tc>
        <w:tc>
          <w:tcPr>
            <w:tcW w:w="1037" w:type="dxa"/>
            <w:vAlign w:val="center"/>
          </w:tcPr>
          <w:p w14:paraId="19AF77A2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0.04160</w:t>
            </w:r>
          </w:p>
        </w:tc>
        <w:tc>
          <w:tcPr>
            <w:tcW w:w="1084" w:type="dxa"/>
            <w:vAlign w:val="center"/>
          </w:tcPr>
          <w:p w14:paraId="7B8D3B65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0.04124</w:t>
            </w:r>
          </w:p>
        </w:tc>
        <w:tc>
          <w:tcPr>
            <w:tcW w:w="992" w:type="dxa"/>
            <w:vAlign w:val="center"/>
          </w:tcPr>
          <w:p w14:paraId="742C7EB6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0.04592</w:t>
            </w:r>
          </w:p>
        </w:tc>
        <w:tc>
          <w:tcPr>
            <w:tcW w:w="1276" w:type="dxa"/>
            <w:vAlign w:val="center"/>
          </w:tcPr>
          <w:p w14:paraId="6A05F10B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0.04516</w:t>
            </w:r>
          </w:p>
        </w:tc>
      </w:tr>
      <w:tr w:rsidR="00E24361" w:rsidRPr="00AD4525" w14:paraId="304E843C" w14:textId="77777777" w:rsidTr="00E06FEB">
        <w:tc>
          <w:tcPr>
            <w:tcW w:w="950" w:type="dxa"/>
            <w:vAlign w:val="center"/>
          </w:tcPr>
          <w:p w14:paraId="0ABF12EE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O</w:t>
            </w:r>
          </w:p>
        </w:tc>
        <w:tc>
          <w:tcPr>
            <w:tcW w:w="931" w:type="dxa"/>
            <w:vAlign w:val="center"/>
          </w:tcPr>
          <w:p w14:paraId="5F45E949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0.04167</w:t>
            </w:r>
          </w:p>
        </w:tc>
        <w:tc>
          <w:tcPr>
            <w:tcW w:w="1066" w:type="dxa"/>
            <w:vAlign w:val="center"/>
          </w:tcPr>
          <w:p w14:paraId="18137D09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0.04167</w:t>
            </w:r>
          </w:p>
        </w:tc>
        <w:tc>
          <w:tcPr>
            <w:tcW w:w="931" w:type="dxa"/>
            <w:vAlign w:val="center"/>
          </w:tcPr>
          <w:p w14:paraId="3EB08674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0.04167</w:t>
            </w:r>
          </w:p>
        </w:tc>
        <w:tc>
          <w:tcPr>
            <w:tcW w:w="1084" w:type="dxa"/>
            <w:vAlign w:val="center"/>
          </w:tcPr>
          <w:p w14:paraId="1522F539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0.04167</w:t>
            </w:r>
          </w:p>
        </w:tc>
        <w:tc>
          <w:tcPr>
            <w:tcW w:w="1037" w:type="dxa"/>
            <w:vAlign w:val="center"/>
          </w:tcPr>
          <w:p w14:paraId="79264074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0.04160</w:t>
            </w:r>
          </w:p>
        </w:tc>
        <w:tc>
          <w:tcPr>
            <w:tcW w:w="1084" w:type="dxa"/>
            <w:vAlign w:val="center"/>
          </w:tcPr>
          <w:p w14:paraId="4B839D8C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0.04160</w:t>
            </w:r>
          </w:p>
        </w:tc>
        <w:tc>
          <w:tcPr>
            <w:tcW w:w="992" w:type="dxa"/>
            <w:vAlign w:val="center"/>
          </w:tcPr>
          <w:p w14:paraId="133FE3FF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0.05925</w:t>
            </w:r>
          </w:p>
        </w:tc>
        <w:tc>
          <w:tcPr>
            <w:tcW w:w="1276" w:type="dxa"/>
            <w:vAlign w:val="center"/>
          </w:tcPr>
          <w:p w14:paraId="151A62D7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0.06064</w:t>
            </w:r>
          </w:p>
        </w:tc>
      </w:tr>
      <w:tr w:rsidR="00E24361" w:rsidRPr="00AD4525" w14:paraId="0FE684C0" w14:textId="77777777" w:rsidTr="00E06FEB">
        <w:tc>
          <w:tcPr>
            <w:tcW w:w="950" w:type="dxa"/>
            <w:vAlign w:val="center"/>
          </w:tcPr>
          <w:p w14:paraId="4F33B921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Rh</w:t>
            </w:r>
          </w:p>
        </w:tc>
        <w:tc>
          <w:tcPr>
            <w:tcW w:w="931" w:type="dxa"/>
            <w:vAlign w:val="center"/>
          </w:tcPr>
          <w:p w14:paraId="0E51FDD5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066" w:type="dxa"/>
            <w:vAlign w:val="center"/>
          </w:tcPr>
          <w:p w14:paraId="7A839BDB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0.00042</w:t>
            </w:r>
          </w:p>
        </w:tc>
        <w:tc>
          <w:tcPr>
            <w:tcW w:w="931" w:type="dxa"/>
            <w:vAlign w:val="center"/>
          </w:tcPr>
          <w:p w14:paraId="25FF2BB4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084" w:type="dxa"/>
            <w:vAlign w:val="center"/>
          </w:tcPr>
          <w:p w14:paraId="493C57B4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0.00021</w:t>
            </w:r>
          </w:p>
        </w:tc>
        <w:tc>
          <w:tcPr>
            <w:tcW w:w="1037" w:type="dxa"/>
            <w:vAlign w:val="center"/>
          </w:tcPr>
          <w:p w14:paraId="2AFD80E3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084" w:type="dxa"/>
            <w:vAlign w:val="center"/>
          </w:tcPr>
          <w:p w14:paraId="5A465EE7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0.00041</w:t>
            </w:r>
          </w:p>
        </w:tc>
        <w:tc>
          <w:tcPr>
            <w:tcW w:w="992" w:type="dxa"/>
            <w:vAlign w:val="center"/>
          </w:tcPr>
          <w:p w14:paraId="58B3A6F9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276" w:type="dxa"/>
            <w:vAlign w:val="center"/>
          </w:tcPr>
          <w:p w14:paraId="7F197D3D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0.00412</w:t>
            </w:r>
          </w:p>
        </w:tc>
      </w:tr>
      <w:tr w:rsidR="00E24361" w:rsidRPr="00AD4525" w14:paraId="0F2A68A6" w14:textId="77777777" w:rsidTr="00E06FEB">
        <w:tc>
          <w:tcPr>
            <w:tcW w:w="950" w:type="dxa"/>
            <w:vAlign w:val="center"/>
          </w:tcPr>
          <w:p w14:paraId="197F6955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W</w:t>
            </w:r>
          </w:p>
        </w:tc>
        <w:tc>
          <w:tcPr>
            <w:tcW w:w="931" w:type="dxa"/>
            <w:vAlign w:val="center"/>
          </w:tcPr>
          <w:p w14:paraId="47F8A278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066" w:type="dxa"/>
            <w:vAlign w:val="center"/>
          </w:tcPr>
          <w:p w14:paraId="287D9F1A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931" w:type="dxa"/>
            <w:vAlign w:val="center"/>
          </w:tcPr>
          <w:p w14:paraId="764D6330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0.00042</w:t>
            </w:r>
          </w:p>
        </w:tc>
        <w:tc>
          <w:tcPr>
            <w:tcW w:w="1084" w:type="dxa"/>
            <w:vAlign w:val="center"/>
          </w:tcPr>
          <w:p w14:paraId="11E311DD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0.00021</w:t>
            </w:r>
          </w:p>
        </w:tc>
        <w:tc>
          <w:tcPr>
            <w:tcW w:w="1037" w:type="dxa"/>
            <w:vAlign w:val="center"/>
          </w:tcPr>
          <w:p w14:paraId="4F3114A4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1084" w:type="dxa"/>
            <w:vAlign w:val="center"/>
          </w:tcPr>
          <w:p w14:paraId="28F1AAC0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--</w:t>
            </w:r>
          </w:p>
        </w:tc>
        <w:tc>
          <w:tcPr>
            <w:tcW w:w="992" w:type="dxa"/>
            <w:vAlign w:val="center"/>
          </w:tcPr>
          <w:p w14:paraId="5A30530D" w14:textId="77777777" w:rsidR="00E24361" w:rsidRPr="00AD4525" w:rsidRDefault="00E24361" w:rsidP="003C610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0.00509</w:t>
            </w:r>
          </w:p>
        </w:tc>
        <w:tc>
          <w:tcPr>
            <w:tcW w:w="1276" w:type="dxa"/>
            <w:vAlign w:val="center"/>
          </w:tcPr>
          <w:p w14:paraId="0AEF089F" w14:textId="77777777" w:rsidR="00E24361" w:rsidRPr="00AD4525" w:rsidRDefault="00E24361" w:rsidP="003C6105">
            <w:pPr>
              <w:keepNext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AD4525">
              <w:rPr>
                <w:rFonts w:ascii="Times New Roman" w:hAnsi="Times New Roman" w:cs="Times New Roman"/>
                <w:color w:val="0070C0"/>
              </w:rPr>
              <w:t>0.00413</w:t>
            </w:r>
          </w:p>
        </w:tc>
      </w:tr>
    </w:tbl>
    <w:p w14:paraId="39229ACC" w14:textId="77777777" w:rsidR="00E24361" w:rsidRPr="001D5A2B" w:rsidRDefault="00E24361" w:rsidP="00E24361">
      <w:pPr>
        <w:jc w:val="both"/>
        <w:rPr>
          <w:rFonts w:ascii="Times New Roman" w:hAnsi="Times New Roman" w:cs="Times New Roman"/>
          <w:color w:val="0070C0"/>
        </w:rPr>
      </w:pPr>
    </w:p>
    <w:p w14:paraId="0E76A525" w14:textId="77777777" w:rsidR="00DC0EAF" w:rsidRDefault="00E24361" w:rsidP="00DC0EAF">
      <w:pPr>
        <w:keepNext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24B3375" wp14:editId="2446122D">
            <wp:extent cx="3122139" cy="4550735"/>
            <wp:effectExtent l="0" t="0" r="2540" b="2540"/>
            <wp:docPr id="748288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72" cy="455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1D72D" w14:textId="53AC983B" w:rsidR="00141E8E" w:rsidRPr="00F75535" w:rsidRDefault="00DC0EAF" w:rsidP="00DC0EAF">
      <w:pPr>
        <w:pStyle w:val="Caption"/>
        <w:jc w:val="center"/>
        <w:rPr>
          <w:rFonts w:ascii="Times New Roman" w:hAnsi="Times New Roman" w:cs="Times New Roman"/>
          <w:color w:val="4472C4" w:themeColor="accent1"/>
        </w:rPr>
      </w:pPr>
      <w:r w:rsidRPr="00F75535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Fig. S</w:t>
      </w:r>
      <w:r w:rsidR="0024251A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2</w:t>
      </w:r>
      <w:r w:rsidRPr="00F75535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.</w:t>
      </w:r>
      <w:r w:rsidRPr="00F75535">
        <w:rPr>
          <w:color w:val="4472C4" w:themeColor="accent1"/>
        </w:rPr>
        <w:t xml:space="preserve"> </w:t>
      </w:r>
      <w:r w:rsidRPr="00F75535">
        <w:rPr>
          <w:rFonts w:ascii="Times New Roman" w:hAnsi="Times New Roman" w:cs="Times New Roman"/>
          <w:color w:val="4472C4" w:themeColor="accent1"/>
          <w:sz w:val="20"/>
          <w:szCs w:val="20"/>
        </w:rPr>
        <w:t>Rietveld refinement plot of pure, doped and co-doped ZnO with rhodium and tungsten; (a) pure ZnO (b) Rh-ZnO, (c) W-ZnO</w:t>
      </w:r>
      <w:r w:rsidR="00124248" w:rsidRPr="00F75535">
        <w:rPr>
          <w:rFonts w:ascii="Times New Roman" w:hAnsi="Times New Roman" w:cs="Times New Roman"/>
          <w:color w:val="4472C4" w:themeColor="accent1"/>
          <w:sz w:val="20"/>
          <w:szCs w:val="20"/>
        </w:rPr>
        <w:t>, and (d) RhW-ZnO</w:t>
      </w:r>
      <w:r w:rsidRPr="00F75535">
        <w:rPr>
          <w:rFonts w:ascii="Times New Roman" w:hAnsi="Times New Roman" w:cs="Times New Roman"/>
          <w:color w:val="4472C4" w:themeColor="accent1"/>
          <w:sz w:val="20"/>
          <w:szCs w:val="20"/>
        </w:rPr>
        <w:t>.</w:t>
      </w:r>
    </w:p>
    <w:p w14:paraId="1E0D87BA" w14:textId="77777777" w:rsidR="00E24361" w:rsidRDefault="00E24361" w:rsidP="00406D16">
      <w:pPr>
        <w:keepNext/>
        <w:spacing w:after="0"/>
        <w:jc w:val="both"/>
        <w:rPr>
          <w:rFonts w:ascii="Times New Roman" w:hAnsi="Times New Roman" w:cs="Times New Roman"/>
        </w:rPr>
      </w:pPr>
    </w:p>
    <w:p w14:paraId="5FF5C566" w14:textId="51F9E327" w:rsidR="00BC417E" w:rsidRDefault="00BC417E" w:rsidP="00BC417E">
      <w:pPr>
        <w:pStyle w:val="Caption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639A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The band gap was obtained using the data from diffuse reflectance and the Kubelka-Munk transformation, and Tauc equation, equation (S3) and equation (S4), respectively:</w:t>
      </w:r>
    </w:p>
    <w:tbl>
      <w:tblPr>
        <w:tblStyle w:val="TableGrid"/>
        <w:tblW w:w="8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426"/>
        <w:gridCol w:w="1814"/>
      </w:tblGrid>
      <w:tr w:rsidR="00CE00D1" w:rsidRPr="006639AF" w14:paraId="6E3D94ED" w14:textId="77777777" w:rsidTr="000B4FF9">
        <w:trPr>
          <w:trHeight w:val="20"/>
          <w:jc w:val="center"/>
        </w:trPr>
        <w:tc>
          <w:tcPr>
            <w:tcW w:w="1270" w:type="dxa"/>
            <w:vAlign w:val="center"/>
          </w:tcPr>
          <w:p w14:paraId="734F53EE" w14:textId="77777777" w:rsidR="00CE00D1" w:rsidRPr="006639AF" w:rsidRDefault="00CE00D1" w:rsidP="000B4FF9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  <w:vAlign w:val="center"/>
          </w:tcPr>
          <w:p w14:paraId="4553CDD8" w14:textId="77777777" w:rsidR="00CE00D1" w:rsidRPr="006639AF" w:rsidRDefault="00CE00D1" w:rsidP="000B4FF9">
            <w:pPr>
              <w:keepNext/>
              <w:spacing w:line="259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E=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hc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λ</m:t>
                    </m:r>
                  </m:den>
                </m:f>
              </m:oMath>
            </m:oMathPara>
          </w:p>
        </w:tc>
        <w:tc>
          <w:tcPr>
            <w:tcW w:w="1814" w:type="dxa"/>
            <w:vAlign w:val="center"/>
          </w:tcPr>
          <w:p w14:paraId="3B0C9F07" w14:textId="77777777" w:rsidR="00CE00D1" w:rsidRPr="006639AF" w:rsidRDefault="00CE00D1" w:rsidP="000B4FF9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  <w:r w:rsidRPr="006639AF">
              <w:rPr>
                <w:rFonts w:ascii="Times New Roman" w:hAnsi="Times New Roman" w:cs="Times New Roman"/>
              </w:rPr>
              <w:t>Eq. (S3)</w:t>
            </w:r>
          </w:p>
        </w:tc>
      </w:tr>
      <w:tr w:rsidR="00CE00D1" w:rsidRPr="006639AF" w14:paraId="59D2C3DC" w14:textId="77777777" w:rsidTr="000B4FF9">
        <w:trPr>
          <w:trHeight w:val="332"/>
          <w:jc w:val="center"/>
        </w:trPr>
        <w:tc>
          <w:tcPr>
            <w:tcW w:w="1270" w:type="dxa"/>
            <w:vAlign w:val="center"/>
          </w:tcPr>
          <w:p w14:paraId="4B872994" w14:textId="77777777" w:rsidR="00CE00D1" w:rsidRPr="006639AF" w:rsidRDefault="00CE00D1" w:rsidP="000B4FF9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  <w:vAlign w:val="center"/>
          </w:tcPr>
          <w:p w14:paraId="1B52F8BF" w14:textId="77777777" w:rsidR="00CE00D1" w:rsidRPr="006639AF" w:rsidRDefault="00000000" w:rsidP="000B4FF9">
            <w:pPr>
              <w:keepNext/>
              <w:spacing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m:t>αhν</m:t>
                        </m:r>
                      </m:e>
                    </m:d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=A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hν-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m:t>E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m:t>g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814" w:type="dxa"/>
            <w:vAlign w:val="center"/>
          </w:tcPr>
          <w:p w14:paraId="591D7307" w14:textId="77777777" w:rsidR="00CE00D1" w:rsidRPr="006639AF" w:rsidRDefault="00CE00D1" w:rsidP="000B4FF9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  <w:r w:rsidRPr="006639AF">
              <w:rPr>
                <w:rFonts w:ascii="Times New Roman" w:hAnsi="Times New Roman" w:cs="Times New Roman"/>
              </w:rPr>
              <w:t>Eq. (S4)</w:t>
            </w:r>
          </w:p>
        </w:tc>
      </w:tr>
    </w:tbl>
    <w:p w14:paraId="699E271C" w14:textId="35CDD441" w:rsidR="00CE00D1" w:rsidRPr="00CE00D1" w:rsidRDefault="00E528AD" w:rsidP="00CE00D1">
      <w:r w:rsidRPr="006639AF">
        <w:rPr>
          <w:rFonts w:ascii="Times New Roman" w:hAnsi="Times New Roman" w:cs="Times New Roman"/>
        </w:rPr>
        <w:t>Therefore, the final equation for the Kubelka-Munk transformation is obtained by considering the relationship between diffuse reflectance and absorption α and it is expressed as follows:</w:t>
      </w:r>
    </w:p>
    <w:tbl>
      <w:tblPr>
        <w:tblStyle w:val="TableGrid"/>
        <w:tblW w:w="8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426"/>
        <w:gridCol w:w="1814"/>
      </w:tblGrid>
      <w:tr w:rsidR="00BC417E" w:rsidRPr="006639AF" w14:paraId="3C0C6D9A" w14:textId="77777777" w:rsidTr="00232BA8">
        <w:trPr>
          <w:trHeight w:val="718"/>
          <w:jc w:val="center"/>
        </w:trPr>
        <w:tc>
          <w:tcPr>
            <w:tcW w:w="1270" w:type="dxa"/>
            <w:vAlign w:val="center"/>
          </w:tcPr>
          <w:p w14:paraId="5E956D72" w14:textId="77777777" w:rsidR="00BC417E" w:rsidRPr="006639AF" w:rsidRDefault="00BC417E" w:rsidP="00232BA8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  <w:vAlign w:val="center"/>
          </w:tcPr>
          <w:p w14:paraId="259492BF" w14:textId="45F26B85" w:rsidR="00BC417E" w:rsidRPr="006639AF" w:rsidRDefault="006639AF" w:rsidP="00232BA8">
            <w:pPr>
              <w:keepNext/>
              <w:spacing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E=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m:t>F(R)×hν</m:t>
                        </m:r>
                      </m:e>
                    </m:d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14" w:type="dxa"/>
            <w:vAlign w:val="center"/>
          </w:tcPr>
          <w:p w14:paraId="4FCE652E" w14:textId="77777777" w:rsidR="00BC417E" w:rsidRPr="006639AF" w:rsidRDefault="00BC417E" w:rsidP="00232BA8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  <w:r w:rsidRPr="006639AF">
              <w:rPr>
                <w:rFonts w:ascii="Times New Roman" w:hAnsi="Times New Roman" w:cs="Times New Roman"/>
              </w:rPr>
              <w:t>Eq. (S5)</w:t>
            </w:r>
          </w:p>
        </w:tc>
      </w:tr>
    </w:tbl>
    <w:p w14:paraId="43D58942" w14:textId="77777777" w:rsidR="00BC417E" w:rsidRPr="006639AF" w:rsidRDefault="00BC417E" w:rsidP="00BC417E">
      <w:pPr>
        <w:keepNext/>
        <w:spacing w:after="0"/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t>Where h is Planck's constant, ν is the frequency. Therefore, the band gap will be determined by the linear intersection on the x-axis of the (F(R) x hν)² vs Energy plot, when F(R) = 0.</w:t>
      </w:r>
    </w:p>
    <w:p w14:paraId="5061ACBA" w14:textId="77777777" w:rsidR="00BC417E" w:rsidRDefault="00BC417E" w:rsidP="00BC417E">
      <w:pPr>
        <w:jc w:val="both"/>
        <w:rPr>
          <w:rFonts w:ascii="Times New Roman" w:hAnsi="Times New Roman" w:cs="Times New Roman"/>
        </w:rPr>
      </w:pPr>
      <w:r w:rsidRPr="006639AF">
        <w:rPr>
          <w:rFonts w:ascii="Times New Roman" w:hAnsi="Times New Roman" w:cs="Times New Roman"/>
        </w:rPr>
        <w:t>The Urbach energy was calculated from the F(R) results according to the following equation:</w:t>
      </w:r>
    </w:p>
    <w:tbl>
      <w:tblPr>
        <w:tblStyle w:val="TableGrid"/>
        <w:tblW w:w="85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426"/>
        <w:gridCol w:w="1814"/>
      </w:tblGrid>
      <w:tr w:rsidR="005753BB" w:rsidRPr="005D2445" w14:paraId="6D8B8E90" w14:textId="77777777" w:rsidTr="003C6105">
        <w:trPr>
          <w:jc w:val="center"/>
        </w:trPr>
        <w:tc>
          <w:tcPr>
            <w:tcW w:w="1270" w:type="dxa"/>
            <w:vAlign w:val="center"/>
          </w:tcPr>
          <w:p w14:paraId="3CADCD34" w14:textId="77777777" w:rsidR="005753BB" w:rsidRPr="00115657" w:rsidRDefault="005753BB" w:rsidP="003C6105">
            <w:pPr>
              <w:keepNext/>
              <w:spacing w:before="480" w:after="240" w:line="259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26" w:type="dxa"/>
            <w:vAlign w:val="center"/>
          </w:tcPr>
          <w:p w14:paraId="72A614F6" w14:textId="77777777" w:rsidR="005753BB" w:rsidRPr="000779B3" w:rsidRDefault="005753BB" w:rsidP="003C6105">
            <w:pPr>
              <w:keepNext/>
              <w:spacing w:line="259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α=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e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</w:rPr>
                              <m:t>hν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imes New Roman" w:hAnsi="Times New Roman" w:cs="Times New Roman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Times New Roman" w:hAnsi="Times New Roman" w:cs="Times New Roman"/>
                                  </w:rPr>
                                  <m:t>u</m:t>
                                </m:r>
                              </m:sub>
                            </m:sSub>
                          </m:den>
                        </m:f>
                      </m:e>
                    </m:d>
                  </m:sup>
                </m:sSup>
              </m:oMath>
            </m:oMathPara>
          </w:p>
        </w:tc>
        <w:tc>
          <w:tcPr>
            <w:tcW w:w="1814" w:type="dxa"/>
            <w:vAlign w:val="center"/>
          </w:tcPr>
          <w:p w14:paraId="687F0FBC" w14:textId="77777777" w:rsidR="005753BB" w:rsidRPr="000779B3" w:rsidRDefault="005753BB" w:rsidP="003C6105">
            <w:pPr>
              <w:keepNext/>
              <w:spacing w:before="480" w:after="240" w:line="259" w:lineRule="auto"/>
              <w:jc w:val="both"/>
              <w:rPr>
                <w:rFonts w:ascii="Times New Roman" w:hAnsi="Times New Roman" w:cs="Times New Roman"/>
              </w:rPr>
            </w:pPr>
            <w:r w:rsidRPr="000779B3">
              <w:rPr>
                <w:rFonts w:ascii="Times New Roman" w:hAnsi="Times New Roman" w:cs="Times New Roman"/>
              </w:rPr>
              <w:t>Eq. (S6)</w:t>
            </w:r>
          </w:p>
        </w:tc>
      </w:tr>
    </w:tbl>
    <w:p w14:paraId="466220DF" w14:textId="77777777" w:rsidR="005753BB" w:rsidRPr="000779B3" w:rsidRDefault="005753BB" w:rsidP="005753BB">
      <w:pPr>
        <w:keepNext/>
        <w:spacing w:after="240"/>
        <w:jc w:val="both"/>
        <w:rPr>
          <w:rFonts w:ascii="Times New Roman" w:hAnsi="Times New Roman" w:cs="Times New Roman"/>
        </w:rPr>
      </w:pPr>
      <w:r w:rsidRPr="000779B3">
        <w:rPr>
          <w:rFonts w:ascii="Times New Roman" w:hAnsi="Times New Roman" w:cs="Times New Roman"/>
        </w:rPr>
        <w:t xml:space="preserve">where 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α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0</m:t>
            </m:r>
          </m:sub>
        </m:sSub>
      </m:oMath>
      <w:r w:rsidRPr="000779B3">
        <w:rPr>
          <w:rFonts w:ascii="Times New Roman" w:hAnsi="Times New Roman" w:cs="Times New Roman"/>
        </w:rPr>
        <w:t xml:space="preserve"> is a constant, </w:t>
      </w:r>
      <m:oMath>
        <m:r>
          <w:rPr>
            <w:rFonts w:ascii="Cambria Math" w:hAnsi="Cambria Math" w:cs="Times New Roman"/>
          </w:rPr>
          <m:t>hν</m:t>
        </m:r>
      </m:oMath>
      <w:r w:rsidRPr="000779B3">
        <w:rPr>
          <w:rFonts w:ascii="Times New Roman" w:hAnsi="Times New Roman" w:cs="Times New Roman"/>
        </w:rPr>
        <w:t xml:space="preserve"> is the photon energy,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u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 xml:space="preserve"> </m:t>
        </m:r>
      </m:oMath>
      <w:r w:rsidRPr="000779B3">
        <w:rPr>
          <w:rFonts w:ascii="Times New Roman" w:hAnsi="Times New Roman" w:cs="Times New Roman"/>
        </w:rPr>
        <w:t xml:space="preserve">is the Urbach energy, and </w:t>
      </w:r>
      <m:oMath>
        <m:r>
          <m:rPr>
            <m:nor/>
          </m:rPr>
          <w:rPr>
            <w:rFonts w:ascii="Times New Roman" w:hAnsi="Times New Roman" w:cs="Times New Roman"/>
          </w:rPr>
          <m:t>α</m:t>
        </m:r>
      </m:oMath>
      <w:r w:rsidRPr="000779B3">
        <w:rPr>
          <w:rFonts w:ascii="Times New Roman" w:hAnsi="Times New Roman" w:cs="Times New Roman"/>
        </w:rPr>
        <w:t xml:space="preserve"> is the absorption coefficient. Hence, the Urbach energy was obtained from the ln(F(R)) vs hν plot, where E</w:t>
      </w:r>
      <w:r w:rsidRPr="000779B3">
        <w:rPr>
          <w:rFonts w:ascii="Times New Roman" w:hAnsi="Times New Roman" w:cs="Times New Roman"/>
          <w:vertAlign w:val="subscript"/>
        </w:rPr>
        <w:t>u</w:t>
      </w:r>
      <w:r w:rsidRPr="000779B3">
        <w:rPr>
          <w:rFonts w:ascii="Times New Roman" w:hAnsi="Times New Roman" w:cs="Times New Roman"/>
        </w:rPr>
        <w:t xml:space="preserve"> is equal to the inverse of the slope. </w:t>
      </w:r>
    </w:p>
    <w:p w14:paraId="0B1B9D8C" w14:textId="77777777" w:rsidR="00BC417E" w:rsidRDefault="00BC417E" w:rsidP="00BC417E">
      <w:pPr>
        <w:keepNext/>
        <w:spacing w:after="240"/>
        <w:jc w:val="center"/>
      </w:pPr>
      <w:r>
        <w:rPr>
          <w:noProof/>
        </w:rPr>
        <w:drawing>
          <wp:inline distT="0" distB="0" distL="0" distR="0" wp14:anchorId="37115546" wp14:editId="51CA0EF8">
            <wp:extent cx="3423198" cy="5038725"/>
            <wp:effectExtent l="0" t="0" r="0" b="0"/>
            <wp:docPr id="888407139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07139" name="Picture 1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198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865CA" w14:textId="7474D286" w:rsidR="00CE00D1" w:rsidRPr="00DC0EAF" w:rsidRDefault="00BC417E" w:rsidP="00DC0EAF">
      <w:pPr>
        <w:pStyle w:val="Caption"/>
        <w:jc w:val="center"/>
        <w:rPr>
          <w:rFonts w:ascii="Times New Roman" w:hAnsi="Times New Roman" w:cs="Times New Roman"/>
          <w:color w:val="auto"/>
        </w:rPr>
      </w:pPr>
      <w:r w:rsidRPr="003C3A39">
        <w:rPr>
          <w:rFonts w:ascii="Times New Roman" w:hAnsi="Times New Roman" w:cs="Times New Roman"/>
          <w:b/>
          <w:bCs/>
          <w:color w:val="auto"/>
        </w:rPr>
        <w:t>Fig. S</w:t>
      </w:r>
      <w:r w:rsidR="0024251A">
        <w:rPr>
          <w:rFonts w:ascii="Times New Roman" w:hAnsi="Times New Roman" w:cs="Times New Roman"/>
          <w:b/>
          <w:bCs/>
          <w:color w:val="auto"/>
        </w:rPr>
        <w:t>3</w:t>
      </w:r>
      <w:r w:rsidRPr="000779B3">
        <w:rPr>
          <w:rFonts w:ascii="Times New Roman" w:hAnsi="Times New Roman" w:cs="Times New Roman"/>
          <w:color w:val="auto"/>
        </w:rPr>
        <w:t xml:space="preserve"> Urbach energy of (a) undoped ZnO, (b) 1.0%Rh-ZnO, (c) 1.0%W-ZnO, and (</w:t>
      </w:r>
      <w:r w:rsidR="00475FA4">
        <w:rPr>
          <w:rFonts w:ascii="Times New Roman" w:hAnsi="Times New Roman" w:cs="Times New Roman"/>
          <w:color w:val="auto"/>
        </w:rPr>
        <w:t>d</w:t>
      </w:r>
      <w:r w:rsidRPr="000779B3">
        <w:rPr>
          <w:rFonts w:ascii="Times New Roman" w:hAnsi="Times New Roman" w:cs="Times New Roman"/>
          <w:color w:val="auto"/>
        </w:rPr>
        <w:t>) 1.0%RhW-ZnO</w:t>
      </w:r>
      <w:r w:rsidR="00DC0EAF">
        <w:rPr>
          <w:rFonts w:ascii="Times New Roman" w:hAnsi="Times New Roman" w:cs="Times New Roman"/>
          <w:color w:val="auto"/>
        </w:rPr>
        <w:t>.</w:t>
      </w:r>
    </w:p>
    <w:p w14:paraId="2A8AD2E8" w14:textId="77777777" w:rsidR="00CE00D1" w:rsidRPr="00115657" w:rsidRDefault="00CE00D1" w:rsidP="00CE00D1">
      <w:pPr>
        <w:keepNext/>
        <w:jc w:val="center"/>
        <w:rPr>
          <w:rFonts w:cstheme="minorHAnsi"/>
          <w:sz w:val="18"/>
          <w:szCs w:val="18"/>
        </w:rPr>
      </w:pPr>
      <w:r w:rsidRPr="00115657">
        <w:rPr>
          <w:rFonts w:cstheme="minorHAnsi"/>
          <w:noProof/>
          <w:sz w:val="18"/>
          <w:szCs w:val="18"/>
        </w:rPr>
        <w:lastRenderedPageBreak/>
        <w:drawing>
          <wp:inline distT="0" distB="0" distL="0" distR="0" wp14:anchorId="1F3C7A8A" wp14:editId="4EF30C3C">
            <wp:extent cx="3483816" cy="3981450"/>
            <wp:effectExtent l="0" t="0" r="2540" b="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72" cy="402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9EAAB" w14:textId="69BE704E" w:rsidR="00CE00D1" w:rsidRDefault="00CE00D1" w:rsidP="00CE00D1">
      <w:pPr>
        <w:pStyle w:val="Caption"/>
        <w:spacing w:after="240"/>
        <w:jc w:val="center"/>
        <w:rPr>
          <w:rFonts w:ascii="Times New Roman" w:hAnsi="Times New Roman" w:cs="Times New Roman"/>
          <w:color w:val="auto"/>
        </w:rPr>
      </w:pPr>
      <w:r w:rsidRPr="003C3A39">
        <w:rPr>
          <w:rFonts w:ascii="Times New Roman" w:hAnsi="Times New Roman" w:cs="Times New Roman"/>
          <w:b/>
          <w:bCs/>
          <w:color w:val="auto"/>
        </w:rPr>
        <w:t>Fig</w:t>
      </w:r>
      <w:r w:rsidR="003C3A39" w:rsidRPr="003C3A39">
        <w:rPr>
          <w:rFonts w:ascii="Times New Roman" w:hAnsi="Times New Roman" w:cs="Times New Roman"/>
          <w:b/>
          <w:bCs/>
          <w:color w:val="auto"/>
        </w:rPr>
        <w:t>.</w:t>
      </w:r>
      <w:r w:rsidRPr="003C3A39">
        <w:rPr>
          <w:rFonts w:ascii="Times New Roman" w:hAnsi="Times New Roman" w:cs="Times New Roman"/>
          <w:b/>
          <w:bCs/>
          <w:color w:val="auto"/>
        </w:rPr>
        <w:t xml:space="preserve"> S</w:t>
      </w:r>
      <w:r w:rsidR="0024251A">
        <w:rPr>
          <w:rFonts w:ascii="Times New Roman" w:hAnsi="Times New Roman" w:cs="Times New Roman"/>
          <w:b/>
          <w:bCs/>
          <w:color w:val="auto"/>
        </w:rPr>
        <w:t>4</w:t>
      </w:r>
      <w:r w:rsidRPr="006639AF">
        <w:rPr>
          <w:rFonts w:ascii="Times New Roman" w:hAnsi="Times New Roman" w:cs="Times New Roman"/>
          <w:color w:val="auto"/>
        </w:rPr>
        <w:t xml:space="preserve"> Hydrodynamic diameter and polydispersity index of undoped ZnO and 1.0% doped and co-doped ZnO with rhodium and tungsten measured by dynamic light scattering</w:t>
      </w:r>
    </w:p>
    <w:p w14:paraId="23870F59" w14:textId="77777777" w:rsidR="006A773C" w:rsidRDefault="000E3851" w:rsidP="006A773C">
      <w:pPr>
        <w:keepNext/>
        <w:jc w:val="center"/>
      </w:pPr>
      <w:r>
        <w:rPr>
          <w:noProof/>
        </w:rPr>
        <w:drawing>
          <wp:inline distT="0" distB="0" distL="0" distR="0" wp14:anchorId="0D06C09E" wp14:editId="38D334BD">
            <wp:extent cx="3402119" cy="3162300"/>
            <wp:effectExtent l="0" t="0" r="8255" b="0"/>
            <wp:docPr id="121701699" name="Picture 1" descr="A graph of a graph of different types of miner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1699" name="Picture 1" descr="A graph of a graph of different types of minera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22" cy="316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EEB8" w14:textId="4C9D5DBC" w:rsidR="000E3851" w:rsidRPr="00FF5E36" w:rsidRDefault="006A773C" w:rsidP="006A773C">
      <w:pPr>
        <w:pStyle w:val="Caption"/>
        <w:jc w:val="center"/>
        <w:rPr>
          <w:rFonts w:ascii="Times New Roman" w:hAnsi="Times New Roman" w:cs="Times New Roman"/>
          <w:color w:val="0070C0"/>
        </w:rPr>
      </w:pPr>
      <w:r w:rsidRPr="00FF5E36">
        <w:rPr>
          <w:rFonts w:ascii="Times New Roman" w:hAnsi="Times New Roman" w:cs="Times New Roman"/>
          <w:b/>
          <w:bCs/>
          <w:color w:val="0070C0"/>
        </w:rPr>
        <w:t>Fig. S</w:t>
      </w:r>
      <w:r w:rsidR="0024251A">
        <w:rPr>
          <w:rFonts w:ascii="Times New Roman" w:hAnsi="Times New Roman" w:cs="Times New Roman"/>
          <w:b/>
          <w:bCs/>
          <w:color w:val="0070C0"/>
        </w:rPr>
        <w:t>5</w:t>
      </w:r>
      <w:r w:rsidRPr="00FF5E36">
        <w:rPr>
          <w:rFonts w:ascii="Times New Roman" w:hAnsi="Times New Roman" w:cs="Times New Roman"/>
          <w:color w:val="0070C0"/>
        </w:rPr>
        <w:t xml:space="preserve"> </w:t>
      </w:r>
      <w:r w:rsidR="00375089" w:rsidRPr="00375089">
        <w:rPr>
          <w:rFonts w:ascii="Times New Roman" w:hAnsi="Times New Roman" w:cs="Times New Roman"/>
          <w:color w:val="0070C0"/>
        </w:rPr>
        <w:t xml:space="preserve">Zoomed region of the Fourier transform infrared spectra from 650 to 400 cm⁻¹ for </w:t>
      </w:r>
      <w:r w:rsidR="009401D6">
        <w:rPr>
          <w:rFonts w:ascii="Times New Roman" w:hAnsi="Times New Roman" w:cs="Times New Roman"/>
          <w:color w:val="0070C0"/>
        </w:rPr>
        <w:t>pure,</w:t>
      </w:r>
      <w:r w:rsidR="00375089" w:rsidRPr="00375089">
        <w:rPr>
          <w:rFonts w:ascii="Times New Roman" w:hAnsi="Times New Roman" w:cs="Times New Roman"/>
          <w:color w:val="0070C0"/>
        </w:rPr>
        <w:t xml:space="preserve"> doped</w:t>
      </w:r>
      <w:r w:rsidR="009401D6">
        <w:rPr>
          <w:rFonts w:ascii="Times New Roman" w:hAnsi="Times New Roman" w:cs="Times New Roman"/>
          <w:color w:val="0070C0"/>
        </w:rPr>
        <w:t>, and co-doped</w:t>
      </w:r>
      <w:r w:rsidR="00375089" w:rsidRPr="00375089">
        <w:rPr>
          <w:rFonts w:ascii="Times New Roman" w:hAnsi="Times New Roman" w:cs="Times New Roman"/>
          <w:color w:val="0070C0"/>
        </w:rPr>
        <w:t xml:space="preserve"> ZnO samples: (a) ZnO, (b) Rh-ZnO, (c) W-ZnO, and (d)</w:t>
      </w:r>
      <w:r w:rsidR="00375089">
        <w:rPr>
          <w:rFonts w:ascii="Times New Roman" w:hAnsi="Times New Roman" w:cs="Times New Roman"/>
          <w:color w:val="0070C0"/>
        </w:rPr>
        <w:t xml:space="preserve"> </w:t>
      </w:r>
      <w:r w:rsidR="00375089" w:rsidRPr="00375089">
        <w:rPr>
          <w:rFonts w:ascii="Times New Roman" w:hAnsi="Times New Roman" w:cs="Times New Roman"/>
          <w:color w:val="0070C0"/>
        </w:rPr>
        <w:t>RhW-ZnO.</w:t>
      </w:r>
    </w:p>
    <w:p w14:paraId="31DBD2EB" w14:textId="772DC3A1" w:rsidR="00F1457D" w:rsidRPr="00115657" w:rsidRDefault="00F1457D" w:rsidP="0089472D">
      <w:pPr>
        <w:pStyle w:val="Caption"/>
        <w:jc w:val="center"/>
        <w:rPr>
          <w:rFonts w:cstheme="minorHAnsi"/>
        </w:rPr>
      </w:pPr>
      <w:r w:rsidRPr="00115657">
        <w:rPr>
          <w:rFonts w:cstheme="minorHAnsi"/>
          <w:noProof/>
          <w:lang w:val="es-MX" w:eastAsia="es-MX"/>
        </w:rPr>
        <w:lastRenderedPageBreak/>
        <w:drawing>
          <wp:inline distT="0" distB="0" distL="0" distR="0" wp14:anchorId="466D2C60" wp14:editId="57D56DA5">
            <wp:extent cx="3134322" cy="3857625"/>
            <wp:effectExtent l="0" t="0" r="9525" b="0"/>
            <wp:docPr id="8" name="Picture 8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418" cy="389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DAB7" w14:textId="49A0F18A" w:rsidR="00263B10" w:rsidRPr="000779B3" w:rsidRDefault="00F1457D" w:rsidP="00263B10">
      <w:pPr>
        <w:pStyle w:val="Caption"/>
        <w:spacing w:after="360"/>
        <w:jc w:val="center"/>
        <w:rPr>
          <w:rFonts w:ascii="Times New Roman" w:hAnsi="Times New Roman" w:cs="Times New Roman"/>
          <w:color w:val="auto"/>
        </w:rPr>
      </w:pPr>
      <w:r w:rsidRPr="003C3A39">
        <w:rPr>
          <w:rFonts w:ascii="Times New Roman" w:hAnsi="Times New Roman" w:cs="Times New Roman"/>
          <w:b/>
          <w:bCs/>
          <w:color w:val="auto"/>
        </w:rPr>
        <w:t>Fig</w:t>
      </w:r>
      <w:r w:rsidR="00D412A6" w:rsidRPr="003C3A39">
        <w:rPr>
          <w:rFonts w:ascii="Times New Roman" w:hAnsi="Times New Roman" w:cs="Times New Roman"/>
          <w:b/>
          <w:bCs/>
          <w:color w:val="auto"/>
        </w:rPr>
        <w:t>.</w:t>
      </w:r>
      <w:r w:rsidRPr="003C3A39">
        <w:rPr>
          <w:rFonts w:ascii="Times New Roman" w:hAnsi="Times New Roman" w:cs="Times New Roman"/>
          <w:b/>
          <w:bCs/>
          <w:color w:val="auto"/>
        </w:rPr>
        <w:t xml:space="preserve"> S</w:t>
      </w:r>
      <w:r w:rsidR="0024251A">
        <w:rPr>
          <w:rFonts w:ascii="Times New Roman" w:hAnsi="Times New Roman" w:cs="Times New Roman"/>
          <w:b/>
          <w:bCs/>
          <w:color w:val="auto"/>
        </w:rPr>
        <w:t>6</w:t>
      </w:r>
      <w:r w:rsidRPr="003C3A3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79B3">
        <w:rPr>
          <w:rFonts w:ascii="Times New Roman" w:hAnsi="Times New Roman" w:cs="Times New Roman"/>
          <w:color w:val="auto"/>
        </w:rPr>
        <w:t>Degradation percentage of the RB-5 reactive azo dye by sonocatalysis using ZnO doped with 1.0% W, varying the power from 180 watts to 360 watts, with a catalyst dosage of 1.0 g/L</w:t>
      </w:r>
      <w:r w:rsidR="0076349D">
        <w:rPr>
          <w:rFonts w:ascii="Times New Roman" w:hAnsi="Times New Roman" w:cs="Times New Roman"/>
          <w:color w:val="auto"/>
        </w:rPr>
        <w:t>,</w:t>
      </w:r>
      <w:r w:rsidRPr="000779B3">
        <w:rPr>
          <w:rFonts w:ascii="Times New Roman" w:hAnsi="Times New Roman" w:cs="Times New Roman"/>
          <w:color w:val="auto"/>
        </w:rPr>
        <w:t xml:space="preserve"> and </w:t>
      </w:r>
      <w:r w:rsidR="0076349D" w:rsidRPr="0076349D">
        <w:rPr>
          <w:rFonts w:ascii="Times New Roman" w:hAnsi="Times New Roman" w:cs="Times New Roman"/>
          <w:color w:val="auto"/>
        </w:rPr>
        <w:t>concentration of 6x10</w:t>
      </w:r>
      <w:r w:rsidR="0076349D" w:rsidRPr="0076349D">
        <w:rPr>
          <w:rFonts w:ascii="Times New Roman" w:hAnsi="Times New Roman" w:cs="Times New Roman"/>
          <w:color w:val="auto"/>
          <w:vertAlign w:val="superscript"/>
        </w:rPr>
        <w:t>-3</w:t>
      </w:r>
      <w:r w:rsidR="0076349D" w:rsidRPr="0076349D">
        <w:rPr>
          <w:rFonts w:ascii="Times New Roman" w:hAnsi="Times New Roman" w:cs="Times New Roman"/>
          <w:color w:val="auto"/>
        </w:rPr>
        <w:t>M</w:t>
      </w:r>
      <w:r w:rsidR="0089472D" w:rsidRPr="000779B3">
        <w:rPr>
          <w:rFonts w:ascii="Times New Roman" w:hAnsi="Times New Roman" w:cs="Times New Roman"/>
          <w:color w:val="auto"/>
        </w:rPr>
        <w:t xml:space="preserve"> of hydrogen peroxide</w:t>
      </w:r>
      <w:r w:rsidR="0076349D">
        <w:rPr>
          <w:rFonts w:ascii="Times New Roman" w:hAnsi="Times New Roman" w:cs="Times New Roman"/>
          <w:color w:val="auto"/>
        </w:rPr>
        <w:t>.</w:t>
      </w:r>
    </w:p>
    <w:p w14:paraId="3912568D" w14:textId="77777777" w:rsidR="00F1457D" w:rsidRPr="000779B3" w:rsidRDefault="00F1457D" w:rsidP="00F1457D">
      <w:pPr>
        <w:keepNext/>
        <w:jc w:val="center"/>
        <w:rPr>
          <w:rFonts w:ascii="Times New Roman" w:hAnsi="Times New Roman" w:cs="Times New Roman"/>
          <w:sz w:val="18"/>
          <w:szCs w:val="18"/>
        </w:rPr>
      </w:pPr>
      <w:r w:rsidRPr="000779B3">
        <w:rPr>
          <w:rFonts w:ascii="Times New Roman" w:hAnsi="Times New Roman" w:cs="Times New Roman"/>
          <w:noProof/>
          <w:sz w:val="18"/>
          <w:szCs w:val="18"/>
          <w:lang w:val="es-MX" w:eastAsia="es-MX"/>
        </w:rPr>
        <w:drawing>
          <wp:inline distT="0" distB="0" distL="0" distR="0" wp14:anchorId="39ACA4B2" wp14:editId="61AE2A0C">
            <wp:extent cx="3951054" cy="2933700"/>
            <wp:effectExtent l="0" t="0" r="0" b="0"/>
            <wp:docPr id="1" name="Picture 1" descr="Diagram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64" cy="296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AB44" w14:textId="61A5DB44" w:rsidR="0089472D" w:rsidRPr="000779B3" w:rsidRDefault="00F1457D" w:rsidP="003C3A39">
      <w:pPr>
        <w:spacing w:after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C3A39">
        <w:rPr>
          <w:rFonts w:ascii="Times New Roman" w:hAnsi="Times New Roman" w:cs="Times New Roman"/>
          <w:b/>
          <w:bCs/>
          <w:i/>
          <w:iCs/>
          <w:sz w:val="18"/>
          <w:szCs w:val="18"/>
        </w:rPr>
        <w:t>Fig</w:t>
      </w:r>
      <w:r w:rsidR="003C3A39" w:rsidRPr="003C3A39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Pr="003C3A3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S</w:t>
      </w:r>
      <w:r w:rsidR="0024251A">
        <w:rPr>
          <w:rFonts w:ascii="Times New Roman" w:hAnsi="Times New Roman" w:cs="Times New Roman"/>
          <w:b/>
          <w:bCs/>
          <w:i/>
          <w:iCs/>
          <w:sz w:val="18"/>
          <w:szCs w:val="18"/>
        </w:rPr>
        <w:t>7</w:t>
      </w:r>
      <w:r w:rsidRPr="000779B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9472D" w:rsidRPr="000779B3">
        <w:rPr>
          <w:rFonts w:ascii="Times New Roman" w:hAnsi="Times New Roman" w:cs="Times New Roman"/>
          <w:i/>
          <w:iCs/>
          <w:sz w:val="18"/>
          <w:szCs w:val="18"/>
        </w:rPr>
        <w:t>Cubic plot illustrating the sonocatalytic degradation percentage of dye using W-doped ZnO as a catalyst obtained for various concentrations of the catalyst, hydrogen peroxide, and ultrasonic tip power</w:t>
      </w:r>
    </w:p>
    <w:p w14:paraId="770AD18E" w14:textId="77777777" w:rsidR="00E528AD" w:rsidRPr="000779B3" w:rsidRDefault="00E528AD" w:rsidP="003B4DD0">
      <w:pPr>
        <w:spacing w:after="0"/>
        <w:jc w:val="both"/>
        <w:rPr>
          <w:rFonts w:ascii="Times New Roman" w:hAnsi="Times New Roman" w:cs="Times New Roman"/>
        </w:rPr>
      </w:pPr>
    </w:p>
    <w:p w14:paraId="0CA13B38" w14:textId="77777777" w:rsidR="00985F38" w:rsidRPr="00115657" w:rsidRDefault="00985F38" w:rsidP="00985F38">
      <w:pPr>
        <w:keepNext/>
        <w:jc w:val="center"/>
        <w:rPr>
          <w:rFonts w:cstheme="minorHAnsi"/>
          <w:sz w:val="18"/>
          <w:szCs w:val="18"/>
        </w:rPr>
      </w:pPr>
      <w:r w:rsidRPr="00115657">
        <w:rPr>
          <w:rFonts w:cstheme="minorHAnsi"/>
          <w:noProof/>
          <w:sz w:val="18"/>
          <w:szCs w:val="18"/>
        </w:rPr>
        <w:lastRenderedPageBreak/>
        <w:drawing>
          <wp:inline distT="0" distB="0" distL="0" distR="0" wp14:anchorId="013201F2" wp14:editId="77DE5591">
            <wp:extent cx="3180622" cy="3914775"/>
            <wp:effectExtent l="0" t="0" r="1270" b="0"/>
            <wp:docPr id="33180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138" cy="393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B0C8" w14:textId="2CE91BA4" w:rsidR="00985F38" w:rsidRPr="000779B3" w:rsidRDefault="00985F38" w:rsidP="00985F38">
      <w:pPr>
        <w:pStyle w:val="Caption"/>
        <w:spacing w:after="160"/>
        <w:jc w:val="center"/>
        <w:rPr>
          <w:rFonts w:ascii="Times New Roman" w:hAnsi="Times New Roman" w:cs="Times New Roman"/>
          <w:color w:val="auto"/>
        </w:rPr>
      </w:pPr>
      <w:r w:rsidRPr="003C3A39">
        <w:rPr>
          <w:rFonts w:ascii="Times New Roman" w:hAnsi="Times New Roman" w:cs="Times New Roman"/>
          <w:b/>
          <w:bCs/>
          <w:color w:val="auto"/>
        </w:rPr>
        <w:t>Fig</w:t>
      </w:r>
      <w:r w:rsidR="00115657" w:rsidRPr="003C3A39">
        <w:rPr>
          <w:rFonts w:ascii="Times New Roman" w:hAnsi="Times New Roman" w:cs="Times New Roman"/>
          <w:b/>
          <w:bCs/>
          <w:color w:val="auto"/>
        </w:rPr>
        <w:t>.</w:t>
      </w:r>
      <w:r w:rsidRPr="003C3A39">
        <w:rPr>
          <w:rFonts w:ascii="Times New Roman" w:hAnsi="Times New Roman" w:cs="Times New Roman"/>
          <w:b/>
          <w:bCs/>
          <w:color w:val="auto"/>
        </w:rPr>
        <w:t xml:space="preserve"> S</w:t>
      </w:r>
      <w:r w:rsidR="0024251A">
        <w:rPr>
          <w:rFonts w:ascii="Times New Roman" w:hAnsi="Times New Roman" w:cs="Times New Roman"/>
          <w:b/>
          <w:bCs/>
          <w:color w:val="auto"/>
        </w:rPr>
        <w:t>8</w:t>
      </w:r>
      <w:r w:rsidRPr="000779B3">
        <w:rPr>
          <w:rFonts w:ascii="Times New Roman" w:hAnsi="Times New Roman" w:cs="Times New Roman"/>
          <w:color w:val="auto"/>
        </w:rPr>
        <w:t xml:space="preserve"> Time evolution of the RB-5 dye degradation reaction through sonocatalysis employing 1.0% W-ZnO as the catalyst, under the optimized conditions identified by the factorial design (red </w:t>
      </w:r>
      <w:r w:rsidR="00042B19">
        <w:rPr>
          <w:rFonts w:ascii="Times New Roman" w:hAnsi="Times New Roman" w:cs="Times New Roman"/>
          <w:color w:val="auto"/>
        </w:rPr>
        <w:t>symbols</w:t>
      </w:r>
      <w:r w:rsidRPr="000779B3">
        <w:rPr>
          <w:rFonts w:ascii="Times New Roman" w:hAnsi="Times New Roman" w:cs="Times New Roman"/>
          <w:color w:val="auto"/>
        </w:rPr>
        <w:t xml:space="preserve">) and the </w:t>
      </w:r>
      <w:r w:rsidR="00042B19">
        <w:rPr>
          <w:rFonts w:ascii="Times New Roman" w:hAnsi="Times New Roman" w:cs="Times New Roman"/>
          <w:color w:val="auto"/>
        </w:rPr>
        <w:t xml:space="preserve">proposed </w:t>
      </w:r>
      <w:r w:rsidRPr="000779B3">
        <w:rPr>
          <w:rFonts w:ascii="Times New Roman" w:hAnsi="Times New Roman" w:cs="Times New Roman"/>
          <w:color w:val="auto"/>
        </w:rPr>
        <w:t xml:space="preserve">initial conditions (black </w:t>
      </w:r>
      <w:r w:rsidR="00042B19">
        <w:rPr>
          <w:rFonts w:ascii="Times New Roman" w:hAnsi="Times New Roman" w:cs="Times New Roman"/>
          <w:color w:val="auto"/>
        </w:rPr>
        <w:t>symbols</w:t>
      </w:r>
      <w:r w:rsidRPr="000779B3">
        <w:rPr>
          <w:rFonts w:ascii="Times New Roman" w:hAnsi="Times New Roman" w:cs="Times New Roman"/>
          <w:color w:val="auto"/>
        </w:rPr>
        <w:t>)</w:t>
      </w:r>
      <w:r w:rsidR="00042B19">
        <w:rPr>
          <w:rFonts w:ascii="Times New Roman" w:hAnsi="Times New Roman" w:cs="Times New Roman"/>
          <w:color w:val="auto"/>
        </w:rPr>
        <w:t xml:space="preserve">. </w:t>
      </w:r>
      <w:r w:rsidR="00042B19" w:rsidRPr="00042B19">
        <w:rPr>
          <w:rFonts w:ascii="Times New Roman" w:hAnsi="Times New Roman" w:cs="Times New Roman"/>
          <w:color w:val="auto"/>
        </w:rPr>
        <w:t>The optimal conditions are</w:t>
      </w:r>
      <w:r w:rsidR="00042B19">
        <w:rPr>
          <w:rFonts w:ascii="Times New Roman" w:hAnsi="Times New Roman" w:cs="Times New Roman"/>
          <w:color w:val="auto"/>
        </w:rPr>
        <w:t xml:space="preserve"> a</w:t>
      </w:r>
      <w:r w:rsidR="00042B19" w:rsidRPr="00042B19">
        <w:rPr>
          <w:rFonts w:ascii="Times New Roman" w:hAnsi="Times New Roman" w:cs="Times New Roman"/>
          <w:color w:val="auto"/>
        </w:rPr>
        <w:t xml:space="preserve"> catalyst dosage of 0.75 g/L, a power tip </w:t>
      </w:r>
      <w:r w:rsidR="0027482E">
        <w:rPr>
          <w:rFonts w:ascii="Times New Roman" w:hAnsi="Times New Roman" w:cs="Times New Roman"/>
          <w:color w:val="auto"/>
        </w:rPr>
        <w:t>of</w:t>
      </w:r>
      <w:r w:rsidR="00042B19" w:rsidRPr="00042B19">
        <w:rPr>
          <w:rFonts w:ascii="Times New Roman" w:hAnsi="Times New Roman" w:cs="Times New Roman"/>
          <w:color w:val="auto"/>
        </w:rPr>
        <w:t xml:space="preserve"> 225 W, and a hydrogen peroxide volume of 27 μL</w:t>
      </w:r>
      <w:r w:rsidR="00042B19">
        <w:rPr>
          <w:rFonts w:ascii="Times New Roman" w:hAnsi="Times New Roman" w:cs="Times New Roman"/>
          <w:color w:val="auto"/>
        </w:rPr>
        <w:t>.</w:t>
      </w:r>
      <w:r w:rsidR="00042B19" w:rsidRPr="00042B19">
        <w:rPr>
          <w:rFonts w:ascii="Times New Roman" w:hAnsi="Times New Roman" w:cs="Times New Roman"/>
          <w:color w:val="auto"/>
        </w:rPr>
        <w:t xml:space="preserve"> </w:t>
      </w:r>
      <w:r w:rsidR="00042B19">
        <w:rPr>
          <w:rFonts w:ascii="Times New Roman" w:hAnsi="Times New Roman" w:cs="Times New Roman"/>
          <w:color w:val="auto"/>
        </w:rPr>
        <w:t>T</w:t>
      </w:r>
      <w:r w:rsidR="00042B19" w:rsidRPr="00042B19">
        <w:rPr>
          <w:rFonts w:ascii="Times New Roman" w:hAnsi="Times New Roman" w:cs="Times New Roman"/>
          <w:color w:val="auto"/>
        </w:rPr>
        <w:t>he proposed initial conditions are</w:t>
      </w:r>
      <w:r w:rsidR="00042B19">
        <w:rPr>
          <w:rFonts w:ascii="Times New Roman" w:hAnsi="Times New Roman" w:cs="Times New Roman"/>
          <w:color w:val="auto"/>
        </w:rPr>
        <w:t xml:space="preserve"> a</w:t>
      </w:r>
      <w:r w:rsidR="00042B19" w:rsidRPr="00042B19">
        <w:rPr>
          <w:rFonts w:ascii="Times New Roman" w:hAnsi="Times New Roman" w:cs="Times New Roman"/>
          <w:color w:val="auto"/>
        </w:rPr>
        <w:t xml:space="preserve"> catalyst dosage of 1.0 g/L, a power tip of 270 W, and a hydrogen peroxide volume of 18 μL</w:t>
      </w:r>
      <w:r w:rsidR="00042B19" w:rsidRPr="000779B3">
        <w:rPr>
          <w:rFonts w:ascii="Times New Roman" w:hAnsi="Times New Roman" w:cs="Times New Roman"/>
        </w:rPr>
        <w:t>.</w:t>
      </w:r>
    </w:p>
    <w:sectPr w:rsidR="00985F38" w:rsidRPr="000779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7D"/>
    <w:rsid w:val="00004EE7"/>
    <w:rsid w:val="00037CD1"/>
    <w:rsid w:val="00042B19"/>
    <w:rsid w:val="00044F3A"/>
    <w:rsid w:val="0005356B"/>
    <w:rsid w:val="000779B3"/>
    <w:rsid w:val="00091CC6"/>
    <w:rsid w:val="000E3851"/>
    <w:rsid w:val="000F4660"/>
    <w:rsid w:val="00115657"/>
    <w:rsid w:val="00122AF6"/>
    <w:rsid w:val="00124248"/>
    <w:rsid w:val="0013259E"/>
    <w:rsid w:val="00141E8E"/>
    <w:rsid w:val="0014286D"/>
    <w:rsid w:val="001D1139"/>
    <w:rsid w:val="001D5A2B"/>
    <w:rsid w:val="001E22CC"/>
    <w:rsid w:val="001E533C"/>
    <w:rsid w:val="001F6F5E"/>
    <w:rsid w:val="0024251A"/>
    <w:rsid w:val="00245357"/>
    <w:rsid w:val="00245B69"/>
    <w:rsid w:val="00263B10"/>
    <w:rsid w:val="0027482E"/>
    <w:rsid w:val="0028169A"/>
    <w:rsid w:val="0028757D"/>
    <w:rsid w:val="00293D46"/>
    <w:rsid w:val="002951B4"/>
    <w:rsid w:val="0029660E"/>
    <w:rsid w:val="002F4C4C"/>
    <w:rsid w:val="00370303"/>
    <w:rsid w:val="00375089"/>
    <w:rsid w:val="00380203"/>
    <w:rsid w:val="003B4DD0"/>
    <w:rsid w:val="003B769A"/>
    <w:rsid w:val="003C3A39"/>
    <w:rsid w:val="003C3F7F"/>
    <w:rsid w:val="00406D16"/>
    <w:rsid w:val="004323F4"/>
    <w:rsid w:val="00445408"/>
    <w:rsid w:val="0045129F"/>
    <w:rsid w:val="00452DAE"/>
    <w:rsid w:val="00466765"/>
    <w:rsid w:val="00470C79"/>
    <w:rsid w:val="00475FA4"/>
    <w:rsid w:val="004B0249"/>
    <w:rsid w:val="004B278F"/>
    <w:rsid w:val="004C21F2"/>
    <w:rsid w:val="004C5AEB"/>
    <w:rsid w:val="00533F2B"/>
    <w:rsid w:val="00535546"/>
    <w:rsid w:val="0053709A"/>
    <w:rsid w:val="00556EBC"/>
    <w:rsid w:val="00566459"/>
    <w:rsid w:val="00574690"/>
    <w:rsid w:val="005753BB"/>
    <w:rsid w:val="00576930"/>
    <w:rsid w:val="005B4071"/>
    <w:rsid w:val="005B6C4F"/>
    <w:rsid w:val="005D2445"/>
    <w:rsid w:val="005E4D09"/>
    <w:rsid w:val="005E59F5"/>
    <w:rsid w:val="005F244F"/>
    <w:rsid w:val="006011C6"/>
    <w:rsid w:val="0061350E"/>
    <w:rsid w:val="00646E99"/>
    <w:rsid w:val="006639AF"/>
    <w:rsid w:val="006A773C"/>
    <w:rsid w:val="006B444B"/>
    <w:rsid w:val="006B59F3"/>
    <w:rsid w:val="006D35AA"/>
    <w:rsid w:val="006F6535"/>
    <w:rsid w:val="007570AE"/>
    <w:rsid w:val="0076349D"/>
    <w:rsid w:val="007670A0"/>
    <w:rsid w:val="00771BDE"/>
    <w:rsid w:val="00772B5A"/>
    <w:rsid w:val="00797D10"/>
    <w:rsid w:val="007B2854"/>
    <w:rsid w:val="007D27A3"/>
    <w:rsid w:val="007F38AB"/>
    <w:rsid w:val="0083581F"/>
    <w:rsid w:val="008366C0"/>
    <w:rsid w:val="00860B6C"/>
    <w:rsid w:val="0089472D"/>
    <w:rsid w:val="008A1AB6"/>
    <w:rsid w:val="008B0B12"/>
    <w:rsid w:val="008D0B5D"/>
    <w:rsid w:val="008D36D3"/>
    <w:rsid w:val="008D6266"/>
    <w:rsid w:val="008E6946"/>
    <w:rsid w:val="008F482F"/>
    <w:rsid w:val="009212DD"/>
    <w:rsid w:val="009401D6"/>
    <w:rsid w:val="00953144"/>
    <w:rsid w:val="009740D9"/>
    <w:rsid w:val="00985F38"/>
    <w:rsid w:val="009A1348"/>
    <w:rsid w:val="009A4304"/>
    <w:rsid w:val="009B4D5F"/>
    <w:rsid w:val="009E07DF"/>
    <w:rsid w:val="00A1236F"/>
    <w:rsid w:val="00A13744"/>
    <w:rsid w:val="00A150DB"/>
    <w:rsid w:val="00A2481D"/>
    <w:rsid w:val="00A252CE"/>
    <w:rsid w:val="00A26F1C"/>
    <w:rsid w:val="00A2747E"/>
    <w:rsid w:val="00A4731C"/>
    <w:rsid w:val="00A77B98"/>
    <w:rsid w:val="00A93D88"/>
    <w:rsid w:val="00AB5C02"/>
    <w:rsid w:val="00AD4525"/>
    <w:rsid w:val="00B324A9"/>
    <w:rsid w:val="00B64B25"/>
    <w:rsid w:val="00B700ED"/>
    <w:rsid w:val="00BC1A22"/>
    <w:rsid w:val="00BC417E"/>
    <w:rsid w:val="00BC7412"/>
    <w:rsid w:val="00BD27AE"/>
    <w:rsid w:val="00C13757"/>
    <w:rsid w:val="00C41A0B"/>
    <w:rsid w:val="00C60ADA"/>
    <w:rsid w:val="00C80D33"/>
    <w:rsid w:val="00CA4757"/>
    <w:rsid w:val="00CB013F"/>
    <w:rsid w:val="00CE00D1"/>
    <w:rsid w:val="00CE1941"/>
    <w:rsid w:val="00CF1DDC"/>
    <w:rsid w:val="00D217AB"/>
    <w:rsid w:val="00D34B03"/>
    <w:rsid w:val="00D412A6"/>
    <w:rsid w:val="00D84C89"/>
    <w:rsid w:val="00D9606D"/>
    <w:rsid w:val="00D96122"/>
    <w:rsid w:val="00DB550E"/>
    <w:rsid w:val="00DC0EAF"/>
    <w:rsid w:val="00DC6990"/>
    <w:rsid w:val="00DE1B7E"/>
    <w:rsid w:val="00DF7385"/>
    <w:rsid w:val="00E06FEB"/>
    <w:rsid w:val="00E24361"/>
    <w:rsid w:val="00E24815"/>
    <w:rsid w:val="00E519C0"/>
    <w:rsid w:val="00E528AD"/>
    <w:rsid w:val="00EC1C92"/>
    <w:rsid w:val="00F1457D"/>
    <w:rsid w:val="00F514B4"/>
    <w:rsid w:val="00F53615"/>
    <w:rsid w:val="00F54552"/>
    <w:rsid w:val="00F557DA"/>
    <w:rsid w:val="00F6587C"/>
    <w:rsid w:val="00F75535"/>
    <w:rsid w:val="00F80974"/>
    <w:rsid w:val="00F8272F"/>
    <w:rsid w:val="00FC0980"/>
    <w:rsid w:val="00FD2C06"/>
    <w:rsid w:val="00FE22A6"/>
    <w:rsid w:val="00FE6B3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D0E1"/>
  <w15:chartTrackingRefBased/>
  <w15:docId w15:val="{9811A572-0139-40AF-963B-D810FFC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57D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45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1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45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hp@azc.uam.m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FD2556-C125-4D6A-9935-C094239E408D}">
  <we:reference id="wa104382081" version="1.55.1.0" store="es-HN" storeType="OMEX"/>
  <we:alternateReferences>
    <we:reference id="wa104382081" version="1.55.1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16B2434-AFAE-4A68-8E1E-BE586F30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Rodríguez</dc:creator>
  <cp:keywords/>
  <dc:description/>
  <cp:lastModifiedBy>Tatiana Rodríguez</cp:lastModifiedBy>
  <cp:revision>9</cp:revision>
  <dcterms:created xsi:type="dcterms:W3CDTF">2024-11-14T19:51:00Z</dcterms:created>
  <dcterms:modified xsi:type="dcterms:W3CDTF">2024-11-15T20:13:00Z</dcterms:modified>
</cp:coreProperties>
</file>