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C35B" w14:textId="35BBAA2A" w:rsidR="00C523EC" w:rsidRPr="00C523EC" w:rsidRDefault="004F36B1" w:rsidP="00C91E47">
      <w:pPr>
        <w:rPr>
          <w:rFonts w:ascii="Arial" w:hAnsi="Arial" w:cs="Arial"/>
          <w:b/>
          <w:bCs/>
          <w:lang w:val="en-GB"/>
        </w:rPr>
      </w:pPr>
      <w:r w:rsidRPr="00AD23AA">
        <w:rPr>
          <w:rFonts w:ascii="Arial" w:hAnsi="Arial" w:cs="Arial"/>
          <w:b/>
          <w:bCs/>
          <w:lang w:val="en-GB"/>
        </w:rPr>
        <w:t xml:space="preserve">Supplementary </w:t>
      </w:r>
      <w:r w:rsidR="008F10DF">
        <w:rPr>
          <w:rFonts w:ascii="Arial" w:hAnsi="Arial" w:cs="Arial"/>
          <w:b/>
          <w:bCs/>
          <w:lang w:val="en-GB"/>
        </w:rPr>
        <w:t>Information</w:t>
      </w:r>
      <w:r w:rsidRPr="00AD23AA">
        <w:rPr>
          <w:rFonts w:ascii="Arial" w:hAnsi="Arial" w:cs="Arial"/>
          <w:b/>
          <w:bCs/>
          <w:lang w:val="en-GB"/>
        </w:rPr>
        <w:t xml:space="preserve"> </w:t>
      </w:r>
    </w:p>
    <w:p w14:paraId="7C9407C8" w14:textId="3B0A8E1D" w:rsidR="004F36B1" w:rsidRPr="00907480" w:rsidRDefault="004F36B1" w:rsidP="00907480">
      <w:pPr>
        <w:pStyle w:val="Paragrafoelenco"/>
        <w:numPr>
          <w:ilvl w:val="0"/>
          <w:numId w:val="4"/>
        </w:numPr>
        <w:spacing w:line="360" w:lineRule="auto"/>
        <w:jc w:val="both"/>
        <w:rPr>
          <w:rFonts w:ascii="Arial" w:hAnsi="Arial" w:cs="Arial"/>
          <w:b/>
          <w:bCs/>
          <w:lang w:val="en-GB"/>
        </w:rPr>
      </w:pPr>
      <w:r w:rsidRPr="00907480">
        <w:rPr>
          <w:rFonts w:ascii="Arial" w:hAnsi="Arial" w:cs="Arial"/>
          <w:b/>
          <w:bCs/>
          <w:lang w:val="en-GB"/>
        </w:rPr>
        <w:t>Samples classification</w:t>
      </w:r>
    </w:p>
    <w:p w14:paraId="3A9827E1" w14:textId="76CBE7F5" w:rsidR="004F36B1" w:rsidRDefault="004F36B1" w:rsidP="004F36B1">
      <w:pPr>
        <w:pStyle w:val="Didascalia"/>
        <w:keepNext/>
      </w:pPr>
      <w:r>
        <w:t>Table S1</w:t>
      </w:r>
      <w:r>
        <w:rPr>
          <w:rFonts w:ascii="Arial" w:hAnsi="Arial" w:cs="Arial"/>
        </w:rPr>
        <w:t xml:space="preserve"> S</w:t>
      </w:r>
      <w:r w:rsidRPr="00D14D7E">
        <w:rPr>
          <w:rFonts w:ascii="Arial" w:hAnsi="Arial" w:cs="Arial"/>
        </w:rPr>
        <w:t>ample</w:t>
      </w:r>
      <w:r w:rsidRPr="00502912">
        <w:rPr>
          <w:rFonts w:ascii="Arial" w:hAnsi="Arial" w:cs="Arial"/>
        </w:rPr>
        <w:t xml:space="preserve"> </w:t>
      </w:r>
      <w:r w:rsidRPr="00D14D7E">
        <w:rPr>
          <w:rFonts w:ascii="Arial" w:hAnsi="Arial" w:cs="Arial"/>
        </w:rPr>
        <w:t>location</w:t>
      </w:r>
      <w:r>
        <w:rPr>
          <w:rFonts w:ascii="Arial" w:hAnsi="Arial" w:cs="Arial"/>
        </w:rPr>
        <w:t>,</w:t>
      </w:r>
      <w:r w:rsidRPr="00D14D7E">
        <w:rPr>
          <w:rFonts w:ascii="Arial" w:hAnsi="Arial" w:cs="Arial"/>
        </w:rPr>
        <w:t xml:space="preserve"> ID, coordinates</w:t>
      </w:r>
      <w:r>
        <w:rPr>
          <w:rFonts w:ascii="Arial" w:hAnsi="Arial" w:cs="Arial"/>
        </w:rPr>
        <w:t xml:space="preserve"> (ESPG: 32632)</w:t>
      </w:r>
      <w:r w:rsidRPr="00D14D7E">
        <w:rPr>
          <w:rFonts w:ascii="Arial" w:hAnsi="Arial" w:cs="Arial"/>
        </w:rPr>
        <w:t xml:space="preserve">, material type (waste rock, tailings, soil, sediments), </w:t>
      </w:r>
      <w:r>
        <w:rPr>
          <w:rFonts w:ascii="Arial" w:hAnsi="Arial" w:cs="Arial"/>
        </w:rPr>
        <w:t>source of the data (previous studies samples or new samples) and</w:t>
      </w:r>
      <w:r w:rsidRPr="00D14D7E">
        <w:rPr>
          <w:rFonts w:ascii="Arial" w:hAnsi="Arial" w:cs="Arial"/>
        </w:rPr>
        <w:t xml:space="preserve"> classification code: 1 for </w:t>
      </w:r>
      <w:r>
        <w:rPr>
          <w:rFonts w:ascii="Arial" w:hAnsi="Arial" w:cs="Arial"/>
        </w:rPr>
        <w:t>indicated EW</w:t>
      </w:r>
      <w:r w:rsidRPr="00D14D7E">
        <w:rPr>
          <w:rFonts w:ascii="Arial" w:hAnsi="Arial" w:cs="Arial"/>
        </w:rPr>
        <w:t xml:space="preserve">, 2 for </w:t>
      </w:r>
      <w:r>
        <w:rPr>
          <w:rFonts w:ascii="Arial" w:hAnsi="Arial" w:cs="Arial"/>
        </w:rPr>
        <w:t>inferred</w:t>
      </w:r>
      <w:r w:rsidRPr="00D14D7E">
        <w:rPr>
          <w:rFonts w:ascii="Arial" w:hAnsi="Arial" w:cs="Arial"/>
        </w:rPr>
        <w:t xml:space="preserve"> </w:t>
      </w:r>
      <w:r>
        <w:rPr>
          <w:rFonts w:ascii="Arial" w:hAnsi="Arial" w:cs="Arial"/>
        </w:rPr>
        <w:t xml:space="preserve">EW </w:t>
      </w:r>
      <w:r w:rsidRPr="00D14D7E">
        <w:rPr>
          <w:rFonts w:ascii="Arial" w:hAnsi="Arial" w:cs="Arial"/>
        </w:rPr>
        <w:t xml:space="preserve">(considered as contaminated mine soil in the conservative scenario and as </w:t>
      </w:r>
      <w:r>
        <w:rPr>
          <w:rFonts w:ascii="Arial" w:hAnsi="Arial" w:cs="Arial"/>
        </w:rPr>
        <w:t>EW</w:t>
      </w:r>
      <w:r w:rsidRPr="00D14D7E">
        <w:rPr>
          <w:rFonts w:ascii="Arial" w:hAnsi="Arial" w:cs="Arial"/>
        </w:rPr>
        <w:t xml:space="preserve"> in the extended scenario), 3 for soil, and 4 for sediment.</w:t>
      </w:r>
    </w:p>
    <w:tbl>
      <w:tblPr>
        <w:tblStyle w:val="Tabellasemplice-12"/>
        <w:tblW w:w="8967" w:type="dxa"/>
        <w:tblLook w:val="04A0" w:firstRow="1" w:lastRow="0" w:firstColumn="1" w:lastColumn="0" w:noHBand="0" w:noVBand="1"/>
      </w:tblPr>
      <w:tblGrid>
        <w:gridCol w:w="1133"/>
        <w:gridCol w:w="960"/>
        <w:gridCol w:w="1053"/>
        <w:gridCol w:w="1020"/>
        <w:gridCol w:w="2855"/>
        <w:gridCol w:w="986"/>
        <w:gridCol w:w="960"/>
      </w:tblGrid>
      <w:tr w:rsidR="004F36B1" w:rsidRPr="00D62E4F" w14:paraId="35838C73" w14:textId="77777777" w:rsidTr="00ED418C">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A3EB3CF" w14:textId="77777777" w:rsidR="004F36B1" w:rsidRPr="004F36B1" w:rsidRDefault="004F36B1" w:rsidP="00582AD4">
            <w:pPr>
              <w:rPr>
                <w:rFonts w:ascii="Times New Roman" w:eastAsia="Times New Roman" w:hAnsi="Times New Roman" w:cs="Times New Roman"/>
                <w:kern w:val="0"/>
                <w:sz w:val="24"/>
                <w:szCs w:val="24"/>
                <w:lang w:val="en-GB" w:eastAsia="en-GB"/>
              </w:rPr>
            </w:pPr>
          </w:p>
        </w:tc>
        <w:tc>
          <w:tcPr>
            <w:tcW w:w="960" w:type="dxa"/>
            <w:noWrap/>
            <w:hideMark/>
          </w:tcPr>
          <w:p w14:paraId="5284FA91"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ID</w:t>
            </w:r>
          </w:p>
        </w:tc>
        <w:tc>
          <w:tcPr>
            <w:tcW w:w="1053" w:type="dxa"/>
            <w:noWrap/>
            <w:hideMark/>
          </w:tcPr>
          <w:p w14:paraId="528D7BF2"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X (ESPG: 32632)</w:t>
            </w:r>
          </w:p>
        </w:tc>
        <w:tc>
          <w:tcPr>
            <w:tcW w:w="1020" w:type="dxa"/>
            <w:noWrap/>
            <w:hideMark/>
          </w:tcPr>
          <w:p w14:paraId="18D8C2A4"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Y (ESPG: 32632)</w:t>
            </w:r>
          </w:p>
        </w:tc>
        <w:tc>
          <w:tcPr>
            <w:tcW w:w="2855" w:type="dxa"/>
            <w:noWrap/>
            <w:hideMark/>
          </w:tcPr>
          <w:p w14:paraId="4EAFCB3E"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type</w:t>
            </w:r>
          </w:p>
        </w:tc>
        <w:tc>
          <w:tcPr>
            <w:tcW w:w="986" w:type="dxa"/>
            <w:noWrap/>
            <w:hideMark/>
          </w:tcPr>
          <w:p w14:paraId="4914F62B"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data source</w:t>
            </w:r>
          </w:p>
        </w:tc>
        <w:tc>
          <w:tcPr>
            <w:tcW w:w="960" w:type="dxa"/>
            <w:noWrap/>
            <w:hideMark/>
          </w:tcPr>
          <w:p w14:paraId="4434B7FF" w14:textId="77777777" w:rsidR="004F36B1" w:rsidRPr="00D62E4F" w:rsidRDefault="004F36B1" w:rsidP="00582AD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code</w:t>
            </w:r>
          </w:p>
        </w:tc>
      </w:tr>
      <w:tr w:rsidR="004F36B1" w:rsidRPr="00D62E4F" w14:paraId="139BD744"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2AFF750" w14:textId="77777777" w:rsidR="004F36B1" w:rsidRPr="00D62E4F" w:rsidRDefault="004F36B1" w:rsidP="00582AD4">
            <w:pPr>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Crocette</w:t>
            </w:r>
          </w:p>
        </w:tc>
        <w:tc>
          <w:tcPr>
            <w:tcW w:w="960" w:type="dxa"/>
            <w:noWrap/>
            <w:hideMark/>
          </w:tcPr>
          <w:p w14:paraId="03AF823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1</w:t>
            </w:r>
          </w:p>
        </w:tc>
        <w:tc>
          <w:tcPr>
            <w:tcW w:w="1053" w:type="dxa"/>
            <w:noWrap/>
            <w:hideMark/>
          </w:tcPr>
          <w:p w14:paraId="7F24579E"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420752.4</w:t>
            </w:r>
          </w:p>
        </w:tc>
        <w:tc>
          <w:tcPr>
            <w:tcW w:w="1020" w:type="dxa"/>
            <w:noWrap/>
            <w:hideMark/>
          </w:tcPr>
          <w:p w14:paraId="3042331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5087951</w:t>
            </w:r>
          </w:p>
        </w:tc>
        <w:tc>
          <w:tcPr>
            <w:tcW w:w="2855" w:type="dxa"/>
            <w:noWrap/>
            <w:hideMark/>
          </w:tcPr>
          <w:p w14:paraId="76AF12B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356E892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C910C9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73C53F7D"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C9E155B"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7A6331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2</w:t>
            </w:r>
          </w:p>
        </w:tc>
        <w:tc>
          <w:tcPr>
            <w:tcW w:w="1053" w:type="dxa"/>
            <w:noWrap/>
            <w:hideMark/>
          </w:tcPr>
          <w:p w14:paraId="7E034DA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420723.4</w:t>
            </w:r>
          </w:p>
        </w:tc>
        <w:tc>
          <w:tcPr>
            <w:tcW w:w="1020" w:type="dxa"/>
            <w:noWrap/>
            <w:hideMark/>
          </w:tcPr>
          <w:p w14:paraId="5FC5E38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5088010</w:t>
            </w:r>
          </w:p>
        </w:tc>
        <w:tc>
          <w:tcPr>
            <w:tcW w:w="2855" w:type="dxa"/>
            <w:noWrap/>
            <w:hideMark/>
          </w:tcPr>
          <w:p w14:paraId="45B62A7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788856E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17A817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5141E945"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121A461"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2AC14C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3</w:t>
            </w:r>
          </w:p>
        </w:tc>
        <w:tc>
          <w:tcPr>
            <w:tcW w:w="1053" w:type="dxa"/>
            <w:noWrap/>
            <w:hideMark/>
          </w:tcPr>
          <w:p w14:paraId="0EA4D8C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420738.4</w:t>
            </w:r>
          </w:p>
        </w:tc>
        <w:tc>
          <w:tcPr>
            <w:tcW w:w="1020" w:type="dxa"/>
            <w:noWrap/>
            <w:hideMark/>
          </w:tcPr>
          <w:p w14:paraId="651DFC2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5087918</w:t>
            </w:r>
          </w:p>
        </w:tc>
        <w:tc>
          <w:tcPr>
            <w:tcW w:w="2855" w:type="dxa"/>
            <w:noWrap/>
            <w:hideMark/>
          </w:tcPr>
          <w:p w14:paraId="4A5F292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3FBB885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86AB8D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7459A1D8"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89EDBB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1612CD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4</w:t>
            </w:r>
          </w:p>
        </w:tc>
        <w:tc>
          <w:tcPr>
            <w:tcW w:w="1053" w:type="dxa"/>
            <w:noWrap/>
            <w:hideMark/>
          </w:tcPr>
          <w:p w14:paraId="78030B8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420720.4</w:t>
            </w:r>
          </w:p>
        </w:tc>
        <w:tc>
          <w:tcPr>
            <w:tcW w:w="1020" w:type="dxa"/>
            <w:noWrap/>
            <w:hideMark/>
          </w:tcPr>
          <w:p w14:paraId="27DD18F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5087919</w:t>
            </w:r>
          </w:p>
        </w:tc>
        <w:tc>
          <w:tcPr>
            <w:tcW w:w="2855" w:type="dxa"/>
            <w:noWrap/>
            <w:hideMark/>
          </w:tcPr>
          <w:p w14:paraId="6812E80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85C7F3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F89CBB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72A3CD0"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DA2BE4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76B59E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6</w:t>
            </w:r>
          </w:p>
        </w:tc>
        <w:tc>
          <w:tcPr>
            <w:tcW w:w="1053" w:type="dxa"/>
            <w:noWrap/>
            <w:hideMark/>
          </w:tcPr>
          <w:p w14:paraId="4C65BDA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420734.4</w:t>
            </w:r>
          </w:p>
        </w:tc>
        <w:tc>
          <w:tcPr>
            <w:tcW w:w="1020" w:type="dxa"/>
            <w:noWrap/>
            <w:hideMark/>
          </w:tcPr>
          <w:p w14:paraId="7629805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5087882</w:t>
            </w:r>
          </w:p>
        </w:tc>
        <w:tc>
          <w:tcPr>
            <w:tcW w:w="2855" w:type="dxa"/>
            <w:noWrap/>
            <w:hideMark/>
          </w:tcPr>
          <w:p w14:paraId="312E61A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B660748"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432426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542B3B51"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A6BD7D9"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64462F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 7</w:t>
            </w:r>
          </w:p>
        </w:tc>
        <w:tc>
          <w:tcPr>
            <w:tcW w:w="1053" w:type="dxa"/>
            <w:noWrap/>
            <w:hideMark/>
          </w:tcPr>
          <w:p w14:paraId="1895945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420688.4</w:t>
            </w:r>
          </w:p>
        </w:tc>
        <w:tc>
          <w:tcPr>
            <w:tcW w:w="1020" w:type="dxa"/>
            <w:noWrap/>
            <w:hideMark/>
          </w:tcPr>
          <w:p w14:paraId="3D68BC0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5087866</w:t>
            </w:r>
          </w:p>
        </w:tc>
        <w:tc>
          <w:tcPr>
            <w:tcW w:w="2855" w:type="dxa"/>
            <w:noWrap/>
            <w:hideMark/>
          </w:tcPr>
          <w:p w14:paraId="76030E8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E50EF5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1F9B89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07B9E573"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98F70B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EE2D6B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 1</w:t>
            </w:r>
          </w:p>
        </w:tc>
        <w:tc>
          <w:tcPr>
            <w:tcW w:w="1053" w:type="dxa"/>
            <w:noWrap/>
            <w:hideMark/>
          </w:tcPr>
          <w:p w14:paraId="4F5529D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420656.4</w:t>
            </w:r>
          </w:p>
        </w:tc>
        <w:tc>
          <w:tcPr>
            <w:tcW w:w="1020" w:type="dxa"/>
            <w:noWrap/>
            <w:hideMark/>
          </w:tcPr>
          <w:p w14:paraId="1131F4E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5087868</w:t>
            </w:r>
          </w:p>
        </w:tc>
        <w:tc>
          <w:tcPr>
            <w:tcW w:w="2855" w:type="dxa"/>
            <w:noWrap/>
            <w:hideMark/>
          </w:tcPr>
          <w:p w14:paraId="448CB0F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w:t>
            </w:r>
          </w:p>
        </w:tc>
        <w:tc>
          <w:tcPr>
            <w:tcW w:w="986" w:type="dxa"/>
            <w:noWrap/>
            <w:hideMark/>
          </w:tcPr>
          <w:p w14:paraId="646E8B7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FE823F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D9BDF3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1A43157"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30591C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 2</w:t>
            </w:r>
          </w:p>
        </w:tc>
        <w:tc>
          <w:tcPr>
            <w:tcW w:w="1053" w:type="dxa"/>
            <w:noWrap/>
            <w:hideMark/>
          </w:tcPr>
          <w:p w14:paraId="57B72BF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420686.4</w:t>
            </w:r>
          </w:p>
        </w:tc>
        <w:tc>
          <w:tcPr>
            <w:tcW w:w="1020" w:type="dxa"/>
            <w:noWrap/>
            <w:hideMark/>
          </w:tcPr>
          <w:p w14:paraId="291F1E9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5087859</w:t>
            </w:r>
          </w:p>
        </w:tc>
        <w:tc>
          <w:tcPr>
            <w:tcW w:w="2855" w:type="dxa"/>
            <w:noWrap/>
            <w:hideMark/>
          </w:tcPr>
          <w:p w14:paraId="29E5D70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176322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E6E03F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027330C"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FD041A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373DF1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 3</w:t>
            </w:r>
          </w:p>
        </w:tc>
        <w:tc>
          <w:tcPr>
            <w:tcW w:w="1053" w:type="dxa"/>
            <w:noWrap/>
            <w:hideMark/>
          </w:tcPr>
          <w:p w14:paraId="5F414D8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420727.4</w:t>
            </w:r>
          </w:p>
        </w:tc>
        <w:tc>
          <w:tcPr>
            <w:tcW w:w="1020" w:type="dxa"/>
            <w:noWrap/>
            <w:hideMark/>
          </w:tcPr>
          <w:p w14:paraId="67479F9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5087882</w:t>
            </w:r>
          </w:p>
        </w:tc>
        <w:tc>
          <w:tcPr>
            <w:tcW w:w="2855" w:type="dxa"/>
            <w:noWrap/>
            <w:hideMark/>
          </w:tcPr>
          <w:p w14:paraId="41C2272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0646E4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7E6E68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30F2FA3A"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ADE10F3"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43D1FF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 4</w:t>
            </w:r>
          </w:p>
        </w:tc>
        <w:tc>
          <w:tcPr>
            <w:tcW w:w="1053" w:type="dxa"/>
            <w:noWrap/>
            <w:hideMark/>
          </w:tcPr>
          <w:p w14:paraId="17FFC03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420722.4</w:t>
            </w:r>
          </w:p>
        </w:tc>
        <w:tc>
          <w:tcPr>
            <w:tcW w:w="1020" w:type="dxa"/>
            <w:noWrap/>
            <w:hideMark/>
          </w:tcPr>
          <w:p w14:paraId="497DB90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5087913</w:t>
            </w:r>
          </w:p>
        </w:tc>
        <w:tc>
          <w:tcPr>
            <w:tcW w:w="2855" w:type="dxa"/>
            <w:noWrap/>
            <w:hideMark/>
          </w:tcPr>
          <w:p w14:paraId="772FFA1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69B09B3"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4CFBF8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1DF555F8"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47663A6"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CD9DCA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CRO 5</w:t>
            </w:r>
          </w:p>
        </w:tc>
        <w:tc>
          <w:tcPr>
            <w:tcW w:w="1053" w:type="dxa"/>
            <w:noWrap/>
            <w:hideMark/>
          </w:tcPr>
          <w:p w14:paraId="4CF3BEF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420757.4</w:t>
            </w:r>
          </w:p>
        </w:tc>
        <w:tc>
          <w:tcPr>
            <w:tcW w:w="1020" w:type="dxa"/>
            <w:noWrap/>
            <w:hideMark/>
          </w:tcPr>
          <w:p w14:paraId="3DF2467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5087873</w:t>
            </w:r>
          </w:p>
        </w:tc>
        <w:tc>
          <w:tcPr>
            <w:tcW w:w="2855" w:type="dxa"/>
            <w:noWrap/>
            <w:hideMark/>
          </w:tcPr>
          <w:p w14:paraId="12867F0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drainage channel sediments</w:t>
            </w:r>
          </w:p>
        </w:tc>
        <w:tc>
          <w:tcPr>
            <w:tcW w:w="986" w:type="dxa"/>
            <w:noWrap/>
            <w:hideMark/>
          </w:tcPr>
          <w:p w14:paraId="4CC3042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084491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12A08ACA"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7EFD7B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7348D4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cr_01</w:t>
            </w:r>
          </w:p>
        </w:tc>
        <w:tc>
          <w:tcPr>
            <w:tcW w:w="1053" w:type="dxa"/>
            <w:noWrap/>
            <w:hideMark/>
          </w:tcPr>
          <w:p w14:paraId="361BF2C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420650.3</w:t>
            </w:r>
          </w:p>
        </w:tc>
        <w:tc>
          <w:tcPr>
            <w:tcW w:w="1020" w:type="dxa"/>
            <w:noWrap/>
            <w:hideMark/>
          </w:tcPr>
          <w:p w14:paraId="693D48A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5087866</w:t>
            </w:r>
          </w:p>
        </w:tc>
        <w:tc>
          <w:tcPr>
            <w:tcW w:w="2855" w:type="dxa"/>
            <w:noWrap/>
            <w:hideMark/>
          </w:tcPr>
          <w:p w14:paraId="6F192DB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33FCD4A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0575C8A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043A56AC"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3F9171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5F8820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cr_02</w:t>
            </w:r>
          </w:p>
        </w:tc>
        <w:tc>
          <w:tcPr>
            <w:tcW w:w="1053" w:type="dxa"/>
            <w:noWrap/>
            <w:hideMark/>
          </w:tcPr>
          <w:p w14:paraId="59A2611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420650.3</w:t>
            </w:r>
          </w:p>
        </w:tc>
        <w:tc>
          <w:tcPr>
            <w:tcW w:w="1020" w:type="dxa"/>
            <w:noWrap/>
            <w:hideMark/>
          </w:tcPr>
          <w:p w14:paraId="4572F7D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5087866</w:t>
            </w:r>
          </w:p>
        </w:tc>
        <w:tc>
          <w:tcPr>
            <w:tcW w:w="2855" w:type="dxa"/>
            <w:noWrap/>
            <w:hideMark/>
          </w:tcPr>
          <w:p w14:paraId="669A8FB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5288BB3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284303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4B4D453"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D1BA9CC"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94DE27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cr_03</w:t>
            </w:r>
          </w:p>
        </w:tc>
        <w:tc>
          <w:tcPr>
            <w:tcW w:w="1053" w:type="dxa"/>
            <w:noWrap/>
            <w:hideMark/>
          </w:tcPr>
          <w:p w14:paraId="7BF66DA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420655.9</w:t>
            </w:r>
          </w:p>
        </w:tc>
        <w:tc>
          <w:tcPr>
            <w:tcW w:w="1020" w:type="dxa"/>
            <w:noWrap/>
            <w:hideMark/>
          </w:tcPr>
          <w:p w14:paraId="37DACD1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5087867</w:t>
            </w:r>
          </w:p>
        </w:tc>
        <w:tc>
          <w:tcPr>
            <w:tcW w:w="2855" w:type="dxa"/>
            <w:noWrap/>
            <w:hideMark/>
          </w:tcPr>
          <w:p w14:paraId="5FFA77D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26D5664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3C26BF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7A9B1A2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84235B8"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F1384D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cr_04</w:t>
            </w:r>
          </w:p>
        </w:tc>
        <w:tc>
          <w:tcPr>
            <w:tcW w:w="1053" w:type="dxa"/>
            <w:noWrap/>
            <w:hideMark/>
          </w:tcPr>
          <w:p w14:paraId="6ADC4AB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420655.9</w:t>
            </w:r>
          </w:p>
        </w:tc>
        <w:tc>
          <w:tcPr>
            <w:tcW w:w="1020" w:type="dxa"/>
            <w:noWrap/>
            <w:hideMark/>
          </w:tcPr>
          <w:p w14:paraId="202BAFDE"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5087867</w:t>
            </w:r>
          </w:p>
        </w:tc>
        <w:tc>
          <w:tcPr>
            <w:tcW w:w="2855" w:type="dxa"/>
            <w:noWrap/>
            <w:hideMark/>
          </w:tcPr>
          <w:p w14:paraId="4706998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633C037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105DD40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74900C0B"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B474AAC"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9086FB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cr_05</w:t>
            </w:r>
          </w:p>
        </w:tc>
        <w:tc>
          <w:tcPr>
            <w:tcW w:w="1053" w:type="dxa"/>
            <w:noWrap/>
            <w:hideMark/>
          </w:tcPr>
          <w:p w14:paraId="03B39BE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420655.9</w:t>
            </w:r>
          </w:p>
        </w:tc>
        <w:tc>
          <w:tcPr>
            <w:tcW w:w="1020" w:type="dxa"/>
            <w:noWrap/>
            <w:hideMark/>
          </w:tcPr>
          <w:p w14:paraId="1C70922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5087867</w:t>
            </w:r>
          </w:p>
        </w:tc>
        <w:tc>
          <w:tcPr>
            <w:tcW w:w="2855" w:type="dxa"/>
            <w:noWrap/>
            <w:hideMark/>
          </w:tcPr>
          <w:p w14:paraId="25A3ECF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1CC575F3"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5E4ABF0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F2A6EF1"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52AF649"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C3724C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cr_06</w:t>
            </w:r>
          </w:p>
        </w:tc>
        <w:tc>
          <w:tcPr>
            <w:tcW w:w="1053" w:type="dxa"/>
            <w:noWrap/>
            <w:hideMark/>
          </w:tcPr>
          <w:p w14:paraId="1A8A294E"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420672.8</w:t>
            </w:r>
          </w:p>
        </w:tc>
        <w:tc>
          <w:tcPr>
            <w:tcW w:w="1020" w:type="dxa"/>
            <w:noWrap/>
            <w:hideMark/>
          </w:tcPr>
          <w:p w14:paraId="415F4E8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5087848</w:t>
            </w:r>
          </w:p>
        </w:tc>
        <w:tc>
          <w:tcPr>
            <w:tcW w:w="2855" w:type="dxa"/>
            <w:noWrap/>
            <w:hideMark/>
          </w:tcPr>
          <w:p w14:paraId="00539B6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227DB7E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4C03F71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332E75A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9EEE1A1"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C529B4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cr_07</w:t>
            </w:r>
          </w:p>
        </w:tc>
        <w:tc>
          <w:tcPr>
            <w:tcW w:w="1053" w:type="dxa"/>
            <w:noWrap/>
            <w:hideMark/>
          </w:tcPr>
          <w:p w14:paraId="181CD38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420707.6</w:t>
            </w:r>
          </w:p>
        </w:tc>
        <w:tc>
          <w:tcPr>
            <w:tcW w:w="1020" w:type="dxa"/>
            <w:noWrap/>
            <w:hideMark/>
          </w:tcPr>
          <w:p w14:paraId="24ECCEB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5087866</w:t>
            </w:r>
          </w:p>
        </w:tc>
        <w:tc>
          <w:tcPr>
            <w:tcW w:w="2855" w:type="dxa"/>
            <w:noWrap/>
            <w:hideMark/>
          </w:tcPr>
          <w:p w14:paraId="2BC3446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D24224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E439EC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57213ED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865822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93E17B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cr_08</w:t>
            </w:r>
          </w:p>
        </w:tc>
        <w:tc>
          <w:tcPr>
            <w:tcW w:w="1053" w:type="dxa"/>
            <w:noWrap/>
            <w:hideMark/>
          </w:tcPr>
          <w:p w14:paraId="2E2168C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420707.6</w:t>
            </w:r>
          </w:p>
        </w:tc>
        <w:tc>
          <w:tcPr>
            <w:tcW w:w="1020" w:type="dxa"/>
            <w:noWrap/>
            <w:hideMark/>
          </w:tcPr>
          <w:p w14:paraId="52BD803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5087866</w:t>
            </w:r>
          </w:p>
        </w:tc>
        <w:tc>
          <w:tcPr>
            <w:tcW w:w="2855" w:type="dxa"/>
            <w:noWrap/>
            <w:hideMark/>
          </w:tcPr>
          <w:p w14:paraId="4AEBD93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4F86DF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599F80E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7BA42391"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175846B"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465D87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cr_09</w:t>
            </w:r>
          </w:p>
        </w:tc>
        <w:tc>
          <w:tcPr>
            <w:tcW w:w="1053" w:type="dxa"/>
            <w:noWrap/>
            <w:hideMark/>
          </w:tcPr>
          <w:p w14:paraId="522CF2D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420705.2</w:t>
            </w:r>
          </w:p>
        </w:tc>
        <w:tc>
          <w:tcPr>
            <w:tcW w:w="1020" w:type="dxa"/>
            <w:noWrap/>
            <w:hideMark/>
          </w:tcPr>
          <w:p w14:paraId="216C034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5087913</w:t>
            </w:r>
          </w:p>
        </w:tc>
        <w:tc>
          <w:tcPr>
            <w:tcW w:w="2855" w:type="dxa"/>
            <w:noWrap/>
            <w:hideMark/>
          </w:tcPr>
          <w:p w14:paraId="47C5D1D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rocks</w:t>
            </w:r>
          </w:p>
        </w:tc>
        <w:tc>
          <w:tcPr>
            <w:tcW w:w="986" w:type="dxa"/>
            <w:noWrap/>
            <w:hideMark/>
          </w:tcPr>
          <w:p w14:paraId="0B0F2CC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035665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759DA2A1"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2F57D91"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EDF024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cr_10</w:t>
            </w:r>
          </w:p>
        </w:tc>
        <w:tc>
          <w:tcPr>
            <w:tcW w:w="1053" w:type="dxa"/>
            <w:noWrap/>
            <w:hideMark/>
          </w:tcPr>
          <w:p w14:paraId="4C687A5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420705.2</w:t>
            </w:r>
          </w:p>
        </w:tc>
        <w:tc>
          <w:tcPr>
            <w:tcW w:w="1020" w:type="dxa"/>
            <w:noWrap/>
            <w:hideMark/>
          </w:tcPr>
          <w:p w14:paraId="5F2A86A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5087913</w:t>
            </w:r>
          </w:p>
        </w:tc>
        <w:tc>
          <w:tcPr>
            <w:tcW w:w="2855" w:type="dxa"/>
            <w:noWrap/>
            <w:hideMark/>
          </w:tcPr>
          <w:p w14:paraId="7D7D1BE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3A40ED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07DAF2B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1EADA49B"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B74E00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DC2D81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cr_11</w:t>
            </w:r>
          </w:p>
        </w:tc>
        <w:tc>
          <w:tcPr>
            <w:tcW w:w="1053" w:type="dxa"/>
            <w:noWrap/>
            <w:hideMark/>
          </w:tcPr>
          <w:p w14:paraId="06E8ADA5" w14:textId="30355F9C"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420731</w:t>
            </w:r>
            <w:r w:rsidR="0051508A">
              <w:rPr>
                <w:rFonts w:ascii="Calibri" w:eastAsia="Times New Roman" w:hAnsi="Calibri" w:cs="Calibri"/>
                <w:color w:val="000000"/>
                <w:kern w:val="0"/>
                <w:lang w:eastAsia="en-GB"/>
              </w:rPr>
              <w:t>.0</w:t>
            </w:r>
          </w:p>
        </w:tc>
        <w:tc>
          <w:tcPr>
            <w:tcW w:w="1020" w:type="dxa"/>
            <w:noWrap/>
            <w:hideMark/>
          </w:tcPr>
          <w:p w14:paraId="275A4AC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5087911</w:t>
            </w:r>
          </w:p>
        </w:tc>
        <w:tc>
          <w:tcPr>
            <w:tcW w:w="2855" w:type="dxa"/>
            <w:noWrap/>
            <w:hideMark/>
          </w:tcPr>
          <w:p w14:paraId="4DF3010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E7BD38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F6F5F7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EAB33BC"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690A27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5B5154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cr_12</w:t>
            </w:r>
          </w:p>
        </w:tc>
        <w:tc>
          <w:tcPr>
            <w:tcW w:w="1053" w:type="dxa"/>
            <w:noWrap/>
            <w:hideMark/>
          </w:tcPr>
          <w:p w14:paraId="3EFF310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420767.7</w:t>
            </w:r>
          </w:p>
        </w:tc>
        <w:tc>
          <w:tcPr>
            <w:tcW w:w="1020" w:type="dxa"/>
            <w:noWrap/>
            <w:hideMark/>
          </w:tcPr>
          <w:p w14:paraId="5F08650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5087829</w:t>
            </w:r>
          </w:p>
        </w:tc>
        <w:tc>
          <w:tcPr>
            <w:tcW w:w="2855" w:type="dxa"/>
            <w:noWrap/>
            <w:hideMark/>
          </w:tcPr>
          <w:p w14:paraId="6017CF8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0C82153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7573986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4C1AAEA4"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8EC9EAB"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88FEB3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cr_13</w:t>
            </w:r>
          </w:p>
        </w:tc>
        <w:tc>
          <w:tcPr>
            <w:tcW w:w="1053" w:type="dxa"/>
            <w:noWrap/>
            <w:hideMark/>
          </w:tcPr>
          <w:p w14:paraId="743EDEA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420718.2</w:t>
            </w:r>
          </w:p>
        </w:tc>
        <w:tc>
          <w:tcPr>
            <w:tcW w:w="1020" w:type="dxa"/>
            <w:noWrap/>
            <w:hideMark/>
          </w:tcPr>
          <w:p w14:paraId="2AF00EA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5087929</w:t>
            </w:r>
          </w:p>
        </w:tc>
        <w:tc>
          <w:tcPr>
            <w:tcW w:w="2855" w:type="dxa"/>
            <w:noWrap/>
            <w:hideMark/>
          </w:tcPr>
          <w:p w14:paraId="566DC9E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CE731C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5C6C919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1C6A9543"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6AAA06C"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AD916B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cr_14</w:t>
            </w:r>
          </w:p>
        </w:tc>
        <w:tc>
          <w:tcPr>
            <w:tcW w:w="1053" w:type="dxa"/>
            <w:noWrap/>
            <w:hideMark/>
          </w:tcPr>
          <w:p w14:paraId="05494F4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420686.9</w:t>
            </w:r>
          </w:p>
        </w:tc>
        <w:tc>
          <w:tcPr>
            <w:tcW w:w="1020" w:type="dxa"/>
            <w:noWrap/>
            <w:hideMark/>
          </w:tcPr>
          <w:p w14:paraId="68727C9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5087863</w:t>
            </w:r>
          </w:p>
        </w:tc>
        <w:tc>
          <w:tcPr>
            <w:tcW w:w="2855" w:type="dxa"/>
            <w:noWrap/>
            <w:hideMark/>
          </w:tcPr>
          <w:p w14:paraId="0B221F4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7175EC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169CE78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030DDE9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FECEACE" w14:textId="77777777" w:rsidR="004F36B1" w:rsidRPr="00D62E4F" w:rsidRDefault="004F36B1" w:rsidP="00582AD4">
            <w:pPr>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Pestarena</w:t>
            </w:r>
          </w:p>
        </w:tc>
        <w:tc>
          <w:tcPr>
            <w:tcW w:w="960" w:type="dxa"/>
            <w:noWrap/>
            <w:hideMark/>
          </w:tcPr>
          <w:p w14:paraId="7EF8B4E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F 1</w:t>
            </w:r>
          </w:p>
        </w:tc>
        <w:tc>
          <w:tcPr>
            <w:tcW w:w="1053" w:type="dxa"/>
            <w:noWrap/>
            <w:hideMark/>
          </w:tcPr>
          <w:p w14:paraId="2640FA7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423732.4</w:t>
            </w:r>
          </w:p>
        </w:tc>
        <w:tc>
          <w:tcPr>
            <w:tcW w:w="1020" w:type="dxa"/>
            <w:noWrap/>
            <w:hideMark/>
          </w:tcPr>
          <w:p w14:paraId="25D5FE3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5089876</w:t>
            </w:r>
          </w:p>
        </w:tc>
        <w:tc>
          <w:tcPr>
            <w:tcW w:w="2855" w:type="dxa"/>
            <w:noWrap/>
            <w:hideMark/>
          </w:tcPr>
          <w:p w14:paraId="1D85C93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085F36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DD8039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9633094"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622206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642C4F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F 3</w:t>
            </w:r>
          </w:p>
        </w:tc>
        <w:tc>
          <w:tcPr>
            <w:tcW w:w="1053" w:type="dxa"/>
            <w:noWrap/>
            <w:hideMark/>
          </w:tcPr>
          <w:p w14:paraId="6A8A767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423729.4</w:t>
            </w:r>
          </w:p>
        </w:tc>
        <w:tc>
          <w:tcPr>
            <w:tcW w:w="1020" w:type="dxa"/>
            <w:noWrap/>
            <w:hideMark/>
          </w:tcPr>
          <w:p w14:paraId="5CEFAB6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5089874</w:t>
            </w:r>
          </w:p>
        </w:tc>
        <w:tc>
          <w:tcPr>
            <w:tcW w:w="2855" w:type="dxa"/>
            <w:noWrap/>
            <w:hideMark/>
          </w:tcPr>
          <w:p w14:paraId="718FE8D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8E41FB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2A1EF3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263B5846"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D4B738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29D0DF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LM</w:t>
            </w:r>
          </w:p>
        </w:tc>
        <w:tc>
          <w:tcPr>
            <w:tcW w:w="1053" w:type="dxa"/>
            <w:noWrap/>
            <w:hideMark/>
          </w:tcPr>
          <w:p w14:paraId="1E2D8E7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423737.4</w:t>
            </w:r>
          </w:p>
        </w:tc>
        <w:tc>
          <w:tcPr>
            <w:tcW w:w="1020" w:type="dxa"/>
            <w:noWrap/>
            <w:hideMark/>
          </w:tcPr>
          <w:p w14:paraId="54BFBEA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5089865</w:t>
            </w:r>
          </w:p>
        </w:tc>
        <w:tc>
          <w:tcPr>
            <w:tcW w:w="2855" w:type="dxa"/>
            <w:noWrap/>
            <w:hideMark/>
          </w:tcPr>
          <w:p w14:paraId="5B02E35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river sediments</w:t>
            </w:r>
          </w:p>
        </w:tc>
        <w:tc>
          <w:tcPr>
            <w:tcW w:w="986" w:type="dxa"/>
            <w:noWrap/>
            <w:hideMark/>
          </w:tcPr>
          <w:p w14:paraId="18D7668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A861E0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2F09E69B"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DB64BD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587A1A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PES 12</w:t>
            </w:r>
          </w:p>
        </w:tc>
        <w:tc>
          <w:tcPr>
            <w:tcW w:w="1053" w:type="dxa"/>
            <w:noWrap/>
            <w:hideMark/>
          </w:tcPr>
          <w:p w14:paraId="1F52B41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423766.4</w:t>
            </w:r>
          </w:p>
        </w:tc>
        <w:tc>
          <w:tcPr>
            <w:tcW w:w="1020" w:type="dxa"/>
            <w:noWrap/>
            <w:hideMark/>
          </w:tcPr>
          <w:p w14:paraId="42D3469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5089902</w:t>
            </w:r>
          </w:p>
        </w:tc>
        <w:tc>
          <w:tcPr>
            <w:tcW w:w="2855" w:type="dxa"/>
            <w:noWrap/>
            <w:hideMark/>
          </w:tcPr>
          <w:p w14:paraId="3E49160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drainage channel sediments</w:t>
            </w:r>
          </w:p>
        </w:tc>
        <w:tc>
          <w:tcPr>
            <w:tcW w:w="986" w:type="dxa"/>
            <w:noWrap/>
            <w:hideMark/>
          </w:tcPr>
          <w:p w14:paraId="14DFFE3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0274EE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2685F6FB"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9E08C4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672033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PES 13</w:t>
            </w:r>
          </w:p>
        </w:tc>
        <w:tc>
          <w:tcPr>
            <w:tcW w:w="1053" w:type="dxa"/>
            <w:noWrap/>
            <w:hideMark/>
          </w:tcPr>
          <w:p w14:paraId="7EF322A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423769.4</w:t>
            </w:r>
          </w:p>
        </w:tc>
        <w:tc>
          <w:tcPr>
            <w:tcW w:w="1020" w:type="dxa"/>
            <w:noWrap/>
            <w:hideMark/>
          </w:tcPr>
          <w:p w14:paraId="50849B2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5089901</w:t>
            </w:r>
          </w:p>
        </w:tc>
        <w:tc>
          <w:tcPr>
            <w:tcW w:w="2855" w:type="dxa"/>
            <w:noWrap/>
            <w:hideMark/>
          </w:tcPr>
          <w:p w14:paraId="0A4051F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drainage channel sediments</w:t>
            </w:r>
          </w:p>
        </w:tc>
        <w:tc>
          <w:tcPr>
            <w:tcW w:w="986" w:type="dxa"/>
            <w:noWrap/>
            <w:hideMark/>
          </w:tcPr>
          <w:p w14:paraId="6095A98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89490D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6EDE1FB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C60B15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480D66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PES 14</w:t>
            </w:r>
          </w:p>
        </w:tc>
        <w:tc>
          <w:tcPr>
            <w:tcW w:w="1053" w:type="dxa"/>
            <w:noWrap/>
            <w:hideMark/>
          </w:tcPr>
          <w:p w14:paraId="7DAE58C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423778.4</w:t>
            </w:r>
          </w:p>
        </w:tc>
        <w:tc>
          <w:tcPr>
            <w:tcW w:w="1020" w:type="dxa"/>
            <w:noWrap/>
            <w:hideMark/>
          </w:tcPr>
          <w:p w14:paraId="2490B3F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5089896</w:t>
            </w:r>
          </w:p>
        </w:tc>
        <w:tc>
          <w:tcPr>
            <w:tcW w:w="2855" w:type="dxa"/>
            <w:noWrap/>
            <w:hideMark/>
          </w:tcPr>
          <w:p w14:paraId="5E5402E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river sediments</w:t>
            </w:r>
          </w:p>
        </w:tc>
        <w:tc>
          <w:tcPr>
            <w:tcW w:w="986" w:type="dxa"/>
            <w:noWrap/>
            <w:hideMark/>
          </w:tcPr>
          <w:p w14:paraId="57FF8C3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1B3EED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34F24242"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A73B47B"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3DFACF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1d</w:t>
            </w:r>
          </w:p>
        </w:tc>
        <w:tc>
          <w:tcPr>
            <w:tcW w:w="1053" w:type="dxa"/>
            <w:noWrap/>
            <w:hideMark/>
          </w:tcPr>
          <w:p w14:paraId="56FBA19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423582.4</w:t>
            </w:r>
          </w:p>
        </w:tc>
        <w:tc>
          <w:tcPr>
            <w:tcW w:w="1020" w:type="dxa"/>
            <w:noWrap/>
            <w:hideMark/>
          </w:tcPr>
          <w:p w14:paraId="0E726B6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5089874</w:t>
            </w:r>
          </w:p>
        </w:tc>
        <w:tc>
          <w:tcPr>
            <w:tcW w:w="2855" w:type="dxa"/>
            <w:noWrap/>
            <w:hideMark/>
          </w:tcPr>
          <w:p w14:paraId="56902B6F"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w:t>
            </w:r>
          </w:p>
        </w:tc>
        <w:tc>
          <w:tcPr>
            <w:tcW w:w="986" w:type="dxa"/>
            <w:noWrap/>
            <w:hideMark/>
          </w:tcPr>
          <w:p w14:paraId="73DF1E4F"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19AA67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42973786"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CE4BBF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E0AB77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1i</w:t>
            </w:r>
          </w:p>
        </w:tc>
        <w:tc>
          <w:tcPr>
            <w:tcW w:w="1053" w:type="dxa"/>
            <w:noWrap/>
            <w:hideMark/>
          </w:tcPr>
          <w:p w14:paraId="7C2DECF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423715.4</w:t>
            </w:r>
          </w:p>
        </w:tc>
        <w:tc>
          <w:tcPr>
            <w:tcW w:w="1020" w:type="dxa"/>
            <w:noWrap/>
            <w:hideMark/>
          </w:tcPr>
          <w:p w14:paraId="08E855D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5089874</w:t>
            </w:r>
          </w:p>
        </w:tc>
        <w:tc>
          <w:tcPr>
            <w:tcW w:w="2855" w:type="dxa"/>
            <w:noWrap/>
            <w:hideMark/>
          </w:tcPr>
          <w:p w14:paraId="5431BCB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320DD3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ED37E0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7630CC9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E39ED1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F4A5EC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1v</w:t>
            </w:r>
          </w:p>
        </w:tc>
        <w:tc>
          <w:tcPr>
            <w:tcW w:w="1053" w:type="dxa"/>
            <w:noWrap/>
            <w:hideMark/>
          </w:tcPr>
          <w:p w14:paraId="7322F20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423982.4</w:t>
            </w:r>
          </w:p>
        </w:tc>
        <w:tc>
          <w:tcPr>
            <w:tcW w:w="1020" w:type="dxa"/>
            <w:noWrap/>
            <w:hideMark/>
          </w:tcPr>
          <w:p w14:paraId="1EACBCE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5090035</w:t>
            </w:r>
          </w:p>
        </w:tc>
        <w:tc>
          <w:tcPr>
            <w:tcW w:w="2855" w:type="dxa"/>
            <w:noWrap/>
            <w:hideMark/>
          </w:tcPr>
          <w:p w14:paraId="63D8D8F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tailings </w:t>
            </w:r>
          </w:p>
        </w:tc>
        <w:tc>
          <w:tcPr>
            <w:tcW w:w="986" w:type="dxa"/>
            <w:noWrap/>
            <w:hideMark/>
          </w:tcPr>
          <w:p w14:paraId="11095CA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F33EDA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1BDA2D1F"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926EF5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5B9A98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2d</w:t>
            </w:r>
          </w:p>
        </w:tc>
        <w:tc>
          <w:tcPr>
            <w:tcW w:w="1053" w:type="dxa"/>
            <w:noWrap/>
            <w:hideMark/>
          </w:tcPr>
          <w:p w14:paraId="6EA8E18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423580.4</w:t>
            </w:r>
          </w:p>
        </w:tc>
        <w:tc>
          <w:tcPr>
            <w:tcW w:w="1020" w:type="dxa"/>
            <w:noWrap/>
            <w:hideMark/>
          </w:tcPr>
          <w:p w14:paraId="5FE1CBD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5089873</w:t>
            </w:r>
          </w:p>
        </w:tc>
        <w:tc>
          <w:tcPr>
            <w:tcW w:w="2855" w:type="dxa"/>
            <w:noWrap/>
            <w:hideMark/>
          </w:tcPr>
          <w:p w14:paraId="7455ED6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w:t>
            </w:r>
          </w:p>
        </w:tc>
        <w:tc>
          <w:tcPr>
            <w:tcW w:w="986" w:type="dxa"/>
            <w:noWrap/>
            <w:hideMark/>
          </w:tcPr>
          <w:p w14:paraId="1F81F47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78B737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263429D8"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C01C64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B200DE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2i</w:t>
            </w:r>
          </w:p>
        </w:tc>
        <w:tc>
          <w:tcPr>
            <w:tcW w:w="1053" w:type="dxa"/>
            <w:noWrap/>
            <w:hideMark/>
          </w:tcPr>
          <w:p w14:paraId="67C1F94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423711.4</w:t>
            </w:r>
          </w:p>
        </w:tc>
        <w:tc>
          <w:tcPr>
            <w:tcW w:w="1020" w:type="dxa"/>
            <w:noWrap/>
            <w:hideMark/>
          </w:tcPr>
          <w:p w14:paraId="178633D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5089869</w:t>
            </w:r>
          </w:p>
        </w:tc>
        <w:tc>
          <w:tcPr>
            <w:tcW w:w="2855" w:type="dxa"/>
            <w:noWrap/>
            <w:hideMark/>
          </w:tcPr>
          <w:p w14:paraId="127FF81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25DE95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7CD9E0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849071B"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A35F90B"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39FEFF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2v</w:t>
            </w:r>
          </w:p>
        </w:tc>
        <w:tc>
          <w:tcPr>
            <w:tcW w:w="1053" w:type="dxa"/>
            <w:noWrap/>
            <w:hideMark/>
          </w:tcPr>
          <w:p w14:paraId="69C5AFD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423983.4</w:t>
            </w:r>
          </w:p>
        </w:tc>
        <w:tc>
          <w:tcPr>
            <w:tcW w:w="1020" w:type="dxa"/>
            <w:noWrap/>
            <w:hideMark/>
          </w:tcPr>
          <w:p w14:paraId="5FF6E40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5090033</w:t>
            </w:r>
          </w:p>
        </w:tc>
        <w:tc>
          <w:tcPr>
            <w:tcW w:w="2855" w:type="dxa"/>
            <w:noWrap/>
            <w:hideMark/>
          </w:tcPr>
          <w:p w14:paraId="1D95D69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tailings </w:t>
            </w:r>
          </w:p>
        </w:tc>
        <w:tc>
          <w:tcPr>
            <w:tcW w:w="986" w:type="dxa"/>
            <w:noWrap/>
            <w:hideMark/>
          </w:tcPr>
          <w:p w14:paraId="18569C6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DBBCA3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7794517"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4A264F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507F62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4d</w:t>
            </w:r>
          </w:p>
        </w:tc>
        <w:tc>
          <w:tcPr>
            <w:tcW w:w="1053" w:type="dxa"/>
            <w:noWrap/>
            <w:hideMark/>
          </w:tcPr>
          <w:p w14:paraId="5D7B064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423554.4</w:t>
            </w:r>
          </w:p>
        </w:tc>
        <w:tc>
          <w:tcPr>
            <w:tcW w:w="1020" w:type="dxa"/>
            <w:noWrap/>
            <w:hideMark/>
          </w:tcPr>
          <w:p w14:paraId="53AC3F3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5089910</w:t>
            </w:r>
          </w:p>
        </w:tc>
        <w:tc>
          <w:tcPr>
            <w:tcW w:w="2855" w:type="dxa"/>
            <w:noWrap/>
            <w:hideMark/>
          </w:tcPr>
          <w:p w14:paraId="1201D2A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6AFB614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8CFD05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424276B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25C843C"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249B57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4i</w:t>
            </w:r>
          </w:p>
        </w:tc>
        <w:tc>
          <w:tcPr>
            <w:tcW w:w="1053" w:type="dxa"/>
            <w:noWrap/>
            <w:hideMark/>
          </w:tcPr>
          <w:p w14:paraId="00C3242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423752.4</w:t>
            </w:r>
          </w:p>
        </w:tc>
        <w:tc>
          <w:tcPr>
            <w:tcW w:w="1020" w:type="dxa"/>
            <w:noWrap/>
            <w:hideMark/>
          </w:tcPr>
          <w:p w14:paraId="594F573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5089889</w:t>
            </w:r>
          </w:p>
        </w:tc>
        <w:tc>
          <w:tcPr>
            <w:tcW w:w="2855" w:type="dxa"/>
            <w:noWrap/>
            <w:hideMark/>
          </w:tcPr>
          <w:p w14:paraId="53D1D1C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3692A0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47D9ED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5309C3AC"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AD12C91"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5A7613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5i</w:t>
            </w:r>
          </w:p>
        </w:tc>
        <w:tc>
          <w:tcPr>
            <w:tcW w:w="1053" w:type="dxa"/>
            <w:noWrap/>
            <w:hideMark/>
          </w:tcPr>
          <w:p w14:paraId="514A1B3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423733.4</w:t>
            </w:r>
          </w:p>
        </w:tc>
        <w:tc>
          <w:tcPr>
            <w:tcW w:w="1020" w:type="dxa"/>
            <w:noWrap/>
            <w:hideMark/>
          </w:tcPr>
          <w:p w14:paraId="2303778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5089894</w:t>
            </w:r>
          </w:p>
        </w:tc>
        <w:tc>
          <w:tcPr>
            <w:tcW w:w="2855" w:type="dxa"/>
            <w:noWrap/>
            <w:hideMark/>
          </w:tcPr>
          <w:p w14:paraId="570C7E3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5538CA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146C53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55D0BF4C"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8A489C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B459D0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6i</w:t>
            </w:r>
          </w:p>
        </w:tc>
        <w:tc>
          <w:tcPr>
            <w:tcW w:w="1053" w:type="dxa"/>
            <w:noWrap/>
            <w:hideMark/>
          </w:tcPr>
          <w:p w14:paraId="58A5452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423713.4</w:t>
            </w:r>
          </w:p>
        </w:tc>
        <w:tc>
          <w:tcPr>
            <w:tcW w:w="1020" w:type="dxa"/>
            <w:noWrap/>
            <w:hideMark/>
          </w:tcPr>
          <w:p w14:paraId="575A7A1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5089861</w:t>
            </w:r>
          </w:p>
        </w:tc>
        <w:tc>
          <w:tcPr>
            <w:tcW w:w="2855" w:type="dxa"/>
            <w:noWrap/>
            <w:hideMark/>
          </w:tcPr>
          <w:p w14:paraId="450B133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4EDABD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CE5C55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248AF027"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447A9E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C4D5D2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Pst 7i</w:t>
            </w:r>
          </w:p>
        </w:tc>
        <w:tc>
          <w:tcPr>
            <w:tcW w:w="1053" w:type="dxa"/>
            <w:noWrap/>
            <w:hideMark/>
          </w:tcPr>
          <w:p w14:paraId="0EFB8C6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423769.4</w:t>
            </w:r>
          </w:p>
        </w:tc>
        <w:tc>
          <w:tcPr>
            <w:tcW w:w="1020" w:type="dxa"/>
            <w:noWrap/>
            <w:hideMark/>
          </w:tcPr>
          <w:p w14:paraId="6345AF6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5089901</w:t>
            </w:r>
          </w:p>
        </w:tc>
        <w:tc>
          <w:tcPr>
            <w:tcW w:w="2855" w:type="dxa"/>
            <w:noWrap/>
            <w:hideMark/>
          </w:tcPr>
          <w:p w14:paraId="0366921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drainage channel sediments</w:t>
            </w:r>
          </w:p>
        </w:tc>
        <w:tc>
          <w:tcPr>
            <w:tcW w:w="986" w:type="dxa"/>
            <w:noWrap/>
            <w:hideMark/>
          </w:tcPr>
          <w:p w14:paraId="10FEE1AF"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D24B6F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338DCEE2"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12BCF47"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8BB98B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 v</w:t>
            </w:r>
          </w:p>
        </w:tc>
        <w:tc>
          <w:tcPr>
            <w:tcW w:w="1053" w:type="dxa"/>
            <w:noWrap/>
            <w:hideMark/>
          </w:tcPr>
          <w:p w14:paraId="1FDF11C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423910.3</w:t>
            </w:r>
          </w:p>
        </w:tc>
        <w:tc>
          <w:tcPr>
            <w:tcW w:w="1020" w:type="dxa"/>
            <w:noWrap/>
            <w:hideMark/>
          </w:tcPr>
          <w:p w14:paraId="4BB9EE7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5089974</w:t>
            </w:r>
          </w:p>
        </w:tc>
        <w:tc>
          <w:tcPr>
            <w:tcW w:w="2855" w:type="dxa"/>
            <w:noWrap/>
            <w:hideMark/>
          </w:tcPr>
          <w:p w14:paraId="36FD8A3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7ACD08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BC79AE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10358753"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2467477"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3EED43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S10</w:t>
            </w:r>
          </w:p>
        </w:tc>
        <w:tc>
          <w:tcPr>
            <w:tcW w:w="1053" w:type="dxa"/>
            <w:noWrap/>
            <w:hideMark/>
          </w:tcPr>
          <w:p w14:paraId="3C4F494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424030.4</w:t>
            </w:r>
          </w:p>
        </w:tc>
        <w:tc>
          <w:tcPr>
            <w:tcW w:w="1020" w:type="dxa"/>
            <w:noWrap/>
            <w:hideMark/>
          </w:tcPr>
          <w:p w14:paraId="48BAC45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5090058</w:t>
            </w:r>
          </w:p>
        </w:tc>
        <w:tc>
          <w:tcPr>
            <w:tcW w:w="2855" w:type="dxa"/>
            <w:noWrap/>
            <w:hideMark/>
          </w:tcPr>
          <w:p w14:paraId="400C1DF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2BE77CE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AB0804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45211A59"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0952DB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60829B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S11</w:t>
            </w:r>
          </w:p>
        </w:tc>
        <w:tc>
          <w:tcPr>
            <w:tcW w:w="1053" w:type="dxa"/>
            <w:noWrap/>
            <w:hideMark/>
          </w:tcPr>
          <w:p w14:paraId="22350FB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424034.4</w:t>
            </w:r>
          </w:p>
        </w:tc>
        <w:tc>
          <w:tcPr>
            <w:tcW w:w="1020" w:type="dxa"/>
            <w:noWrap/>
            <w:hideMark/>
          </w:tcPr>
          <w:p w14:paraId="68A9EA0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5090043</w:t>
            </w:r>
          </w:p>
        </w:tc>
        <w:tc>
          <w:tcPr>
            <w:tcW w:w="2855" w:type="dxa"/>
            <w:noWrap/>
            <w:hideMark/>
          </w:tcPr>
          <w:p w14:paraId="5984E27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9F1D99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E3512D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031233EE"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1FCAA6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522756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S12</w:t>
            </w:r>
          </w:p>
        </w:tc>
        <w:tc>
          <w:tcPr>
            <w:tcW w:w="1053" w:type="dxa"/>
            <w:noWrap/>
            <w:hideMark/>
          </w:tcPr>
          <w:p w14:paraId="45FFDD6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424040.4</w:t>
            </w:r>
          </w:p>
        </w:tc>
        <w:tc>
          <w:tcPr>
            <w:tcW w:w="1020" w:type="dxa"/>
            <w:noWrap/>
            <w:hideMark/>
          </w:tcPr>
          <w:p w14:paraId="03DD3CD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5090053</w:t>
            </w:r>
          </w:p>
        </w:tc>
        <w:tc>
          <w:tcPr>
            <w:tcW w:w="2855" w:type="dxa"/>
            <w:noWrap/>
            <w:hideMark/>
          </w:tcPr>
          <w:p w14:paraId="5973D31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B75915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8557FB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53B09A81"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C5EE2D6"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F31207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S14</w:t>
            </w:r>
          </w:p>
        </w:tc>
        <w:tc>
          <w:tcPr>
            <w:tcW w:w="1053" w:type="dxa"/>
            <w:noWrap/>
            <w:hideMark/>
          </w:tcPr>
          <w:p w14:paraId="6AB7FF7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423933.4</w:t>
            </w:r>
          </w:p>
        </w:tc>
        <w:tc>
          <w:tcPr>
            <w:tcW w:w="1020" w:type="dxa"/>
            <w:noWrap/>
            <w:hideMark/>
          </w:tcPr>
          <w:p w14:paraId="2FCFC6C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5089993</w:t>
            </w:r>
          </w:p>
        </w:tc>
        <w:tc>
          <w:tcPr>
            <w:tcW w:w="2855" w:type="dxa"/>
            <w:noWrap/>
            <w:hideMark/>
          </w:tcPr>
          <w:p w14:paraId="51099EA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917544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F087D0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en-GB"/>
              </w:rPr>
            </w:pPr>
            <w:r w:rsidRPr="00D62E4F">
              <w:rPr>
                <w:rFonts w:ascii="Calibri" w:eastAsia="Times New Roman" w:hAnsi="Calibri" w:cs="Calibri"/>
                <w:kern w:val="0"/>
                <w:lang w:eastAsia="en-GB"/>
              </w:rPr>
              <w:t>2</w:t>
            </w:r>
          </w:p>
        </w:tc>
      </w:tr>
      <w:tr w:rsidR="004F36B1" w:rsidRPr="00D62E4F" w14:paraId="69E7C54D"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9242C77" w14:textId="77777777" w:rsidR="004F36B1" w:rsidRPr="00D62E4F" w:rsidRDefault="004F36B1" w:rsidP="00582AD4">
            <w:pPr>
              <w:jc w:val="right"/>
              <w:rPr>
                <w:rFonts w:ascii="Calibri" w:eastAsia="Times New Roman" w:hAnsi="Calibri" w:cs="Calibri"/>
                <w:kern w:val="0"/>
                <w:lang w:eastAsia="en-GB"/>
              </w:rPr>
            </w:pPr>
          </w:p>
        </w:tc>
        <w:tc>
          <w:tcPr>
            <w:tcW w:w="960" w:type="dxa"/>
            <w:noWrap/>
            <w:hideMark/>
          </w:tcPr>
          <w:p w14:paraId="3BCAB6C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S15</w:t>
            </w:r>
          </w:p>
        </w:tc>
        <w:tc>
          <w:tcPr>
            <w:tcW w:w="1053" w:type="dxa"/>
            <w:noWrap/>
            <w:hideMark/>
          </w:tcPr>
          <w:p w14:paraId="6AD20F0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423937.4</w:t>
            </w:r>
          </w:p>
        </w:tc>
        <w:tc>
          <w:tcPr>
            <w:tcW w:w="1020" w:type="dxa"/>
            <w:noWrap/>
            <w:hideMark/>
          </w:tcPr>
          <w:p w14:paraId="1797AEF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5089996</w:t>
            </w:r>
          </w:p>
        </w:tc>
        <w:tc>
          <w:tcPr>
            <w:tcW w:w="2855" w:type="dxa"/>
            <w:noWrap/>
            <w:hideMark/>
          </w:tcPr>
          <w:p w14:paraId="311F82A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0E453D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270BBF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55E8699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B88FB67"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12195D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S16</w:t>
            </w:r>
          </w:p>
        </w:tc>
        <w:tc>
          <w:tcPr>
            <w:tcW w:w="1053" w:type="dxa"/>
            <w:noWrap/>
            <w:hideMark/>
          </w:tcPr>
          <w:p w14:paraId="107EBAB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423944.4</w:t>
            </w:r>
          </w:p>
        </w:tc>
        <w:tc>
          <w:tcPr>
            <w:tcW w:w="1020" w:type="dxa"/>
            <w:noWrap/>
            <w:hideMark/>
          </w:tcPr>
          <w:p w14:paraId="68CDD53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5089997</w:t>
            </w:r>
          </w:p>
        </w:tc>
        <w:tc>
          <w:tcPr>
            <w:tcW w:w="2855" w:type="dxa"/>
            <w:noWrap/>
            <w:hideMark/>
          </w:tcPr>
          <w:p w14:paraId="3B7AB8C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E0EF9B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F8FACE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2827E3C"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02799A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A3D6BD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S17</w:t>
            </w:r>
          </w:p>
        </w:tc>
        <w:tc>
          <w:tcPr>
            <w:tcW w:w="1053" w:type="dxa"/>
            <w:noWrap/>
            <w:hideMark/>
          </w:tcPr>
          <w:p w14:paraId="415DD87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423942.4</w:t>
            </w:r>
          </w:p>
        </w:tc>
        <w:tc>
          <w:tcPr>
            <w:tcW w:w="1020" w:type="dxa"/>
            <w:noWrap/>
            <w:hideMark/>
          </w:tcPr>
          <w:p w14:paraId="484709A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5090003</w:t>
            </w:r>
          </w:p>
        </w:tc>
        <w:tc>
          <w:tcPr>
            <w:tcW w:w="2855" w:type="dxa"/>
            <w:noWrap/>
            <w:hideMark/>
          </w:tcPr>
          <w:p w14:paraId="684A282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FF2595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F5B741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1C29FAE"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331ADB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3E34C1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S18</w:t>
            </w:r>
          </w:p>
        </w:tc>
        <w:tc>
          <w:tcPr>
            <w:tcW w:w="1053" w:type="dxa"/>
            <w:noWrap/>
            <w:hideMark/>
          </w:tcPr>
          <w:p w14:paraId="01EA975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423949.4</w:t>
            </w:r>
          </w:p>
        </w:tc>
        <w:tc>
          <w:tcPr>
            <w:tcW w:w="1020" w:type="dxa"/>
            <w:noWrap/>
            <w:hideMark/>
          </w:tcPr>
          <w:p w14:paraId="1FBD036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5090004</w:t>
            </w:r>
          </w:p>
        </w:tc>
        <w:tc>
          <w:tcPr>
            <w:tcW w:w="2855" w:type="dxa"/>
            <w:noWrap/>
            <w:hideMark/>
          </w:tcPr>
          <w:p w14:paraId="3137761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7BAE0C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74EB6A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58A5B4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2749CB7"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EAD15C3"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S19</w:t>
            </w:r>
          </w:p>
        </w:tc>
        <w:tc>
          <w:tcPr>
            <w:tcW w:w="1053" w:type="dxa"/>
            <w:noWrap/>
            <w:hideMark/>
          </w:tcPr>
          <w:p w14:paraId="4128A84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423955.4</w:t>
            </w:r>
          </w:p>
        </w:tc>
        <w:tc>
          <w:tcPr>
            <w:tcW w:w="1020" w:type="dxa"/>
            <w:noWrap/>
            <w:hideMark/>
          </w:tcPr>
          <w:p w14:paraId="4FCCFF8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5090011</w:t>
            </w:r>
          </w:p>
        </w:tc>
        <w:tc>
          <w:tcPr>
            <w:tcW w:w="2855" w:type="dxa"/>
            <w:noWrap/>
            <w:hideMark/>
          </w:tcPr>
          <w:p w14:paraId="0674371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3730F2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01A21A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261DE9B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7DDDCC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56AF05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 v</w:t>
            </w:r>
          </w:p>
        </w:tc>
        <w:tc>
          <w:tcPr>
            <w:tcW w:w="1053" w:type="dxa"/>
            <w:noWrap/>
            <w:hideMark/>
          </w:tcPr>
          <w:p w14:paraId="5294239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423915.4</w:t>
            </w:r>
          </w:p>
        </w:tc>
        <w:tc>
          <w:tcPr>
            <w:tcW w:w="1020" w:type="dxa"/>
            <w:noWrap/>
            <w:hideMark/>
          </w:tcPr>
          <w:p w14:paraId="1825F86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5089978</w:t>
            </w:r>
          </w:p>
        </w:tc>
        <w:tc>
          <w:tcPr>
            <w:tcW w:w="2855" w:type="dxa"/>
            <w:noWrap/>
            <w:hideMark/>
          </w:tcPr>
          <w:p w14:paraId="03B64E4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3E58D4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86998F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51433CE2"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49CBF5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C664C7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S21</w:t>
            </w:r>
          </w:p>
        </w:tc>
        <w:tc>
          <w:tcPr>
            <w:tcW w:w="1053" w:type="dxa"/>
            <w:noWrap/>
            <w:hideMark/>
          </w:tcPr>
          <w:p w14:paraId="2B9070D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423961.4</w:t>
            </w:r>
          </w:p>
        </w:tc>
        <w:tc>
          <w:tcPr>
            <w:tcW w:w="1020" w:type="dxa"/>
            <w:noWrap/>
            <w:hideMark/>
          </w:tcPr>
          <w:p w14:paraId="5F45821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5090016</w:t>
            </w:r>
          </w:p>
        </w:tc>
        <w:tc>
          <w:tcPr>
            <w:tcW w:w="2855" w:type="dxa"/>
            <w:noWrap/>
            <w:hideMark/>
          </w:tcPr>
          <w:p w14:paraId="089D20C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EFF130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A8A289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2BF9BBF9"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B838DC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0E21548"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S22</w:t>
            </w:r>
          </w:p>
        </w:tc>
        <w:tc>
          <w:tcPr>
            <w:tcW w:w="1053" w:type="dxa"/>
            <w:noWrap/>
            <w:hideMark/>
          </w:tcPr>
          <w:p w14:paraId="1C5741C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423967.4</w:t>
            </w:r>
          </w:p>
        </w:tc>
        <w:tc>
          <w:tcPr>
            <w:tcW w:w="1020" w:type="dxa"/>
            <w:noWrap/>
            <w:hideMark/>
          </w:tcPr>
          <w:p w14:paraId="5A8321DE"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5090021</w:t>
            </w:r>
          </w:p>
        </w:tc>
        <w:tc>
          <w:tcPr>
            <w:tcW w:w="2855" w:type="dxa"/>
            <w:noWrap/>
            <w:hideMark/>
          </w:tcPr>
          <w:p w14:paraId="73B732C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62453D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AB20F1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E3B594E"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6AD1866"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98DCBD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S23</w:t>
            </w:r>
          </w:p>
        </w:tc>
        <w:tc>
          <w:tcPr>
            <w:tcW w:w="1053" w:type="dxa"/>
            <w:noWrap/>
            <w:hideMark/>
          </w:tcPr>
          <w:p w14:paraId="2FD18ED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423974.4</w:t>
            </w:r>
          </w:p>
        </w:tc>
        <w:tc>
          <w:tcPr>
            <w:tcW w:w="1020" w:type="dxa"/>
            <w:noWrap/>
            <w:hideMark/>
          </w:tcPr>
          <w:p w14:paraId="156257A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5090023</w:t>
            </w:r>
          </w:p>
        </w:tc>
        <w:tc>
          <w:tcPr>
            <w:tcW w:w="2855" w:type="dxa"/>
            <w:noWrap/>
            <w:hideMark/>
          </w:tcPr>
          <w:p w14:paraId="78C9715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30D0D7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6CB3EF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F7298F1"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5DDDB6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B37D97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S24</w:t>
            </w:r>
          </w:p>
        </w:tc>
        <w:tc>
          <w:tcPr>
            <w:tcW w:w="1053" w:type="dxa"/>
            <w:noWrap/>
            <w:hideMark/>
          </w:tcPr>
          <w:p w14:paraId="189F51A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423976.5</w:t>
            </w:r>
          </w:p>
        </w:tc>
        <w:tc>
          <w:tcPr>
            <w:tcW w:w="1020" w:type="dxa"/>
            <w:noWrap/>
            <w:hideMark/>
          </w:tcPr>
          <w:p w14:paraId="330D155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5090028</w:t>
            </w:r>
          </w:p>
        </w:tc>
        <w:tc>
          <w:tcPr>
            <w:tcW w:w="2855" w:type="dxa"/>
            <w:noWrap/>
            <w:hideMark/>
          </w:tcPr>
          <w:p w14:paraId="17F88CF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5458C58"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825DBE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8F6C427"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A6235D6"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4B815F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S25</w:t>
            </w:r>
          </w:p>
        </w:tc>
        <w:tc>
          <w:tcPr>
            <w:tcW w:w="1053" w:type="dxa"/>
            <w:noWrap/>
            <w:hideMark/>
          </w:tcPr>
          <w:p w14:paraId="652F08D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423982.4</w:t>
            </w:r>
          </w:p>
        </w:tc>
        <w:tc>
          <w:tcPr>
            <w:tcW w:w="1020" w:type="dxa"/>
            <w:noWrap/>
            <w:hideMark/>
          </w:tcPr>
          <w:p w14:paraId="5873A3E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5090024</w:t>
            </w:r>
          </w:p>
        </w:tc>
        <w:tc>
          <w:tcPr>
            <w:tcW w:w="2855" w:type="dxa"/>
            <w:noWrap/>
            <w:hideMark/>
          </w:tcPr>
          <w:p w14:paraId="6762E54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80295E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63DB93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535C27F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DCFD1EC"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8B54F0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S26</w:t>
            </w:r>
          </w:p>
        </w:tc>
        <w:tc>
          <w:tcPr>
            <w:tcW w:w="1053" w:type="dxa"/>
            <w:noWrap/>
            <w:hideMark/>
          </w:tcPr>
          <w:p w14:paraId="3EA6C3E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423991.4</w:t>
            </w:r>
          </w:p>
        </w:tc>
        <w:tc>
          <w:tcPr>
            <w:tcW w:w="1020" w:type="dxa"/>
            <w:noWrap/>
            <w:hideMark/>
          </w:tcPr>
          <w:p w14:paraId="1EB6130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5090027</w:t>
            </w:r>
          </w:p>
        </w:tc>
        <w:tc>
          <w:tcPr>
            <w:tcW w:w="2855" w:type="dxa"/>
            <w:noWrap/>
            <w:hideMark/>
          </w:tcPr>
          <w:p w14:paraId="4A05413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6A3F25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A94A3C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CC83D02"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1770A2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ECE1E1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S27</w:t>
            </w:r>
          </w:p>
        </w:tc>
        <w:tc>
          <w:tcPr>
            <w:tcW w:w="1053" w:type="dxa"/>
            <w:noWrap/>
            <w:hideMark/>
          </w:tcPr>
          <w:p w14:paraId="6465259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423994.4</w:t>
            </w:r>
          </w:p>
        </w:tc>
        <w:tc>
          <w:tcPr>
            <w:tcW w:w="1020" w:type="dxa"/>
            <w:noWrap/>
            <w:hideMark/>
          </w:tcPr>
          <w:p w14:paraId="17608F9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5090033</w:t>
            </w:r>
          </w:p>
        </w:tc>
        <w:tc>
          <w:tcPr>
            <w:tcW w:w="2855" w:type="dxa"/>
            <w:noWrap/>
            <w:hideMark/>
          </w:tcPr>
          <w:p w14:paraId="6E70627F"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87FA483"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3D7118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63F55ACC"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8D9752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9713E8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S28</w:t>
            </w:r>
          </w:p>
        </w:tc>
        <w:tc>
          <w:tcPr>
            <w:tcW w:w="1053" w:type="dxa"/>
            <w:noWrap/>
            <w:hideMark/>
          </w:tcPr>
          <w:p w14:paraId="787797B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423999.4</w:t>
            </w:r>
          </w:p>
        </w:tc>
        <w:tc>
          <w:tcPr>
            <w:tcW w:w="1020" w:type="dxa"/>
            <w:noWrap/>
            <w:hideMark/>
          </w:tcPr>
          <w:p w14:paraId="1F03C11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5090030</w:t>
            </w:r>
          </w:p>
        </w:tc>
        <w:tc>
          <w:tcPr>
            <w:tcW w:w="2855" w:type="dxa"/>
            <w:noWrap/>
            <w:hideMark/>
          </w:tcPr>
          <w:p w14:paraId="6E143E9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9B2048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D6417E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1BF0DE1C"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6A91D33"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0D2063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S29</w:t>
            </w:r>
          </w:p>
        </w:tc>
        <w:tc>
          <w:tcPr>
            <w:tcW w:w="1053" w:type="dxa"/>
            <w:noWrap/>
            <w:hideMark/>
          </w:tcPr>
          <w:p w14:paraId="044654C4"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423998.4</w:t>
            </w:r>
          </w:p>
        </w:tc>
        <w:tc>
          <w:tcPr>
            <w:tcW w:w="1020" w:type="dxa"/>
            <w:noWrap/>
            <w:hideMark/>
          </w:tcPr>
          <w:p w14:paraId="192E875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5090034</w:t>
            </w:r>
          </w:p>
        </w:tc>
        <w:tc>
          <w:tcPr>
            <w:tcW w:w="2855" w:type="dxa"/>
            <w:noWrap/>
            <w:hideMark/>
          </w:tcPr>
          <w:p w14:paraId="290A1D6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41685E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F1BE36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86284C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285A86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C9AFF5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 v</w:t>
            </w:r>
          </w:p>
        </w:tc>
        <w:tc>
          <w:tcPr>
            <w:tcW w:w="1053" w:type="dxa"/>
            <w:noWrap/>
            <w:hideMark/>
          </w:tcPr>
          <w:p w14:paraId="4141963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424034.4</w:t>
            </w:r>
          </w:p>
        </w:tc>
        <w:tc>
          <w:tcPr>
            <w:tcW w:w="1020" w:type="dxa"/>
            <w:noWrap/>
            <w:hideMark/>
          </w:tcPr>
          <w:p w14:paraId="0C2D0AB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5090049</w:t>
            </w:r>
          </w:p>
        </w:tc>
        <w:tc>
          <w:tcPr>
            <w:tcW w:w="2855" w:type="dxa"/>
            <w:noWrap/>
            <w:hideMark/>
          </w:tcPr>
          <w:p w14:paraId="3700A13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E357E3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536F50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68FDAB1D"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68C9678"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A753AB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S30</w:t>
            </w:r>
          </w:p>
        </w:tc>
        <w:tc>
          <w:tcPr>
            <w:tcW w:w="1053" w:type="dxa"/>
            <w:noWrap/>
            <w:hideMark/>
          </w:tcPr>
          <w:p w14:paraId="0E5A05A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424007.4</w:t>
            </w:r>
          </w:p>
        </w:tc>
        <w:tc>
          <w:tcPr>
            <w:tcW w:w="1020" w:type="dxa"/>
            <w:noWrap/>
            <w:hideMark/>
          </w:tcPr>
          <w:p w14:paraId="2E98821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5090033</w:t>
            </w:r>
          </w:p>
        </w:tc>
        <w:tc>
          <w:tcPr>
            <w:tcW w:w="2855" w:type="dxa"/>
            <w:noWrap/>
            <w:hideMark/>
          </w:tcPr>
          <w:p w14:paraId="2BC431D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0B9758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5DF77A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6AEF4870"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69A5DE3"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B10ABF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S31</w:t>
            </w:r>
          </w:p>
        </w:tc>
        <w:tc>
          <w:tcPr>
            <w:tcW w:w="1053" w:type="dxa"/>
            <w:noWrap/>
            <w:hideMark/>
          </w:tcPr>
          <w:p w14:paraId="59A164F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424011.4</w:t>
            </w:r>
          </w:p>
        </w:tc>
        <w:tc>
          <w:tcPr>
            <w:tcW w:w="1020" w:type="dxa"/>
            <w:noWrap/>
            <w:hideMark/>
          </w:tcPr>
          <w:p w14:paraId="1FAC245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5090041</w:t>
            </w:r>
          </w:p>
        </w:tc>
        <w:tc>
          <w:tcPr>
            <w:tcW w:w="2855" w:type="dxa"/>
            <w:noWrap/>
            <w:hideMark/>
          </w:tcPr>
          <w:p w14:paraId="29FADCB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7F1704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46C546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F17AA2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8BADA09"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34B741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S32</w:t>
            </w:r>
          </w:p>
        </w:tc>
        <w:tc>
          <w:tcPr>
            <w:tcW w:w="1053" w:type="dxa"/>
            <w:noWrap/>
            <w:hideMark/>
          </w:tcPr>
          <w:p w14:paraId="70B19B0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424016.4</w:t>
            </w:r>
          </w:p>
        </w:tc>
        <w:tc>
          <w:tcPr>
            <w:tcW w:w="1020" w:type="dxa"/>
            <w:noWrap/>
            <w:hideMark/>
          </w:tcPr>
          <w:p w14:paraId="689635D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5090048</w:t>
            </w:r>
          </w:p>
        </w:tc>
        <w:tc>
          <w:tcPr>
            <w:tcW w:w="2855" w:type="dxa"/>
            <w:noWrap/>
            <w:hideMark/>
          </w:tcPr>
          <w:p w14:paraId="659D27B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90A704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083105F"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6906EB34"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9E8A438"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CF0C0C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S33</w:t>
            </w:r>
          </w:p>
        </w:tc>
        <w:tc>
          <w:tcPr>
            <w:tcW w:w="1053" w:type="dxa"/>
            <w:noWrap/>
            <w:hideMark/>
          </w:tcPr>
          <w:p w14:paraId="7B2144B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423736.4</w:t>
            </w:r>
          </w:p>
        </w:tc>
        <w:tc>
          <w:tcPr>
            <w:tcW w:w="1020" w:type="dxa"/>
            <w:noWrap/>
            <w:hideMark/>
          </w:tcPr>
          <w:p w14:paraId="4657502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5089899</w:t>
            </w:r>
          </w:p>
        </w:tc>
        <w:tc>
          <w:tcPr>
            <w:tcW w:w="2855" w:type="dxa"/>
            <w:noWrap/>
            <w:hideMark/>
          </w:tcPr>
          <w:p w14:paraId="1EAA5F8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920825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F34D61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768F00B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97A0D78"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A639DC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S34</w:t>
            </w:r>
          </w:p>
        </w:tc>
        <w:tc>
          <w:tcPr>
            <w:tcW w:w="1053" w:type="dxa"/>
            <w:noWrap/>
            <w:hideMark/>
          </w:tcPr>
          <w:p w14:paraId="0AA94F7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423731.4</w:t>
            </w:r>
          </w:p>
        </w:tc>
        <w:tc>
          <w:tcPr>
            <w:tcW w:w="1020" w:type="dxa"/>
            <w:noWrap/>
            <w:hideMark/>
          </w:tcPr>
          <w:p w14:paraId="1C5B209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5089882</w:t>
            </w:r>
          </w:p>
        </w:tc>
        <w:tc>
          <w:tcPr>
            <w:tcW w:w="2855" w:type="dxa"/>
            <w:noWrap/>
            <w:hideMark/>
          </w:tcPr>
          <w:p w14:paraId="6EFEF55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616B6F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075E99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1A4F9313"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71C96E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ED5C49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S35</w:t>
            </w:r>
          </w:p>
        </w:tc>
        <w:tc>
          <w:tcPr>
            <w:tcW w:w="1053" w:type="dxa"/>
            <w:noWrap/>
            <w:hideMark/>
          </w:tcPr>
          <w:p w14:paraId="79E439F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423740.4</w:t>
            </w:r>
          </w:p>
        </w:tc>
        <w:tc>
          <w:tcPr>
            <w:tcW w:w="1020" w:type="dxa"/>
            <w:noWrap/>
            <w:hideMark/>
          </w:tcPr>
          <w:p w14:paraId="439163E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5089892</w:t>
            </w:r>
          </w:p>
        </w:tc>
        <w:tc>
          <w:tcPr>
            <w:tcW w:w="2855" w:type="dxa"/>
            <w:noWrap/>
            <w:hideMark/>
          </w:tcPr>
          <w:p w14:paraId="3BB3137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FFDFDE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E01E8E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5CD2CAB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9C9EE21"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2C16AF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S36</w:t>
            </w:r>
          </w:p>
        </w:tc>
        <w:tc>
          <w:tcPr>
            <w:tcW w:w="1053" w:type="dxa"/>
            <w:noWrap/>
            <w:hideMark/>
          </w:tcPr>
          <w:p w14:paraId="61314CB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423750.4</w:t>
            </w:r>
          </w:p>
        </w:tc>
        <w:tc>
          <w:tcPr>
            <w:tcW w:w="1020" w:type="dxa"/>
            <w:noWrap/>
            <w:hideMark/>
          </w:tcPr>
          <w:p w14:paraId="3B57D64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5089902</w:t>
            </w:r>
          </w:p>
        </w:tc>
        <w:tc>
          <w:tcPr>
            <w:tcW w:w="2855" w:type="dxa"/>
            <w:noWrap/>
            <w:hideMark/>
          </w:tcPr>
          <w:p w14:paraId="33C5241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D05365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C0311E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7D3B97D2"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DB8D69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70CD9C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S37 p</w:t>
            </w:r>
          </w:p>
        </w:tc>
        <w:tc>
          <w:tcPr>
            <w:tcW w:w="1053" w:type="dxa"/>
            <w:noWrap/>
            <w:hideMark/>
          </w:tcPr>
          <w:p w14:paraId="230ADA32"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423592.4</w:t>
            </w:r>
          </w:p>
        </w:tc>
        <w:tc>
          <w:tcPr>
            <w:tcW w:w="1020" w:type="dxa"/>
            <w:noWrap/>
            <w:hideMark/>
          </w:tcPr>
          <w:p w14:paraId="7261672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5089900</w:t>
            </w:r>
          </w:p>
        </w:tc>
        <w:tc>
          <w:tcPr>
            <w:tcW w:w="2855" w:type="dxa"/>
            <w:noWrap/>
            <w:hideMark/>
          </w:tcPr>
          <w:p w14:paraId="1DBF762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5254D93"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31DE73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1B2246E5"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23C3CA3"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BEF220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S38 p2</w:t>
            </w:r>
          </w:p>
        </w:tc>
        <w:tc>
          <w:tcPr>
            <w:tcW w:w="1053" w:type="dxa"/>
            <w:noWrap/>
            <w:hideMark/>
          </w:tcPr>
          <w:p w14:paraId="6FF9B7F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423740.4</w:t>
            </w:r>
          </w:p>
        </w:tc>
        <w:tc>
          <w:tcPr>
            <w:tcW w:w="1020" w:type="dxa"/>
            <w:noWrap/>
            <w:hideMark/>
          </w:tcPr>
          <w:p w14:paraId="5A1372D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5089884</w:t>
            </w:r>
          </w:p>
        </w:tc>
        <w:tc>
          <w:tcPr>
            <w:tcW w:w="2855" w:type="dxa"/>
            <w:noWrap/>
            <w:hideMark/>
          </w:tcPr>
          <w:p w14:paraId="372A9D7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78E7D0D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044D16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22E7880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D06770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C10944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S39 p3</w:t>
            </w:r>
          </w:p>
        </w:tc>
        <w:tc>
          <w:tcPr>
            <w:tcW w:w="1053" w:type="dxa"/>
            <w:noWrap/>
            <w:hideMark/>
          </w:tcPr>
          <w:p w14:paraId="3315D1C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423751.4</w:t>
            </w:r>
          </w:p>
        </w:tc>
        <w:tc>
          <w:tcPr>
            <w:tcW w:w="1020" w:type="dxa"/>
            <w:noWrap/>
            <w:hideMark/>
          </w:tcPr>
          <w:p w14:paraId="671E3CB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5089892</w:t>
            </w:r>
          </w:p>
        </w:tc>
        <w:tc>
          <w:tcPr>
            <w:tcW w:w="2855" w:type="dxa"/>
            <w:noWrap/>
            <w:hideMark/>
          </w:tcPr>
          <w:p w14:paraId="0E0B84B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AEED9E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829B3E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11067B5E"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75B1A1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D0597A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 v</w:t>
            </w:r>
          </w:p>
        </w:tc>
        <w:tc>
          <w:tcPr>
            <w:tcW w:w="1053" w:type="dxa"/>
            <w:noWrap/>
            <w:hideMark/>
          </w:tcPr>
          <w:p w14:paraId="0A971E8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424036.4</w:t>
            </w:r>
          </w:p>
        </w:tc>
        <w:tc>
          <w:tcPr>
            <w:tcW w:w="1020" w:type="dxa"/>
            <w:noWrap/>
            <w:hideMark/>
          </w:tcPr>
          <w:p w14:paraId="627B2AD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5090055</w:t>
            </w:r>
          </w:p>
        </w:tc>
        <w:tc>
          <w:tcPr>
            <w:tcW w:w="2855" w:type="dxa"/>
            <w:noWrap/>
            <w:hideMark/>
          </w:tcPr>
          <w:p w14:paraId="2A272F0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C431C5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75A333C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4BC89ED6"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0B7746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8FA6B0A"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S40</w:t>
            </w:r>
          </w:p>
        </w:tc>
        <w:tc>
          <w:tcPr>
            <w:tcW w:w="1053" w:type="dxa"/>
            <w:noWrap/>
            <w:hideMark/>
          </w:tcPr>
          <w:p w14:paraId="19E938A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423655.4</w:t>
            </w:r>
          </w:p>
        </w:tc>
        <w:tc>
          <w:tcPr>
            <w:tcW w:w="1020" w:type="dxa"/>
            <w:noWrap/>
            <w:hideMark/>
          </w:tcPr>
          <w:p w14:paraId="232E0B5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5089892</w:t>
            </w:r>
          </w:p>
        </w:tc>
        <w:tc>
          <w:tcPr>
            <w:tcW w:w="2855" w:type="dxa"/>
            <w:noWrap/>
            <w:hideMark/>
          </w:tcPr>
          <w:p w14:paraId="38770CA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4A2D7E5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E55C73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2E1F1E8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A825C5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61E802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S41</w:t>
            </w:r>
          </w:p>
        </w:tc>
        <w:tc>
          <w:tcPr>
            <w:tcW w:w="1053" w:type="dxa"/>
            <w:noWrap/>
            <w:hideMark/>
          </w:tcPr>
          <w:p w14:paraId="7B282C1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423666.4</w:t>
            </w:r>
          </w:p>
        </w:tc>
        <w:tc>
          <w:tcPr>
            <w:tcW w:w="1020" w:type="dxa"/>
            <w:noWrap/>
            <w:hideMark/>
          </w:tcPr>
          <w:p w14:paraId="4F3158B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5089899</w:t>
            </w:r>
          </w:p>
        </w:tc>
        <w:tc>
          <w:tcPr>
            <w:tcW w:w="2855" w:type="dxa"/>
            <w:noWrap/>
            <w:hideMark/>
          </w:tcPr>
          <w:p w14:paraId="3325017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2DB68A7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EEB260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569F6364"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AE40E0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9FAA6E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S42</w:t>
            </w:r>
          </w:p>
        </w:tc>
        <w:tc>
          <w:tcPr>
            <w:tcW w:w="1053" w:type="dxa"/>
            <w:noWrap/>
            <w:hideMark/>
          </w:tcPr>
          <w:p w14:paraId="3FE140F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423676</w:t>
            </w:r>
          </w:p>
        </w:tc>
        <w:tc>
          <w:tcPr>
            <w:tcW w:w="1020" w:type="dxa"/>
            <w:noWrap/>
            <w:hideMark/>
          </w:tcPr>
          <w:p w14:paraId="3F86DA5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5089887</w:t>
            </w:r>
          </w:p>
        </w:tc>
        <w:tc>
          <w:tcPr>
            <w:tcW w:w="2855" w:type="dxa"/>
            <w:noWrap/>
            <w:hideMark/>
          </w:tcPr>
          <w:p w14:paraId="337215F1"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3AC0811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06250E3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1E4796F2"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BB4E67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25FB509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S43</w:t>
            </w:r>
          </w:p>
        </w:tc>
        <w:tc>
          <w:tcPr>
            <w:tcW w:w="1053" w:type="dxa"/>
            <w:noWrap/>
            <w:hideMark/>
          </w:tcPr>
          <w:p w14:paraId="354F31A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423633.5</w:t>
            </w:r>
          </w:p>
        </w:tc>
        <w:tc>
          <w:tcPr>
            <w:tcW w:w="1020" w:type="dxa"/>
            <w:noWrap/>
            <w:hideMark/>
          </w:tcPr>
          <w:p w14:paraId="3A31B9F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5089853</w:t>
            </w:r>
          </w:p>
        </w:tc>
        <w:tc>
          <w:tcPr>
            <w:tcW w:w="2855" w:type="dxa"/>
            <w:noWrap/>
            <w:hideMark/>
          </w:tcPr>
          <w:p w14:paraId="20B8768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FA7D03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43EAB5A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626475B0"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B767C2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B85035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S44</w:t>
            </w:r>
          </w:p>
        </w:tc>
        <w:tc>
          <w:tcPr>
            <w:tcW w:w="1053" w:type="dxa"/>
            <w:noWrap/>
            <w:hideMark/>
          </w:tcPr>
          <w:p w14:paraId="48DEC68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423648.1</w:t>
            </w:r>
          </w:p>
        </w:tc>
        <w:tc>
          <w:tcPr>
            <w:tcW w:w="1020" w:type="dxa"/>
            <w:noWrap/>
            <w:hideMark/>
          </w:tcPr>
          <w:p w14:paraId="2573D8CE"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5089859</w:t>
            </w:r>
          </w:p>
        </w:tc>
        <w:tc>
          <w:tcPr>
            <w:tcW w:w="2855" w:type="dxa"/>
            <w:noWrap/>
            <w:hideMark/>
          </w:tcPr>
          <w:p w14:paraId="6851188C"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0A27982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C054CE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72E64971"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303C21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23AE94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S45</w:t>
            </w:r>
          </w:p>
        </w:tc>
        <w:tc>
          <w:tcPr>
            <w:tcW w:w="1053" w:type="dxa"/>
            <w:noWrap/>
            <w:hideMark/>
          </w:tcPr>
          <w:p w14:paraId="2914A76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423635.1</w:t>
            </w:r>
          </w:p>
        </w:tc>
        <w:tc>
          <w:tcPr>
            <w:tcW w:w="1020" w:type="dxa"/>
            <w:noWrap/>
            <w:hideMark/>
          </w:tcPr>
          <w:p w14:paraId="18670D5D"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5089900</w:t>
            </w:r>
          </w:p>
        </w:tc>
        <w:tc>
          <w:tcPr>
            <w:tcW w:w="2855" w:type="dxa"/>
            <w:noWrap/>
            <w:hideMark/>
          </w:tcPr>
          <w:p w14:paraId="4478655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soil</w:t>
            </w:r>
          </w:p>
        </w:tc>
        <w:tc>
          <w:tcPr>
            <w:tcW w:w="986" w:type="dxa"/>
            <w:noWrap/>
            <w:hideMark/>
          </w:tcPr>
          <w:p w14:paraId="59D4185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38B7814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3</w:t>
            </w:r>
          </w:p>
        </w:tc>
      </w:tr>
      <w:tr w:rsidR="004F36B1" w:rsidRPr="00D62E4F" w14:paraId="0B44A16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79C620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56A32B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S5</w:t>
            </w:r>
          </w:p>
        </w:tc>
        <w:tc>
          <w:tcPr>
            <w:tcW w:w="1053" w:type="dxa"/>
            <w:noWrap/>
            <w:hideMark/>
          </w:tcPr>
          <w:p w14:paraId="26284D7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423900.4</w:t>
            </w:r>
          </w:p>
        </w:tc>
        <w:tc>
          <w:tcPr>
            <w:tcW w:w="1020" w:type="dxa"/>
            <w:noWrap/>
            <w:hideMark/>
          </w:tcPr>
          <w:p w14:paraId="7331279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5089966</w:t>
            </w:r>
          </w:p>
        </w:tc>
        <w:tc>
          <w:tcPr>
            <w:tcW w:w="2855" w:type="dxa"/>
            <w:noWrap/>
            <w:hideMark/>
          </w:tcPr>
          <w:p w14:paraId="3FC8F019"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AAFCEE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65A1CD0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6AA0967D"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2F1986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97198E3"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S6</w:t>
            </w:r>
          </w:p>
        </w:tc>
        <w:tc>
          <w:tcPr>
            <w:tcW w:w="1053" w:type="dxa"/>
            <w:noWrap/>
            <w:hideMark/>
          </w:tcPr>
          <w:p w14:paraId="4603300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423910.3</w:t>
            </w:r>
          </w:p>
        </w:tc>
        <w:tc>
          <w:tcPr>
            <w:tcW w:w="1020" w:type="dxa"/>
            <w:noWrap/>
            <w:hideMark/>
          </w:tcPr>
          <w:p w14:paraId="035573A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5089981</w:t>
            </w:r>
          </w:p>
        </w:tc>
        <w:tc>
          <w:tcPr>
            <w:tcW w:w="2855" w:type="dxa"/>
            <w:noWrap/>
            <w:hideMark/>
          </w:tcPr>
          <w:p w14:paraId="0042869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33310A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291375F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7DC67D3"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DBA3A1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C524CE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S7</w:t>
            </w:r>
          </w:p>
        </w:tc>
        <w:tc>
          <w:tcPr>
            <w:tcW w:w="1053" w:type="dxa"/>
            <w:noWrap/>
            <w:hideMark/>
          </w:tcPr>
          <w:p w14:paraId="5C5E2D7C"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423927.4</w:t>
            </w:r>
          </w:p>
        </w:tc>
        <w:tc>
          <w:tcPr>
            <w:tcW w:w="1020" w:type="dxa"/>
            <w:noWrap/>
            <w:hideMark/>
          </w:tcPr>
          <w:p w14:paraId="2403E4E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5089979</w:t>
            </w:r>
          </w:p>
        </w:tc>
        <w:tc>
          <w:tcPr>
            <w:tcW w:w="2855" w:type="dxa"/>
            <w:noWrap/>
            <w:hideMark/>
          </w:tcPr>
          <w:p w14:paraId="44708F16"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D2E28CB"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5EDFB98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454EB795"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D87DAF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0FE7793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S8</w:t>
            </w:r>
          </w:p>
        </w:tc>
        <w:tc>
          <w:tcPr>
            <w:tcW w:w="1053" w:type="dxa"/>
            <w:noWrap/>
            <w:hideMark/>
          </w:tcPr>
          <w:p w14:paraId="3E21094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423928.4</w:t>
            </w:r>
          </w:p>
        </w:tc>
        <w:tc>
          <w:tcPr>
            <w:tcW w:w="1020" w:type="dxa"/>
            <w:noWrap/>
            <w:hideMark/>
          </w:tcPr>
          <w:p w14:paraId="146D65F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5089987</w:t>
            </w:r>
          </w:p>
        </w:tc>
        <w:tc>
          <w:tcPr>
            <w:tcW w:w="2855" w:type="dxa"/>
            <w:noWrap/>
            <w:hideMark/>
          </w:tcPr>
          <w:p w14:paraId="43ECD28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6F544D51"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 xml:space="preserve">previous </w:t>
            </w:r>
          </w:p>
        </w:tc>
        <w:tc>
          <w:tcPr>
            <w:tcW w:w="960" w:type="dxa"/>
            <w:noWrap/>
            <w:hideMark/>
          </w:tcPr>
          <w:p w14:paraId="10270DF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2</w:t>
            </w:r>
          </w:p>
        </w:tc>
      </w:tr>
      <w:tr w:rsidR="004F36B1" w:rsidRPr="00D62E4F" w14:paraId="31A2ECB4"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7E5B195"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1DA94E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pe_01</w:t>
            </w:r>
          </w:p>
        </w:tc>
        <w:tc>
          <w:tcPr>
            <w:tcW w:w="1053" w:type="dxa"/>
            <w:noWrap/>
            <w:hideMark/>
          </w:tcPr>
          <w:p w14:paraId="798EE117"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423747.8</w:t>
            </w:r>
          </w:p>
        </w:tc>
        <w:tc>
          <w:tcPr>
            <w:tcW w:w="1020" w:type="dxa"/>
            <w:noWrap/>
            <w:hideMark/>
          </w:tcPr>
          <w:p w14:paraId="795E2FA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5089891</w:t>
            </w:r>
          </w:p>
        </w:tc>
        <w:tc>
          <w:tcPr>
            <w:tcW w:w="2855" w:type="dxa"/>
            <w:noWrap/>
            <w:hideMark/>
          </w:tcPr>
          <w:p w14:paraId="2D56327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5EDBE11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458117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5FF7A2DC"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525F938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7AA74B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pe_02</w:t>
            </w:r>
          </w:p>
        </w:tc>
        <w:tc>
          <w:tcPr>
            <w:tcW w:w="1053" w:type="dxa"/>
            <w:noWrap/>
            <w:hideMark/>
          </w:tcPr>
          <w:p w14:paraId="214D24F8"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423727.4</w:t>
            </w:r>
          </w:p>
        </w:tc>
        <w:tc>
          <w:tcPr>
            <w:tcW w:w="1020" w:type="dxa"/>
            <w:noWrap/>
            <w:hideMark/>
          </w:tcPr>
          <w:p w14:paraId="278FFB5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5089874</w:t>
            </w:r>
          </w:p>
        </w:tc>
        <w:tc>
          <w:tcPr>
            <w:tcW w:w="2855" w:type="dxa"/>
            <w:noWrap/>
            <w:hideMark/>
          </w:tcPr>
          <w:p w14:paraId="59A8EEE6"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0E1C84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0CDBDD0"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6E31E7D"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3A2FCB02"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68BD395" w14:textId="77777777" w:rsidR="004F36B1" w:rsidRPr="0097390A"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97390A">
              <w:rPr>
                <w:rFonts w:ascii="Calibri" w:eastAsia="Times New Roman" w:hAnsi="Calibri" w:cs="Calibri"/>
                <w:color w:val="000000"/>
                <w:kern w:val="0"/>
                <w:lang w:eastAsia="en-GB"/>
              </w:rPr>
              <w:t>pe_03</w:t>
            </w:r>
          </w:p>
        </w:tc>
        <w:tc>
          <w:tcPr>
            <w:tcW w:w="1053" w:type="dxa"/>
            <w:noWrap/>
            <w:hideMark/>
          </w:tcPr>
          <w:p w14:paraId="4D40DC6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423978.3</w:t>
            </w:r>
          </w:p>
        </w:tc>
        <w:tc>
          <w:tcPr>
            <w:tcW w:w="1020" w:type="dxa"/>
            <w:noWrap/>
            <w:hideMark/>
          </w:tcPr>
          <w:p w14:paraId="4C5392F6"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5090016</w:t>
            </w:r>
          </w:p>
        </w:tc>
        <w:tc>
          <w:tcPr>
            <w:tcW w:w="2855" w:type="dxa"/>
            <w:noWrap/>
            <w:hideMark/>
          </w:tcPr>
          <w:p w14:paraId="3D39CEC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drainage channel sediments</w:t>
            </w:r>
          </w:p>
        </w:tc>
        <w:tc>
          <w:tcPr>
            <w:tcW w:w="986" w:type="dxa"/>
            <w:noWrap/>
            <w:hideMark/>
          </w:tcPr>
          <w:p w14:paraId="6DBE288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3253EB3"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5452E908"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215637F"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996E0E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pe_04</w:t>
            </w:r>
          </w:p>
        </w:tc>
        <w:tc>
          <w:tcPr>
            <w:tcW w:w="1053" w:type="dxa"/>
            <w:noWrap/>
            <w:hideMark/>
          </w:tcPr>
          <w:p w14:paraId="3C3F72C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423994.7</w:t>
            </w:r>
          </w:p>
        </w:tc>
        <w:tc>
          <w:tcPr>
            <w:tcW w:w="1020" w:type="dxa"/>
            <w:noWrap/>
            <w:hideMark/>
          </w:tcPr>
          <w:p w14:paraId="6923539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5090032</w:t>
            </w:r>
          </w:p>
        </w:tc>
        <w:tc>
          <w:tcPr>
            <w:tcW w:w="2855" w:type="dxa"/>
            <w:noWrap/>
            <w:hideMark/>
          </w:tcPr>
          <w:p w14:paraId="0B49FDFB"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0A135EA"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39E208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D87C60F"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BC2B9C4"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85D5038"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pe_05</w:t>
            </w:r>
          </w:p>
        </w:tc>
        <w:tc>
          <w:tcPr>
            <w:tcW w:w="1053" w:type="dxa"/>
            <w:noWrap/>
            <w:hideMark/>
          </w:tcPr>
          <w:p w14:paraId="3EDB6124"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423743.3</w:t>
            </w:r>
          </w:p>
        </w:tc>
        <w:tc>
          <w:tcPr>
            <w:tcW w:w="1020" w:type="dxa"/>
            <w:noWrap/>
            <w:hideMark/>
          </w:tcPr>
          <w:p w14:paraId="012A7208"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5089894</w:t>
            </w:r>
          </w:p>
        </w:tc>
        <w:tc>
          <w:tcPr>
            <w:tcW w:w="2855" w:type="dxa"/>
            <w:noWrap/>
            <w:hideMark/>
          </w:tcPr>
          <w:p w14:paraId="5465491D"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CB2BDD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0028EFE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58616B98"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CC60B3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74A7FB37"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pe_06</w:t>
            </w:r>
          </w:p>
        </w:tc>
        <w:tc>
          <w:tcPr>
            <w:tcW w:w="1053" w:type="dxa"/>
            <w:noWrap/>
            <w:hideMark/>
          </w:tcPr>
          <w:p w14:paraId="6B5D5175"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423741</w:t>
            </w:r>
          </w:p>
        </w:tc>
        <w:tc>
          <w:tcPr>
            <w:tcW w:w="1020" w:type="dxa"/>
            <w:noWrap/>
            <w:hideMark/>
          </w:tcPr>
          <w:p w14:paraId="760AE5A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5089890</w:t>
            </w:r>
          </w:p>
        </w:tc>
        <w:tc>
          <w:tcPr>
            <w:tcW w:w="2855" w:type="dxa"/>
            <w:noWrap/>
            <w:hideMark/>
          </w:tcPr>
          <w:p w14:paraId="1B19CE2E"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48077455"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106AE8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40398F07"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2C69932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693F9024" w14:textId="77777777" w:rsidR="004F36B1" w:rsidRPr="0097390A"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97390A">
              <w:rPr>
                <w:rFonts w:ascii="Calibri" w:eastAsia="Times New Roman" w:hAnsi="Calibri" w:cs="Calibri"/>
                <w:color w:val="000000"/>
                <w:kern w:val="0"/>
                <w:lang w:eastAsia="en-GB"/>
              </w:rPr>
              <w:t>pe_07</w:t>
            </w:r>
          </w:p>
        </w:tc>
        <w:tc>
          <w:tcPr>
            <w:tcW w:w="1053" w:type="dxa"/>
            <w:noWrap/>
            <w:hideMark/>
          </w:tcPr>
          <w:p w14:paraId="4689A5C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423751.4</w:t>
            </w:r>
          </w:p>
        </w:tc>
        <w:tc>
          <w:tcPr>
            <w:tcW w:w="1020" w:type="dxa"/>
            <w:noWrap/>
            <w:hideMark/>
          </w:tcPr>
          <w:p w14:paraId="29A9579A"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5089880</w:t>
            </w:r>
          </w:p>
        </w:tc>
        <w:tc>
          <w:tcPr>
            <w:tcW w:w="2855" w:type="dxa"/>
            <w:noWrap/>
            <w:hideMark/>
          </w:tcPr>
          <w:p w14:paraId="60926B09" w14:textId="1601C20E" w:rsidR="004F36B1" w:rsidRPr="00D62E4F" w:rsidRDefault="0097390A"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Pr>
                <w:rFonts w:ascii="Calibri" w:eastAsia="Times New Roman" w:hAnsi="Calibri" w:cs="Calibri"/>
                <w:color w:val="000000"/>
                <w:kern w:val="0"/>
                <w:lang w:eastAsia="en-GB"/>
              </w:rPr>
              <w:t>tailings</w:t>
            </w:r>
          </w:p>
        </w:tc>
        <w:tc>
          <w:tcPr>
            <w:tcW w:w="986" w:type="dxa"/>
            <w:noWrap/>
            <w:hideMark/>
          </w:tcPr>
          <w:p w14:paraId="6C212C08"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4FA32119" w14:textId="0C829194" w:rsidR="004F36B1" w:rsidRPr="00D62E4F" w:rsidRDefault="0097390A"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Pr>
                <w:rFonts w:ascii="Calibri" w:eastAsia="Times New Roman" w:hAnsi="Calibri" w:cs="Calibri"/>
                <w:color w:val="000000"/>
                <w:kern w:val="0"/>
                <w:lang w:eastAsia="en-GB"/>
              </w:rPr>
              <w:t>2</w:t>
            </w:r>
          </w:p>
        </w:tc>
      </w:tr>
      <w:tr w:rsidR="004F36B1" w:rsidRPr="00D62E4F" w14:paraId="22D0DB6E"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7B30DC4D"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C80713B" w14:textId="77777777" w:rsidR="004F36B1" w:rsidRPr="0097390A"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97390A">
              <w:rPr>
                <w:rFonts w:ascii="Calibri" w:eastAsia="Times New Roman" w:hAnsi="Calibri" w:cs="Calibri"/>
                <w:color w:val="000000"/>
                <w:kern w:val="0"/>
                <w:lang w:eastAsia="en-GB"/>
              </w:rPr>
              <w:t>pe_08</w:t>
            </w:r>
          </w:p>
        </w:tc>
        <w:tc>
          <w:tcPr>
            <w:tcW w:w="1053" w:type="dxa"/>
            <w:noWrap/>
            <w:hideMark/>
          </w:tcPr>
          <w:p w14:paraId="0684B6A2"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423764.5</w:t>
            </w:r>
          </w:p>
        </w:tc>
        <w:tc>
          <w:tcPr>
            <w:tcW w:w="1020" w:type="dxa"/>
            <w:noWrap/>
            <w:hideMark/>
          </w:tcPr>
          <w:p w14:paraId="2C5F224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5089885</w:t>
            </w:r>
          </w:p>
        </w:tc>
        <w:tc>
          <w:tcPr>
            <w:tcW w:w="2855" w:type="dxa"/>
            <w:noWrap/>
            <w:hideMark/>
          </w:tcPr>
          <w:p w14:paraId="58B36EF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river sediments</w:t>
            </w:r>
          </w:p>
        </w:tc>
        <w:tc>
          <w:tcPr>
            <w:tcW w:w="986" w:type="dxa"/>
            <w:noWrap/>
            <w:hideMark/>
          </w:tcPr>
          <w:p w14:paraId="76B5AE4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2EC0036"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w:t>
            </w:r>
          </w:p>
        </w:tc>
      </w:tr>
      <w:tr w:rsidR="004F36B1" w:rsidRPr="00D62E4F" w14:paraId="4476BEA6"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17ECD33"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892E6E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pe_09</w:t>
            </w:r>
          </w:p>
        </w:tc>
        <w:tc>
          <w:tcPr>
            <w:tcW w:w="1053" w:type="dxa"/>
            <w:noWrap/>
            <w:hideMark/>
          </w:tcPr>
          <w:p w14:paraId="76B03F45"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423732.4</w:t>
            </w:r>
          </w:p>
        </w:tc>
        <w:tc>
          <w:tcPr>
            <w:tcW w:w="1020" w:type="dxa"/>
            <w:noWrap/>
            <w:hideMark/>
          </w:tcPr>
          <w:p w14:paraId="62782BB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5089880</w:t>
            </w:r>
          </w:p>
        </w:tc>
        <w:tc>
          <w:tcPr>
            <w:tcW w:w="2855" w:type="dxa"/>
            <w:noWrap/>
            <w:hideMark/>
          </w:tcPr>
          <w:p w14:paraId="373293E7"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2A60DF22"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15CE980"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67018B6F"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A7CB668"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3D6E6DE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pe_10</w:t>
            </w:r>
          </w:p>
        </w:tc>
        <w:tc>
          <w:tcPr>
            <w:tcW w:w="1053" w:type="dxa"/>
            <w:noWrap/>
            <w:hideMark/>
          </w:tcPr>
          <w:p w14:paraId="507BF523"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423726.1</w:t>
            </w:r>
          </w:p>
        </w:tc>
        <w:tc>
          <w:tcPr>
            <w:tcW w:w="1020" w:type="dxa"/>
            <w:noWrap/>
            <w:hideMark/>
          </w:tcPr>
          <w:p w14:paraId="3E7829F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5089882</w:t>
            </w:r>
          </w:p>
        </w:tc>
        <w:tc>
          <w:tcPr>
            <w:tcW w:w="2855" w:type="dxa"/>
            <w:noWrap/>
            <w:hideMark/>
          </w:tcPr>
          <w:p w14:paraId="22EEB1F0"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3A2D096C"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6CCF47C7"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4A0A67C1"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414F222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3DD08A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pe_11</w:t>
            </w:r>
          </w:p>
        </w:tc>
        <w:tc>
          <w:tcPr>
            <w:tcW w:w="1053" w:type="dxa"/>
            <w:noWrap/>
            <w:hideMark/>
          </w:tcPr>
          <w:p w14:paraId="21A2D9FF"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423603.3</w:t>
            </w:r>
          </w:p>
        </w:tc>
        <w:tc>
          <w:tcPr>
            <w:tcW w:w="1020" w:type="dxa"/>
            <w:noWrap/>
            <w:hideMark/>
          </w:tcPr>
          <w:p w14:paraId="7F91DCDB"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5089885</w:t>
            </w:r>
          </w:p>
        </w:tc>
        <w:tc>
          <w:tcPr>
            <w:tcW w:w="2855" w:type="dxa"/>
            <w:noWrap/>
            <w:hideMark/>
          </w:tcPr>
          <w:p w14:paraId="19D2B9DE"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w:t>
            </w:r>
          </w:p>
        </w:tc>
        <w:tc>
          <w:tcPr>
            <w:tcW w:w="986" w:type="dxa"/>
            <w:noWrap/>
            <w:hideMark/>
          </w:tcPr>
          <w:p w14:paraId="44313A50"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2F96DF8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20F15E0B"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0C3B40EA"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583616C4"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pe_12</w:t>
            </w:r>
          </w:p>
        </w:tc>
        <w:tc>
          <w:tcPr>
            <w:tcW w:w="1053" w:type="dxa"/>
            <w:noWrap/>
            <w:hideMark/>
          </w:tcPr>
          <w:p w14:paraId="2E143B2A"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424003.9</w:t>
            </w:r>
          </w:p>
        </w:tc>
        <w:tc>
          <w:tcPr>
            <w:tcW w:w="1020" w:type="dxa"/>
            <w:noWrap/>
            <w:hideMark/>
          </w:tcPr>
          <w:p w14:paraId="592E8B8E"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5090030</w:t>
            </w:r>
          </w:p>
        </w:tc>
        <w:tc>
          <w:tcPr>
            <w:tcW w:w="2855" w:type="dxa"/>
            <w:noWrap/>
            <w:hideMark/>
          </w:tcPr>
          <w:p w14:paraId="69ACA37F"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1F0921F8"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3C68F0F9"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2495901E" w14:textId="77777777" w:rsidTr="00ED41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66B1A0D0"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47733D14"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pe_13</w:t>
            </w:r>
          </w:p>
        </w:tc>
        <w:tc>
          <w:tcPr>
            <w:tcW w:w="1053" w:type="dxa"/>
            <w:noWrap/>
            <w:hideMark/>
          </w:tcPr>
          <w:p w14:paraId="2AFB0939"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424012.2</w:t>
            </w:r>
          </w:p>
        </w:tc>
        <w:tc>
          <w:tcPr>
            <w:tcW w:w="1020" w:type="dxa"/>
            <w:noWrap/>
            <w:hideMark/>
          </w:tcPr>
          <w:p w14:paraId="7B9DAB31"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5090038</w:t>
            </w:r>
          </w:p>
        </w:tc>
        <w:tc>
          <w:tcPr>
            <w:tcW w:w="2855" w:type="dxa"/>
            <w:noWrap/>
            <w:hideMark/>
          </w:tcPr>
          <w:p w14:paraId="6ABD6EAF"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tailings</w:t>
            </w:r>
          </w:p>
        </w:tc>
        <w:tc>
          <w:tcPr>
            <w:tcW w:w="986" w:type="dxa"/>
            <w:noWrap/>
            <w:hideMark/>
          </w:tcPr>
          <w:p w14:paraId="004C2165" w14:textId="77777777" w:rsidR="004F36B1" w:rsidRPr="00D62E4F" w:rsidRDefault="004F36B1" w:rsidP="00582AD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03A9CFCD" w14:textId="77777777" w:rsidR="004F36B1" w:rsidRPr="00D62E4F" w:rsidRDefault="004F36B1" w:rsidP="00582AD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r w:rsidR="004F36B1" w:rsidRPr="00D62E4F" w14:paraId="32395422" w14:textId="77777777" w:rsidTr="00ED418C">
        <w:trPr>
          <w:trHeight w:val="290"/>
        </w:trPr>
        <w:tc>
          <w:tcPr>
            <w:cnfStyle w:val="001000000000" w:firstRow="0" w:lastRow="0" w:firstColumn="1" w:lastColumn="0" w:oddVBand="0" w:evenVBand="0" w:oddHBand="0" w:evenHBand="0" w:firstRowFirstColumn="0" w:firstRowLastColumn="0" w:lastRowFirstColumn="0" w:lastRowLastColumn="0"/>
            <w:tcW w:w="1133" w:type="dxa"/>
            <w:noWrap/>
            <w:hideMark/>
          </w:tcPr>
          <w:p w14:paraId="18C689EE" w14:textId="77777777" w:rsidR="004F36B1" w:rsidRPr="00D62E4F" w:rsidRDefault="004F36B1" w:rsidP="00582AD4">
            <w:pPr>
              <w:jc w:val="right"/>
              <w:rPr>
                <w:rFonts w:ascii="Calibri" w:eastAsia="Times New Roman" w:hAnsi="Calibri" w:cs="Calibri"/>
                <w:color w:val="000000"/>
                <w:kern w:val="0"/>
                <w:lang w:eastAsia="en-GB"/>
              </w:rPr>
            </w:pPr>
          </w:p>
        </w:tc>
        <w:tc>
          <w:tcPr>
            <w:tcW w:w="960" w:type="dxa"/>
            <w:noWrap/>
            <w:hideMark/>
          </w:tcPr>
          <w:p w14:paraId="13A63782"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pe_14</w:t>
            </w:r>
          </w:p>
        </w:tc>
        <w:tc>
          <w:tcPr>
            <w:tcW w:w="1053" w:type="dxa"/>
            <w:noWrap/>
            <w:hideMark/>
          </w:tcPr>
          <w:p w14:paraId="6AAC2F5B"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423619</w:t>
            </w:r>
          </w:p>
        </w:tc>
        <w:tc>
          <w:tcPr>
            <w:tcW w:w="1020" w:type="dxa"/>
            <w:noWrap/>
            <w:hideMark/>
          </w:tcPr>
          <w:p w14:paraId="6AA1B64C"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5089868</w:t>
            </w:r>
          </w:p>
        </w:tc>
        <w:tc>
          <w:tcPr>
            <w:tcW w:w="2855" w:type="dxa"/>
            <w:noWrap/>
            <w:hideMark/>
          </w:tcPr>
          <w:p w14:paraId="58DB69E9"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waste rock</w:t>
            </w:r>
          </w:p>
        </w:tc>
        <w:tc>
          <w:tcPr>
            <w:tcW w:w="986" w:type="dxa"/>
            <w:noWrap/>
            <w:hideMark/>
          </w:tcPr>
          <w:p w14:paraId="747AE37D" w14:textId="77777777" w:rsidR="004F36B1" w:rsidRPr="00D62E4F" w:rsidRDefault="004F36B1" w:rsidP="00582AD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new</w:t>
            </w:r>
          </w:p>
        </w:tc>
        <w:tc>
          <w:tcPr>
            <w:tcW w:w="960" w:type="dxa"/>
            <w:noWrap/>
            <w:hideMark/>
          </w:tcPr>
          <w:p w14:paraId="29761611" w14:textId="77777777" w:rsidR="004F36B1" w:rsidRPr="00D62E4F" w:rsidRDefault="004F36B1" w:rsidP="00582AD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rPr>
            </w:pPr>
            <w:r w:rsidRPr="00D62E4F">
              <w:rPr>
                <w:rFonts w:ascii="Calibri" w:eastAsia="Times New Roman" w:hAnsi="Calibri" w:cs="Calibri"/>
                <w:color w:val="000000"/>
                <w:kern w:val="0"/>
                <w:lang w:eastAsia="en-GB"/>
              </w:rPr>
              <w:t>1</w:t>
            </w:r>
          </w:p>
        </w:tc>
      </w:tr>
    </w:tbl>
    <w:p w14:paraId="5CFD62A5" w14:textId="7BC8B5E8" w:rsidR="002E10C8" w:rsidRPr="009E53A5" w:rsidRDefault="002E10C8" w:rsidP="002E10C8">
      <w:pPr>
        <w:keepNext/>
        <w:spacing w:line="360" w:lineRule="auto"/>
        <w:jc w:val="both"/>
        <w:rPr>
          <w:lang w:val="en-GB"/>
        </w:rPr>
      </w:pPr>
      <w:r w:rsidRPr="009E53A5">
        <w:rPr>
          <w:rFonts w:ascii="Arial" w:hAnsi="Arial" w:cs="Arial"/>
          <w:lang w:val="en-GB"/>
        </w:rPr>
        <w:t>As a complementary check</w:t>
      </w:r>
      <w:r>
        <w:rPr>
          <w:rFonts w:ascii="Arial" w:hAnsi="Arial" w:cs="Arial"/>
          <w:lang w:val="en-GB"/>
        </w:rPr>
        <w:t xml:space="preserve"> of samples classification</w:t>
      </w:r>
      <w:r w:rsidRPr="009E53A5">
        <w:rPr>
          <w:rFonts w:ascii="Arial" w:hAnsi="Arial" w:cs="Arial"/>
          <w:lang w:val="en-GB"/>
        </w:rPr>
        <w:t xml:space="preserve">, Principal Component Analysis </w:t>
      </w:r>
      <w:r w:rsidR="00F40150">
        <w:rPr>
          <w:rFonts w:ascii="Arial" w:hAnsi="Arial" w:cs="Arial"/>
          <w:lang w:val="en-GB"/>
        </w:rPr>
        <w:t xml:space="preserve">(PCA) </w:t>
      </w:r>
      <w:r w:rsidRPr="009E53A5">
        <w:rPr>
          <w:rFonts w:ascii="Arial" w:hAnsi="Arial" w:cs="Arial"/>
          <w:lang w:val="en-GB"/>
        </w:rPr>
        <w:t>and hierarchical clustering on multi-element compositions were also performed for both sites (Figs. S1–S2)</w:t>
      </w:r>
      <w:r>
        <w:rPr>
          <w:rFonts w:ascii="Arial" w:hAnsi="Arial" w:cs="Arial"/>
          <w:lang w:val="en-GB"/>
        </w:rPr>
        <w:t>.</w:t>
      </w:r>
      <w:r w:rsidRPr="009E53A5">
        <w:rPr>
          <w:lang w:val="en-GB"/>
        </w:rPr>
        <w:t xml:space="preserve"> </w:t>
      </w:r>
      <w:r w:rsidRPr="009E53A5">
        <w:rPr>
          <w:rFonts w:ascii="Arial" w:hAnsi="Arial" w:cs="Arial"/>
          <w:lang w:val="en-GB"/>
        </w:rPr>
        <w:t>Because EW has progressively mixed with the surrounding soils, samples assigned to different field-based categories do not necessarily correspond to geochemically distinct end-members; a compositional grouping is therefore not expected to sharply separate them. Consistent with this, the resulting statistical clusters did not correspond to the field-based classification.</w:t>
      </w:r>
      <w:r>
        <w:rPr>
          <w:rFonts w:ascii="Arial" w:hAnsi="Arial" w:cs="Arial"/>
          <w:lang w:val="en-GB"/>
        </w:rPr>
        <w:t xml:space="preserve"> </w:t>
      </w:r>
      <w:r w:rsidRPr="00152F56">
        <w:rPr>
          <w:rFonts w:ascii="Arial" w:hAnsi="Arial" w:cs="Arial"/>
          <w:lang w:val="en-GB"/>
        </w:rPr>
        <w:t>All analyses were performed in R (Version 2025.05.1+513)</w:t>
      </w:r>
      <w:r w:rsidRPr="009E53A5">
        <w:rPr>
          <w:rFonts w:ascii="Arial" w:hAnsi="Arial" w:cs="Arial"/>
          <w:lang w:val="en-GB"/>
        </w:rPr>
        <w:t xml:space="preserve">  </w:t>
      </w:r>
      <w:r>
        <w:rPr>
          <w:rFonts w:ascii="Arial" w:hAnsi="Arial" w:cs="Arial"/>
          <w:noProof/>
          <w:lang w:val="en-GB"/>
        </w:rPr>
        <w:drawing>
          <wp:inline distT="0" distB="0" distL="0" distR="0" wp14:anchorId="4BD26293" wp14:editId="611C7193">
            <wp:extent cx="6200140" cy="2164080"/>
            <wp:effectExtent l="0" t="0" r="0" b="7620"/>
            <wp:docPr id="9018186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140" cy="2164080"/>
                    </a:xfrm>
                    <a:prstGeom prst="rect">
                      <a:avLst/>
                    </a:prstGeom>
                    <a:noFill/>
                  </pic:spPr>
                </pic:pic>
              </a:graphicData>
            </a:graphic>
          </wp:inline>
        </w:drawing>
      </w:r>
    </w:p>
    <w:p w14:paraId="7FBE36EC" w14:textId="371C8BAD" w:rsidR="002E10C8" w:rsidRDefault="002E10C8" w:rsidP="002E10C8">
      <w:pPr>
        <w:pStyle w:val="Didascalia"/>
        <w:jc w:val="both"/>
        <w:rPr>
          <w:rFonts w:ascii="Arial" w:hAnsi="Arial" w:cs="Arial"/>
        </w:rPr>
      </w:pPr>
      <w:r w:rsidRPr="00BB6CD0">
        <w:rPr>
          <w:rFonts w:ascii="Arial" w:hAnsi="Arial" w:cs="Arial"/>
          <w:b/>
          <w:bCs/>
        </w:rPr>
        <w:t>Fig</w:t>
      </w:r>
      <w:r w:rsidR="00BB6CD0" w:rsidRPr="00BB6CD0">
        <w:rPr>
          <w:rFonts w:ascii="Arial" w:hAnsi="Arial" w:cs="Arial"/>
          <w:b/>
          <w:bCs/>
        </w:rPr>
        <w:t>. S</w:t>
      </w:r>
      <w:r w:rsidRPr="00BB6CD0">
        <w:rPr>
          <w:rFonts w:ascii="Arial" w:hAnsi="Arial" w:cs="Arial"/>
          <w:b/>
          <w:bCs/>
        </w:rPr>
        <w:fldChar w:fldCharType="begin"/>
      </w:r>
      <w:r w:rsidRPr="00BB6CD0">
        <w:rPr>
          <w:rFonts w:ascii="Arial" w:hAnsi="Arial" w:cs="Arial"/>
          <w:b/>
          <w:bCs/>
        </w:rPr>
        <w:instrText xml:space="preserve"> SEQ Figure \* ARABIC </w:instrText>
      </w:r>
      <w:r w:rsidRPr="00BB6CD0">
        <w:rPr>
          <w:rFonts w:ascii="Arial" w:hAnsi="Arial" w:cs="Arial"/>
          <w:b/>
          <w:bCs/>
        </w:rPr>
        <w:fldChar w:fldCharType="separate"/>
      </w:r>
      <w:r w:rsidRPr="00BB6CD0">
        <w:rPr>
          <w:rFonts w:ascii="Arial" w:hAnsi="Arial" w:cs="Arial"/>
          <w:b/>
          <w:bCs/>
          <w:noProof/>
        </w:rPr>
        <w:t>1</w:t>
      </w:r>
      <w:r w:rsidRPr="00BB6CD0">
        <w:rPr>
          <w:rFonts w:ascii="Arial" w:hAnsi="Arial" w:cs="Arial"/>
          <w:b/>
          <w:bCs/>
        </w:rPr>
        <w:fldChar w:fldCharType="end"/>
      </w:r>
      <w:r w:rsidRPr="009E53A5">
        <w:rPr>
          <w:rFonts w:ascii="Arial" w:hAnsi="Arial" w:cs="Arial"/>
        </w:rPr>
        <w:t xml:space="preserve"> Principal Component Analysis </w:t>
      </w:r>
      <w:r>
        <w:rPr>
          <w:rFonts w:ascii="Arial" w:hAnsi="Arial" w:cs="Arial"/>
        </w:rPr>
        <w:t>(left) and</w:t>
      </w:r>
      <w:r w:rsidRPr="009E53A5">
        <w:rPr>
          <w:rFonts w:ascii="Arial" w:hAnsi="Arial" w:cs="Arial"/>
        </w:rPr>
        <w:t xml:space="preserve"> hierarchical clustering</w:t>
      </w:r>
      <w:r>
        <w:rPr>
          <w:rFonts w:ascii="Arial" w:hAnsi="Arial" w:cs="Arial"/>
        </w:rPr>
        <w:t xml:space="preserve"> (right) of Pestarena samples</w:t>
      </w:r>
      <w:r w:rsidRPr="009E53A5">
        <w:rPr>
          <w:rFonts w:ascii="Arial" w:hAnsi="Arial" w:cs="Arial"/>
        </w:rPr>
        <w:t>.</w:t>
      </w:r>
      <w:r>
        <w:rPr>
          <w:rFonts w:ascii="Arial" w:hAnsi="Arial" w:cs="Arial"/>
        </w:rPr>
        <w:t xml:space="preserve"> PCA </w:t>
      </w:r>
      <w:r w:rsidRPr="009E53A5">
        <w:rPr>
          <w:rFonts w:ascii="Arial" w:hAnsi="Arial" w:cs="Arial"/>
        </w:rPr>
        <w:t xml:space="preserve">of log-transformed, unit-variance-scaled multi-element geochemical data for Pestarena samples. Points are coloured and shaped according to the field-based classification (Code: </w:t>
      </w:r>
      <w:r w:rsidRPr="00D14D7E">
        <w:rPr>
          <w:rFonts w:ascii="Arial" w:hAnsi="Arial" w:cs="Arial"/>
        </w:rPr>
        <w:t xml:space="preserve">1 for </w:t>
      </w:r>
      <w:r>
        <w:rPr>
          <w:rFonts w:ascii="Arial" w:hAnsi="Arial" w:cs="Arial"/>
        </w:rPr>
        <w:t>indicated EW</w:t>
      </w:r>
      <w:r w:rsidRPr="00D14D7E">
        <w:rPr>
          <w:rFonts w:ascii="Arial" w:hAnsi="Arial" w:cs="Arial"/>
        </w:rPr>
        <w:t xml:space="preserve">, 2 for </w:t>
      </w:r>
      <w:r>
        <w:rPr>
          <w:rFonts w:ascii="Arial" w:hAnsi="Arial" w:cs="Arial"/>
        </w:rPr>
        <w:t>inferred</w:t>
      </w:r>
      <w:r w:rsidRPr="00D14D7E">
        <w:rPr>
          <w:rFonts w:ascii="Arial" w:hAnsi="Arial" w:cs="Arial"/>
        </w:rPr>
        <w:t xml:space="preserve"> </w:t>
      </w:r>
      <w:r>
        <w:rPr>
          <w:rFonts w:ascii="Arial" w:hAnsi="Arial" w:cs="Arial"/>
        </w:rPr>
        <w:t>EW</w:t>
      </w:r>
      <w:r w:rsidRPr="00D14D7E">
        <w:rPr>
          <w:rFonts w:ascii="Arial" w:hAnsi="Arial" w:cs="Arial"/>
        </w:rPr>
        <w:t>, 3 for soil, and 4 for sediment.</w:t>
      </w:r>
      <w:r w:rsidRPr="009E53A5">
        <w:rPr>
          <w:rFonts w:ascii="Arial" w:hAnsi="Arial" w:cs="Arial"/>
        </w:rPr>
        <w:t>). Dashed ellipses represent 95% confidence regions for each field-based category. PC1 and PC2 explain 45.8% and 32.2% of total variance, respectively.</w:t>
      </w:r>
      <w:r>
        <w:rPr>
          <w:rFonts w:ascii="Arial" w:hAnsi="Arial" w:cs="Arial"/>
        </w:rPr>
        <w:t xml:space="preserve"> </w:t>
      </w:r>
      <w:r w:rsidRPr="009E53A5">
        <w:rPr>
          <w:rFonts w:ascii="Arial" w:hAnsi="Arial" w:cs="Arial"/>
        </w:rPr>
        <w:t xml:space="preserve">Ward's </w:t>
      </w:r>
      <w:r>
        <w:rPr>
          <w:rFonts w:ascii="Arial" w:hAnsi="Arial" w:cs="Arial"/>
        </w:rPr>
        <w:t xml:space="preserve">hierarchical clustering </w:t>
      </w:r>
      <w:r w:rsidRPr="009E53A5">
        <w:rPr>
          <w:rFonts w:ascii="Arial" w:hAnsi="Arial" w:cs="Arial"/>
        </w:rPr>
        <w:t>(k = 4), plotted in principal component space. Point colour indicates the statistical cluster assignment; point shape indicates the field-based classification. Correspondence between statistical clusters and field-based categories was close to null (Adjusted Rand Index = -0.02)</w:t>
      </w:r>
      <w:r>
        <w:rPr>
          <w:rFonts w:ascii="Arial" w:hAnsi="Arial" w:cs="Arial"/>
        </w:rPr>
        <w:t>.</w:t>
      </w:r>
    </w:p>
    <w:p w14:paraId="3F4DEA8E" w14:textId="77777777" w:rsidR="002E10C8" w:rsidRPr="009E53A5" w:rsidRDefault="002E10C8" w:rsidP="002E10C8">
      <w:pPr>
        <w:spacing w:line="360" w:lineRule="auto"/>
        <w:jc w:val="both"/>
        <w:rPr>
          <w:rFonts w:ascii="Arial" w:hAnsi="Arial" w:cs="Arial"/>
          <w:lang w:val="en-GB"/>
        </w:rPr>
      </w:pPr>
      <w:r>
        <w:rPr>
          <w:noProof/>
        </w:rPr>
        <w:lastRenderedPageBreak/>
        <mc:AlternateContent>
          <mc:Choice Requires="wps">
            <w:drawing>
              <wp:anchor distT="0" distB="0" distL="114300" distR="114300" simplePos="0" relativeHeight="251660288" behindDoc="0" locked="0" layoutInCell="1" allowOverlap="1" wp14:anchorId="1B3DFBE2" wp14:editId="33F4BAA9">
                <wp:simplePos x="0" y="0"/>
                <wp:positionH relativeFrom="column">
                  <wp:posOffset>-72390</wp:posOffset>
                </wp:positionH>
                <wp:positionV relativeFrom="paragraph">
                  <wp:posOffset>2491105</wp:posOffset>
                </wp:positionV>
                <wp:extent cx="6200140" cy="635"/>
                <wp:effectExtent l="0" t="0" r="0" b="0"/>
                <wp:wrapTopAndBottom/>
                <wp:docPr id="1991835986" name="Casella di testo 1"/>
                <wp:cNvGraphicFramePr/>
                <a:graphic xmlns:a="http://schemas.openxmlformats.org/drawingml/2006/main">
                  <a:graphicData uri="http://schemas.microsoft.com/office/word/2010/wordprocessingShape">
                    <wps:wsp>
                      <wps:cNvSpPr txBox="1"/>
                      <wps:spPr>
                        <a:xfrm>
                          <a:off x="0" y="0"/>
                          <a:ext cx="6200140" cy="635"/>
                        </a:xfrm>
                        <a:prstGeom prst="rect">
                          <a:avLst/>
                        </a:prstGeom>
                        <a:solidFill>
                          <a:prstClr val="white"/>
                        </a:solidFill>
                        <a:ln>
                          <a:noFill/>
                        </a:ln>
                      </wps:spPr>
                      <wps:txbx>
                        <w:txbxContent>
                          <w:p w14:paraId="03332ACB" w14:textId="08AE3385" w:rsidR="002E10C8" w:rsidRPr="009E53A5" w:rsidRDefault="002E10C8" w:rsidP="002E10C8">
                            <w:pPr>
                              <w:pStyle w:val="Didascalia"/>
                              <w:rPr>
                                <w:rFonts w:ascii="Arial" w:hAnsi="Arial" w:cs="Arial"/>
                                <w:b/>
                                <w:bCs/>
                                <w:noProof/>
                                <w:sz w:val="22"/>
                                <w:szCs w:val="22"/>
                              </w:rPr>
                            </w:pPr>
                            <w:r w:rsidRPr="00BB6CD0">
                              <w:rPr>
                                <w:b/>
                                <w:bCs/>
                              </w:rPr>
                              <w:t>Fig</w:t>
                            </w:r>
                            <w:r w:rsidR="00BB6CD0" w:rsidRPr="00BB6CD0">
                              <w:rPr>
                                <w:b/>
                                <w:bCs/>
                              </w:rPr>
                              <w:t>. S</w:t>
                            </w:r>
                            <w:r w:rsidRPr="00BB6CD0">
                              <w:rPr>
                                <w:b/>
                                <w:bCs/>
                              </w:rPr>
                              <w:fldChar w:fldCharType="begin"/>
                            </w:r>
                            <w:r w:rsidRPr="00BB6CD0">
                              <w:rPr>
                                <w:b/>
                                <w:bCs/>
                              </w:rPr>
                              <w:instrText xml:space="preserve"> SEQ Figure \* ARABIC </w:instrText>
                            </w:r>
                            <w:r w:rsidRPr="00BB6CD0">
                              <w:rPr>
                                <w:b/>
                                <w:bCs/>
                              </w:rPr>
                              <w:fldChar w:fldCharType="separate"/>
                            </w:r>
                            <w:r w:rsidRPr="00BB6CD0">
                              <w:rPr>
                                <w:b/>
                                <w:bCs/>
                                <w:noProof/>
                              </w:rPr>
                              <w:t>2</w:t>
                            </w:r>
                            <w:r w:rsidRPr="00BB6CD0">
                              <w:rPr>
                                <w:b/>
                                <w:bCs/>
                              </w:rPr>
                              <w:fldChar w:fldCharType="end"/>
                            </w:r>
                            <w:r>
                              <w:t xml:space="preserve"> </w:t>
                            </w:r>
                            <w:r w:rsidRPr="009E53A5">
                              <w:rPr>
                                <w:rFonts w:ascii="Arial" w:hAnsi="Arial" w:cs="Arial"/>
                              </w:rPr>
                              <w:t xml:space="preserve">Principal Component Analysis </w:t>
                            </w:r>
                            <w:r w:rsidR="00F40150">
                              <w:rPr>
                                <w:rFonts w:ascii="Arial" w:hAnsi="Arial" w:cs="Arial"/>
                              </w:rPr>
                              <w:t>(left</w:t>
                            </w:r>
                            <w:r>
                              <w:rPr>
                                <w:rFonts w:ascii="Arial" w:hAnsi="Arial" w:cs="Arial"/>
                              </w:rPr>
                              <w:t>) and</w:t>
                            </w:r>
                            <w:r w:rsidRPr="009E53A5">
                              <w:rPr>
                                <w:rFonts w:ascii="Arial" w:hAnsi="Arial" w:cs="Arial"/>
                              </w:rPr>
                              <w:t xml:space="preserve"> hierarchical clustering</w:t>
                            </w:r>
                            <w:r>
                              <w:rPr>
                                <w:rFonts w:ascii="Arial" w:hAnsi="Arial" w:cs="Arial"/>
                              </w:rPr>
                              <w:t xml:space="preserve"> (right) of Crocette samples</w:t>
                            </w:r>
                            <w:r w:rsidRPr="009E53A5">
                              <w:rPr>
                                <w:rFonts w:ascii="Arial" w:hAnsi="Arial" w:cs="Arial"/>
                              </w:rPr>
                              <w:t>.</w:t>
                            </w:r>
                            <w:r>
                              <w:rPr>
                                <w:rFonts w:ascii="Arial" w:hAnsi="Arial" w:cs="Arial"/>
                              </w:rPr>
                              <w:t xml:space="preserve"> PCA </w:t>
                            </w:r>
                            <w:r w:rsidRPr="009E53A5">
                              <w:rPr>
                                <w:rFonts w:ascii="Arial" w:hAnsi="Arial" w:cs="Arial"/>
                              </w:rPr>
                              <w:t xml:space="preserve">of log-transformed, unit-variance-scaled multi-element geochemical data for Pestarena samples. Points are coloured and shaped according to the field-based classification (Code: </w:t>
                            </w:r>
                            <w:r w:rsidRPr="00D14D7E">
                              <w:rPr>
                                <w:rFonts w:ascii="Arial" w:hAnsi="Arial" w:cs="Arial"/>
                              </w:rPr>
                              <w:t xml:space="preserve">1 for </w:t>
                            </w:r>
                            <w:r>
                              <w:rPr>
                                <w:rFonts w:ascii="Arial" w:hAnsi="Arial" w:cs="Arial"/>
                              </w:rPr>
                              <w:t>indicated EW</w:t>
                            </w:r>
                            <w:r w:rsidRPr="00D14D7E">
                              <w:rPr>
                                <w:rFonts w:ascii="Arial" w:hAnsi="Arial" w:cs="Arial"/>
                              </w:rPr>
                              <w:t xml:space="preserve">, 2 for </w:t>
                            </w:r>
                            <w:r>
                              <w:rPr>
                                <w:rFonts w:ascii="Arial" w:hAnsi="Arial" w:cs="Arial"/>
                              </w:rPr>
                              <w:t>inferred</w:t>
                            </w:r>
                            <w:r w:rsidRPr="00D14D7E">
                              <w:rPr>
                                <w:rFonts w:ascii="Arial" w:hAnsi="Arial" w:cs="Arial"/>
                              </w:rPr>
                              <w:t xml:space="preserve"> </w:t>
                            </w:r>
                            <w:r>
                              <w:rPr>
                                <w:rFonts w:ascii="Arial" w:hAnsi="Arial" w:cs="Arial"/>
                              </w:rPr>
                              <w:t>EW</w:t>
                            </w:r>
                            <w:r w:rsidRPr="00D14D7E">
                              <w:rPr>
                                <w:rFonts w:ascii="Arial" w:hAnsi="Arial" w:cs="Arial"/>
                              </w:rPr>
                              <w:t>, 3 for soil, and 4 for sediment.</w:t>
                            </w:r>
                            <w:r w:rsidRPr="009E53A5">
                              <w:rPr>
                                <w:rFonts w:ascii="Arial" w:hAnsi="Arial" w:cs="Arial"/>
                              </w:rPr>
                              <w:t xml:space="preserve">). Dashed ellipses represent 95% confidence regions for each field-based category. </w:t>
                            </w:r>
                            <w:r w:rsidRPr="00152F56">
                              <w:rPr>
                                <w:rFonts w:ascii="Arial" w:hAnsi="Arial" w:cs="Arial"/>
                              </w:rPr>
                              <w:t>PC1 and PC2 explain 37.6% and 26.6% of total variance, respectively</w:t>
                            </w:r>
                            <w:r w:rsidRPr="009E53A5">
                              <w:rPr>
                                <w:rFonts w:ascii="Arial" w:hAnsi="Arial" w:cs="Arial"/>
                              </w:rPr>
                              <w:t>.</w:t>
                            </w:r>
                            <w:r>
                              <w:rPr>
                                <w:rFonts w:ascii="Arial" w:hAnsi="Arial" w:cs="Arial"/>
                              </w:rPr>
                              <w:t xml:space="preserve"> </w:t>
                            </w:r>
                            <w:r w:rsidRPr="009E53A5">
                              <w:rPr>
                                <w:rFonts w:ascii="Arial" w:hAnsi="Arial" w:cs="Arial"/>
                              </w:rPr>
                              <w:t xml:space="preserve">Ward's </w:t>
                            </w:r>
                            <w:r>
                              <w:rPr>
                                <w:rFonts w:ascii="Arial" w:hAnsi="Arial" w:cs="Arial"/>
                              </w:rPr>
                              <w:t xml:space="preserve">hierarchical clustering </w:t>
                            </w:r>
                            <w:r w:rsidRPr="009E53A5">
                              <w:rPr>
                                <w:rFonts w:ascii="Arial" w:hAnsi="Arial" w:cs="Arial"/>
                              </w:rPr>
                              <w:t xml:space="preserve">(k = 4), plotted in principal component space. Point colour indicates the statistical cluster assignment; point shape indicates the field-based classification. Correspondence between statistical clusters and field-based categories was close to null </w:t>
                            </w:r>
                            <w:r w:rsidRPr="008B70F9">
                              <w:rPr>
                                <w:rFonts w:ascii="Arial" w:hAnsi="Arial" w:cs="Arial"/>
                              </w:rPr>
                              <w:t>(Adjusted Rand Index = -0.01)</w:t>
                            </w:r>
                            <w:r>
                              <w:rPr>
                                <w:rFonts w:ascii="Arial" w:hAnsi="Arial" w:cs="Arial"/>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B3DFBE2" id="_x0000_t202" coordsize="21600,21600" o:spt="202" path="m,l,21600r21600,l21600,xe">
                <v:stroke joinstyle="miter"/>
                <v:path gradientshapeok="t" o:connecttype="rect"/>
              </v:shapetype>
              <v:shape id="Casella di testo 1" o:spid="_x0000_s1026" type="#_x0000_t202" style="position:absolute;left:0;text-align:left;margin-left:-5.7pt;margin-top:196.15pt;width:488.2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" stroked="f">
                <v:textbox style="mso-fit-shape-to-text:t" inset="0,0,0,0">
                  <w:txbxContent>
                    <w:p w14:paraId="03332ACB" w14:textId="08AE3385" w:rsidR="002E10C8" w:rsidRPr="009E53A5" w:rsidRDefault="002E10C8" w:rsidP="002E10C8">
                      <w:pPr>
                        <w:pStyle w:val="Didascalia"/>
                        <w:rPr>
                          <w:rFonts w:ascii="Arial" w:hAnsi="Arial" w:cs="Arial"/>
                          <w:b/>
                          <w:bCs/>
                          <w:noProof/>
                          <w:sz w:val="22"/>
                          <w:szCs w:val="22"/>
                        </w:rPr>
                      </w:pPr>
                      <w:r w:rsidRPr="00BB6CD0">
                        <w:rPr>
                          <w:b/>
                          <w:bCs/>
                        </w:rPr>
                        <w:t>Fig</w:t>
                      </w:r>
                      <w:r w:rsidR="00BB6CD0" w:rsidRPr="00BB6CD0">
                        <w:rPr>
                          <w:b/>
                          <w:bCs/>
                        </w:rPr>
                        <w:t>. S</w:t>
                      </w:r>
                      <w:r w:rsidRPr="00BB6CD0">
                        <w:rPr>
                          <w:b/>
                          <w:bCs/>
                        </w:rPr>
                        <w:fldChar w:fldCharType="begin"/>
                      </w:r>
                      <w:r w:rsidRPr="00BB6CD0">
                        <w:rPr>
                          <w:b/>
                          <w:bCs/>
                        </w:rPr>
                        <w:instrText xml:space="preserve"> SEQ Figure \* ARABIC </w:instrText>
                      </w:r>
                      <w:r w:rsidRPr="00BB6CD0">
                        <w:rPr>
                          <w:b/>
                          <w:bCs/>
                        </w:rPr>
                        <w:fldChar w:fldCharType="separate"/>
                      </w:r>
                      <w:r w:rsidRPr="00BB6CD0">
                        <w:rPr>
                          <w:b/>
                          <w:bCs/>
                          <w:noProof/>
                        </w:rPr>
                        <w:t>2</w:t>
                      </w:r>
                      <w:r w:rsidRPr="00BB6CD0">
                        <w:rPr>
                          <w:b/>
                          <w:bCs/>
                        </w:rPr>
                        <w:fldChar w:fldCharType="end"/>
                      </w:r>
                      <w:r>
                        <w:t xml:space="preserve"> </w:t>
                      </w:r>
                      <w:r w:rsidRPr="009E53A5">
                        <w:rPr>
                          <w:rFonts w:ascii="Arial" w:hAnsi="Arial" w:cs="Arial"/>
                        </w:rPr>
                        <w:t xml:space="preserve">Principal Component Analysis </w:t>
                      </w:r>
                      <w:r w:rsidR="00F40150">
                        <w:rPr>
                          <w:rFonts w:ascii="Arial" w:hAnsi="Arial" w:cs="Arial"/>
                        </w:rPr>
                        <w:t>(left</w:t>
                      </w:r>
                      <w:r>
                        <w:rPr>
                          <w:rFonts w:ascii="Arial" w:hAnsi="Arial" w:cs="Arial"/>
                        </w:rPr>
                        <w:t>) and</w:t>
                      </w:r>
                      <w:r w:rsidRPr="009E53A5">
                        <w:rPr>
                          <w:rFonts w:ascii="Arial" w:hAnsi="Arial" w:cs="Arial"/>
                        </w:rPr>
                        <w:t xml:space="preserve"> hierarchical clustering</w:t>
                      </w:r>
                      <w:r>
                        <w:rPr>
                          <w:rFonts w:ascii="Arial" w:hAnsi="Arial" w:cs="Arial"/>
                        </w:rPr>
                        <w:t xml:space="preserve"> (right) of Crocette samples</w:t>
                      </w:r>
                      <w:r w:rsidRPr="009E53A5">
                        <w:rPr>
                          <w:rFonts w:ascii="Arial" w:hAnsi="Arial" w:cs="Arial"/>
                        </w:rPr>
                        <w:t>.</w:t>
                      </w:r>
                      <w:r>
                        <w:rPr>
                          <w:rFonts w:ascii="Arial" w:hAnsi="Arial" w:cs="Arial"/>
                        </w:rPr>
                        <w:t xml:space="preserve"> PCA </w:t>
                      </w:r>
                      <w:r w:rsidRPr="009E53A5">
                        <w:rPr>
                          <w:rFonts w:ascii="Arial" w:hAnsi="Arial" w:cs="Arial"/>
                        </w:rPr>
                        <w:t xml:space="preserve">of log-transformed, unit-variance-scaled multi-element geochemical data for Pestarena samples. Points are coloured and shaped according to the field-based classification (Code: </w:t>
                      </w:r>
                      <w:r w:rsidRPr="00D14D7E">
                        <w:rPr>
                          <w:rFonts w:ascii="Arial" w:hAnsi="Arial" w:cs="Arial"/>
                        </w:rPr>
                        <w:t xml:space="preserve">1 for </w:t>
                      </w:r>
                      <w:r>
                        <w:rPr>
                          <w:rFonts w:ascii="Arial" w:hAnsi="Arial" w:cs="Arial"/>
                        </w:rPr>
                        <w:t>indicated EW</w:t>
                      </w:r>
                      <w:r w:rsidRPr="00D14D7E">
                        <w:rPr>
                          <w:rFonts w:ascii="Arial" w:hAnsi="Arial" w:cs="Arial"/>
                        </w:rPr>
                        <w:t xml:space="preserve">, 2 for </w:t>
                      </w:r>
                      <w:r>
                        <w:rPr>
                          <w:rFonts w:ascii="Arial" w:hAnsi="Arial" w:cs="Arial"/>
                        </w:rPr>
                        <w:t>inferred</w:t>
                      </w:r>
                      <w:r w:rsidRPr="00D14D7E">
                        <w:rPr>
                          <w:rFonts w:ascii="Arial" w:hAnsi="Arial" w:cs="Arial"/>
                        </w:rPr>
                        <w:t xml:space="preserve"> </w:t>
                      </w:r>
                      <w:r>
                        <w:rPr>
                          <w:rFonts w:ascii="Arial" w:hAnsi="Arial" w:cs="Arial"/>
                        </w:rPr>
                        <w:t>EW</w:t>
                      </w:r>
                      <w:r w:rsidRPr="00D14D7E">
                        <w:rPr>
                          <w:rFonts w:ascii="Arial" w:hAnsi="Arial" w:cs="Arial"/>
                        </w:rPr>
                        <w:t>, 3 for soil, and 4 for sediment.</w:t>
                      </w:r>
                      <w:r w:rsidRPr="009E53A5">
                        <w:rPr>
                          <w:rFonts w:ascii="Arial" w:hAnsi="Arial" w:cs="Arial"/>
                        </w:rPr>
                        <w:t xml:space="preserve">). Dashed ellipses represent 95% confidence regions for each field-based category. </w:t>
                      </w:r>
                      <w:r w:rsidRPr="00152F56">
                        <w:rPr>
                          <w:rFonts w:ascii="Arial" w:hAnsi="Arial" w:cs="Arial"/>
                        </w:rPr>
                        <w:t>PC1 and PC2 explain 37.6% and 26.6% of total variance, respectively</w:t>
                      </w:r>
                      <w:r w:rsidRPr="009E53A5">
                        <w:rPr>
                          <w:rFonts w:ascii="Arial" w:hAnsi="Arial" w:cs="Arial"/>
                        </w:rPr>
                        <w:t>.</w:t>
                      </w:r>
                      <w:r>
                        <w:rPr>
                          <w:rFonts w:ascii="Arial" w:hAnsi="Arial" w:cs="Arial"/>
                        </w:rPr>
                        <w:t xml:space="preserve"> </w:t>
                      </w:r>
                      <w:r w:rsidRPr="009E53A5">
                        <w:rPr>
                          <w:rFonts w:ascii="Arial" w:hAnsi="Arial" w:cs="Arial"/>
                        </w:rPr>
                        <w:t xml:space="preserve">Ward's </w:t>
                      </w:r>
                      <w:r>
                        <w:rPr>
                          <w:rFonts w:ascii="Arial" w:hAnsi="Arial" w:cs="Arial"/>
                        </w:rPr>
                        <w:t xml:space="preserve">hierarchical clustering </w:t>
                      </w:r>
                      <w:r w:rsidRPr="009E53A5">
                        <w:rPr>
                          <w:rFonts w:ascii="Arial" w:hAnsi="Arial" w:cs="Arial"/>
                        </w:rPr>
                        <w:t xml:space="preserve">(k = 4), plotted in principal component space. Point colour indicates the statistical cluster assignment; point shape indicates the field-based classification. Correspondence between statistical clusters and field-based categories was close to null </w:t>
                      </w:r>
                      <w:r w:rsidRPr="008B70F9">
                        <w:rPr>
                          <w:rFonts w:ascii="Arial" w:hAnsi="Arial" w:cs="Arial"/>
                        </w:rPr>
                        <w:t>(Adjusted Rand Index = -0.01)</w:t>
                      </w:r>
                      <w:r>
                        <w:rPr>
                          <w:rFonts w:ascii="Arial" w:hAnsi="Arial" w:cs="Arial"/>
                        </w:rPr>
                        <w:t>.</w:t>
                      </w:r>
                    </w:p>
                  </w:txbxContent>
                </v:textbox>
                <w10:wrap type="topAndBottom"/>
              </v:shape>
            </w:pict>
          </mc:Fallback>
        </mc:AlternateContent>
      </w:r>
      <w:r>
        <w:rPr>
          <w:rFonts w:ascii="Arial" w:hAnsi="Arial" w:cs="Arial"/>
          <w:b/>
          <w:bCs/>
          <w:noProof/>
        </w:rPr>
        <w:drawing>
          <wp:anchor distT="0" distB="0" distL="114300" distR="114300" simplePos="0" relativeHeight="251659264" behindDoc="0" locked="0" layoutInCell="1" allowOverlap="1" wp14:anchorId="4EA9A9A7" wp14:editId="5DDE57B7">
            <wp:simplePos x="0" y="0"/>
            <wp:positionH relativeFrom="column">
              <wp:posOffset>-72708</wp:posOffset>
            </wp:positionH>
            <wp:positionV relativeFrom="paragraph">
              <wp:posOffset>300673</wp:posOffset>
            </wp:positionV>
            <wp:extent cx="6200140" cy="2133600"/>
            <wp:effectExtent l="0" t="0" r="0" b="0"/>
            <wp:wrapTopAndBottom/>
            <wp:docPr id="120387909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140" cy="2133600"/>
                    </a:xfrm>
                    <a:prstGeom prst="rect">
                      <a:avLst/>
                    </a:prstGeom>
                    <a:noFill/>
                  </pic:spPr>
                </pic:pic>
              </a:graphicData>
            </a:graphic>
          </wp:anchor>
        </w:drawing>
      </w:r>
    </w:p>
    <w:p w14:paraId="2B2C15F1" w14:textId="77777777" w:rsidR="002E10C8" w:rsidRPr="007F7DA0" w:rsidRDefault="002E10C8" w:rsidP="00B0195E">
      <w:pPr>
        <w:pStyle w:val="Paragrafoelenco"/>
        <w:numPr>
          <w:ilvl w:val="0"/>
          <w:numId w:val="4"/>
        </w:numPr>
        <w:spacing w:after="0" w:line="360" w:lineRule="auto"/>
        <w:jc w:val="both"/>
        <w:rPr>
          <w:rFonts w:ascii="Arial" w:hAnsi="Arial" w:cs="Arial"/>
          <w:b/>
          <w:bCs/>
        </w:rPr>
      </w:pPr>
      <w:r w:rsidRPr="007F7DA0">
        <w:rPr>
          <w:rFonts w:ascii="Arial" w:hAnsi="Arial" w:cs="Arial"/>
          <w:b/>
          <w:bCs/>
        </w:rPr>
        <w:t>Data comparability</w:t>
      </w:r>
    </w:p>
    <w:p w14:paraId="5552758C" w14:textId="77777777" w:rsidR="002E10C8" w:rsidRPr="00152F56" w:rsidRDefault="002E10C8" w:rsidP="002E10C8">
      <w:pPr>
        <w:spacing w:line="360" w:lineRule="auto"/>
        <w:jc w:val="both"/>
        <w:rPr>
          <w:rFonts w:ascii="Arial" w:hAnsi="Arial" w:cs="Arial"/>
          <w:lang w:val="en-GB"/>
        </w:rPr>
      </w:pPr>
      <w:r w:rsidRPr="007F7DA0">
        <w:rPr>
          <w:rFonts w:ascii="Arial" w:hAnsi="Arial" w:cs="Arial"/>
          <w:lang w:val="en-GB"/>
        </w:rPr>
        <w:t xml:space="preserve">Data from the 2024 and previous sampling periods were compared separately for each metal. Descriptive statistics (sample size, mean, and median) were calculated, and data normality was assessed using the Shapiro–Wilk test when applicable. Differences between periods were evaluated using the Mann–Whitney U test and Welch’s </w:t>
      </w:r>
      <w:r w:rsidRPr="007F7DA0">
        <w:rPr>
          <w:rFonts w:ascii="Arial" w:hAnsi="Arial" w:cs="Arial"/>
          <w:i/>
          <w:iCs/>
          <w:lang w:val="en-GB"/>
        </w:rPr>
        <w:t>t</w:t>
      </w:r>
      <w:r w:rsidRPr="007F7DA0">
        <w:rPr>
          <w:rFonts w:ascii="Arial" w:hAnsi="Arial" w:cs="Arial"/>
          <w:lang w:val="en-GB"/>
        </w:rPr>
        <w:t xml:space="preserve">-test. To account for multiple comparisons, </w:t>
      </w:r>
      <w:r w:rsidRPr="007F7DA0">
        <w:rPr>
          <w:rFonts w:ascii="Arial" w:hAnsi="Arial" w:cs="Arial"/>
          <w:i/>
          <w:iCs/>
          <w:lang w:val="en-GB"/>
        </w:rPr>
        <w:t>p</w:t>
      </w:r>
      <w:r w:rsidRPr="007F7DA0">
        <w:rPr>
          <w:rFonts w:ascii="Arial" w:hAnsi="Arial" w:cs="Arial"/>
          <w:lang w:val="en-GB"/>
        </w:rPr>
        <w:t xml:space="preserve">-values from the Mann–Whitney tests were adjusted using the Benjamini–Hochberg procedure, with statistical significance set at </w:t>
      </w:r>
      <w:r w:rsidRPr="007F7DA0">
        <w:rPr>
          <w:rFonts w:ascii="Arial" w:hAnsi="Arial" w:cs="Arial"/>
          <w:i/>
          <w:iCs/>
          <w:lang w:val="en-GB"/>
        </w:rPr>
        <w:t>p</w:t>
      </w:r>
      <w:r w:rsidRPr="007F7DA0">
        <w:rPr>
          <w:rFonts w:ascii="Arial" w:hAnsi="Arial" w:cs="Arial"/>
          <w:lang w:val="en-GB"/>
        </w:rPr>
        <w:t xml:space="preserve"> &lt; 0.05. </w:t>
      </w:r>
      <w:r w:rsidRPr="00152F56">
        <w:rPr>
          <w:rFonts w:ascii="Arial" w:hAnsi="Arial" w:cs="Arial"/>
          <w:lang w:val="en-GB"/>
        </w:rPr>
        <w:t>All analyses were performed in R (Version 2025.05.1+513).</w:t>
      </w:r>
    </w:p>
    <w:p w14:paraId="57746223" w14:textId="77777777" w:rsidR="002E10C8" w:rsidRPr="00F335A0" w:rsidRDefault="002E10C8" w:rsidP="002E10C8">
      <w:pPr>
        <w:pStyle w:val="Didascalia"/>
        <w:keepNext/>
      </w:pPr>
      <w:r>
        <w:t xml:space="preserve">Table S2 </w:t>
      </w:r>
      <w:r w:rsidRPr="00F335A0">
        <w:t xml:space="preserve">Statistical comparison of elemental concentrations between the 2024 and previous sampling periods. Sample size (N), mean and median concentrations are reported for each element and period. </w:t>
      </w:r>
      <w:r>
        <w:t>Statistical significance is indicated in bold.</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1056"/>
        <w:gridCol w:w="1208"/>
        <w:gridCol w:w="949"/>
        <w:gridCol w:w="1246"/>
        <w:gridCol w:w="1430"/>
        <w:gridCol w:w="1579"/>
        <w:gridCol w:w="1165"/>
      </w:tblGrid>
      <w:tr w:rsidR="002E10C8" w:rsidRPr="00F335A0" w14:paraId="3BEC5D9B" w14:textId="77777777" w:rsidTr="00980066">
        <w:trPr>
          <w:trHeight w:val="289"/>
        </w:trPr>
        <w:tc>
          <w:tcPr>
            <w:tcW w:w="991" w:type="dxa"/>
            <w:noWrap/>
            <w:vAlign w:val="bottom"/>
            <w:hideMark/>
          </w:tcPr>
          <w:p w14:paraId="26E5B03C"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Element</w:t>
            </w:r>
          </w:p>
        </w:tc>
        <w:tc>
          <w:tcPr>
            <w:tcW w:w="1056" w:type="dxa"/>
            <w:noWrap/>
            <w:vAlign w:val="bottom"/>
            <w:hideMark/>
          </w:tcPr>
          <w:p w14:paraId="54A6A744"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N</w:t>
            </w:r>
          </w:p>
          <w:p w14:paraId="186BC1C2"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2024</w:t>
            </w:r>
          </w:p>
        </w:tc>
        <w:tc>
          <w:tcPr>
            <w:tcW w:w="1209" w:type="dxa"/>
            <w:noWrap/>
            <w:vAlign w:val="bottom"/>
            <w:hideMark/>
          </w:tcPr>
          <w:p w14:paraId="78F4F216"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N</w:t>
            </w:r>
          </w:p>
          <w:p w14:paraId="67F82230"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Previous</w:t>
            </w:r>
          </w:p>
        </w:tc>
        <w:tc>
          <w:tcPr>
            <w:tcW w:w="949" w:type="dxa"/>
            <w:noWrap/>
            <w:vAlign w:val="bottom"/>
            <w:hideMark/>
          </w:tcPr>
          <w:p w14:paraId="3544705E"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Mean</w:t>
            </w:r>
          </w:p>
          <w:p w14:paraId="1D979354"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2024</w:t>
            </w:r>
          </w:p>
        </w:tc>
        <w:tc>
          <w:tcPr>
            <w:tcW w:w="1247" w:type="dxa"/>
            <w:noWrap/>
            <w:vAlign w:val="bottom"/>
            <w:hideMark/>
          </w:tcPr>
          <w:p w14:paraId="5AFBB470"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Median</w:t>
            </w:r>
          </w:p>
          <w:p w14:paraId="05460C00"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2024</w:t>
            </w:r>
          </w:p>
        </w:tc>
        <w:tc>
          <w:tcPr>
            <w:tcW w:w="1431" w:type="dxa"/>
            <w:noWrap/>
            <w:vAlign w:val="bottom"/>
            <w:hideMark/>
          </w:tcPr>
          <w:p w14:paraId="6B471146"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Mean</w:t>
            </w:r>
          </w:p>
          <w:p w14:paraId="206E89E4"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Previous</w:t>
            </w:r>
          </w:p>
        </w:tc>
        <w:tc>
          <w:tcPr>
            <w:tcW w:w="1580" w:type="dxa"/>
            <w:noWrap/>
            <w:vAlign w:val="bottom"/>
            <w:hideMark/>
          </w:tcPr>
          <w:p w14:paraId="4BACB330" w14:textId="77777777" w:rsidR="002E10C8"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Median</w:t>
            </w:r>
          </w:p>
          <w:p w14:paraId="3B631D97"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Previous</w:t>
            </w:r>
          </w:p>
        </w:tc>
        <w:tc>
          <w:tcPr>
            <w:tcW w:w="1165" w:type="dxa"/>
            <w:noWrap/>
            <w:vAlign w:val="bottom"/>
            <w:hideMark/>
          </w:tcPr>
          <w:p w14:paraId="64730BEF" w14:textId="77777777" w:rsidR="002E10C8" w:rsidRDefault="002E10C8" w:rsidP="00980066">
            <w:pPr>
              <w:spacing w:after="0" w:line="360" w:lineRule="auto"/>
              <w:jc w:val="both"/>
              <w:rPr>
                <w:rFonts w:ascii="Arial" w:hAnsi="Arial" w:cs="Arial"/>
                <w:b/>
                <w:bCs/>
                <w:sz w:val="20"/>
                <w:szCs w:val="20"/>
              </w:rPr>
            </w:pPr>
            <w:r>
              <w:rPr>
                <w:rFonts w:ascii="Arial" w:hAnsi="Arial" w:cs="Arial"/>
                <w:b/>
                <w:bCs/>
                <w:sz w:val="20"/>
                <w:szCs w:val="20"/>
              </w:rPr>
              <w:t>p</w:t>
            </w:r>
          </w:p>
          <w:p w14:paraId="2C9DC71D"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value</w:t>
            </w:r>
          </w:p>
        </w:tc>
      </w:tr>
      <w:tr w:rsidR="002E10C8" w:rsidRPr="00F335A0" w14:paraId="3D358301" w14:textId="77777777" w:rsidTr="00980066">
        <w:trPr>
          <w:trHeight w:val="289"/>
        </w:trPr>
        <w:tc>
          <w:tcPr>
            <w:tcW w:w="991" w:type="dxa"/>
            <w:noWrap/>
            <w:vAlign w:val="bottom"/>
            <w:hideMark/>
          </w:tcPr>
          <w:p w14:paraId="75CFD461"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As</w:t>
            </w:r>
          </w:p>
        </w:tc>
        <w:tc>
          <w:tcPr>
            <w:tcW w:w="1056" w:type="dxa"/>
            <w:noWrap/>
            <w:vAlign w:val="bottom"/>
            <w:hideMark/>
          </w:tcPr>
          <w:p w14:paraId="41137B9C"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2379D89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72</w:t>
            </w:r>
          </w:p>
        </w:tc>
        <w:tc>
          <w:tcPr>
            <w:tcW w:w="949" w:type="dxa"/>
            <w:noWrap/>
            <w:vAlign w:val="bottom"/>
            <w:hideMark/>
          </w:tcPr>
          <w:p w14:paraId="1476757E"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11379.3</w:t>
            </w:r>
          </w:p>
        </w:tc>
        <w:tc>
          <w:tcPr>
            <w:tcW w:w="1247" w:type="dxa"/>
            <w:noWrap/>
            <w:vAlign w:val="bottom"/>
            <w:hideMark/>
          </w:tcPr>
          <w:p w14:paraId="1F86207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5835.0</w:t>
            </w:r>
          </w:p>
        </w:tc>
        <w:tc>
          <w:tcPr>
            <w:tcW w:w="1431" w:type="dxa"/>
            <w:noWrap/>
            <w:vAlign w:val="bottom"/>
            <w:hideMark/>
          </w:tcPr>
          <w:p w14:paraId="7797555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20225.7</w:t>
            </w:r>
          </w:p>
        </w:tc>
        <w:tc>
          <w:tcPr>
            <w:tcW w:w="1580" w:type="dxa"/>
            <w:noWrap/>
            <w:vAlign w:val="bottom"/>
            <w:hideMark/>
          </w:tcPr>
          <w:p w14:paraId="03B18642"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9540.0</w:t>
            </w:r>
          </w:p>
        </w:tc>
        <w:tc>
          <w:tcPr>
            <w:tcW w:w="1165" w:type="dxa"/>
            <w:noWrap/>
            <w:vAlign w:val="bottom"/>
            <w:hideMark/>
          </w:tcPr>
          <w:p w14:paraId="4C78468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1.1E-01</w:t>
            </w:r>
          </w:p>
        </w:tc>
      </w:tr>
      <w:tr w:rsidR="002E10C8" w:rsidRPr="00F335A0" w14:paraId="3193C180" w14:textId="77777777" w:rsidTr="00980066">
        <w:trPr>
          <w:trHeight w:val="289"/>
        </w:trPr>
        <w:tc>
          <w:tcPr>
            <w:tcW w:w="991" w:type="dxa"/>
            <w:noWrap/>
            <w:vAlign w:val="bottom"/>
            <w:hideMark/>
          </w:tcPr>
          <w:p w14:paraId="48EF836C"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Cd</w:t>
            </w:r>
          </w:p>
        </w:tc>
        <w:tc>
          <w:tcPr>
            <w:tcW w:w="1056" w:type="dxa"/>
            <w:noWrap/>
            <w:vAlign w:val="bottom"/>
            <w:hideMark/>
          </w:tcPr>
          <w:p w14:paraId="279199B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17C27592"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1A251A17"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0.3</w:t>
            </w:r>
          </w:p>
        </w:tc>
        <w:tc>
          <w:tcPr>
            <w:tcW w:w="1247" w:type="dxa"/>
            <w:noWrap/>
            <w:vAlign w:val="bottom"/>
            <w:hideMark/>
          </w:tcPr>
          <w:p w14:paraId="1C6692BD"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0.3</w:t>
            </w:r>
          </w:p>
        </w:tc>
        <w:tc>
          <w:tcPr>
            <w:tcW w:w="1431" w:type="dxa"/>
            <w:noWrap/>
            <w:vAlign w:val="bottom"/>
            <w:hideMark/>
          </w:tcPr>
          <w:p w14:paraId="261820D9"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1.1</w:t>
            </w:r>
          </w:p>
        </w:tc>
        <w:tc>
          <w:tcPr>
            <w:tcW w:w="1580" w:type="dxa"/>
            <w:noWrap/>
            <w:vAlign w:val="bottom"/>
            <w:hideMark/>
          </w:tcPr>
          <w:p w14:paraId="06B0E38D"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0.3</w:t>
            </w:r>
          </w:p>
        </w:tc>
        <w:tc>
          <w:tcPr>
            <w:tcW w:w="1165" w:type="dxa"/>
            <w:noWrap/>
            <w:vAlign w:val="bottom"/>
            <w:hideMark/>
          </w:tcPr>
          <w:p w14:paraId="4B164CF9"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7.9E-01</w:t>
            </w:r>
          </w:p>
        </w:tc>
      </w:tr>
      <w:tr w:rsidR="002E10C8" w:rsidRPr="00F335A0" w14:paraId="5E4150EE" w14:textId="77777777" w:rsidTr="00980066">
        <w:trPr>
          <w:trHeight w:val="289"/>
        </w:trPr>
        <w:tc>
          <w:tcPr>
            <w:tcW w:w="991" w:type="dxa"/>
            <w:noWrap/>
            <w:vAlign w:val="bottom"/>
            <w:hideMark/>
          </w:tcPr>
          <w:p w14:paraId="0C732B90"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Co</w:t>
            </w:r>
          </w:p>
        </w:tc>
        <w:tc>
          <w:tcPr>
            <w:tcW w:w="1056" w:type="dxa"/>
            <w:noWrap/>
            <w:vAlign w:val="bottom"/>
            <w:hideMark/>
          </w:tcPr>
          <w:p w14:paraId="395AE18B"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6E8B6E1B"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760BEF2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30.8</w:t>
            </w:r>
          </w:p>
        </w:tc>
        <w:tc>
          <w:tcPr>
            <w:tcW w:w="1247" w:type="dxa"/>
            <w:noWrap/>
            <w:vAlign w:val="bottom"/>
            <w:hideMark/>
          </w:tcPr>
          <w:p w14:paraId="42E19F6D"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27.5</w:t>
            </w:r>
          </w:p>
        </w:tc>
        <w:tc>
          <w:tcPr>
            <w:tcW w:w="1431" w:type="dxa"/>
            <w:noWrap/>
            <w:vAlign w:val="bottom"/>
            <w:hideMark/>
          </w:tcPr>
          <w:p w14:paraId="64ADFBBA"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9.8</w:t>
            </w:r>
          </w:p>
        </w:tc>
        <w:tc>
          <w:tcPr>
            <w:tcW w:w="1580" w:type="dxa"/>
            <w:noWrap/>
            <w:vAlign w:val="bottom"/>
            <w:hideMark/>
          </w:tcPr>
          <w:p w14:paraId="019EF45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4.8</w:t>
            </w:r>
          </w:p>
        </w:tc>
        <w:tc>
          <w:tcPr>
            <w:tcW w:w="1165" w:type="dxa"/>
            <w:noWrap/>
            <w:vAlign w:val="bottom"/>
            <w:hideMark/>
          </w:tcPr>
          <w:p w14:paraId="4A0FE141"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5.8E-08</w:t>
            </w:r>
          </w:p>
        </w:tc>
      </w:tr>
      <w:tr w:rsidR="002E10C8" w:rsidRPr="00F335A0" w14:paraId="4455FDC8" w14:textId="77777777" w:rsidTr="00980066">
        <w:trPr>
          <w:trHeight w:val="289"/>
        </w:trPr>
        <w:tc>
          <w:tcPr>
            <w:tcW w:w="991" w:type="dxa"/>
            <w:noWrap/>
            <w:vAlign w:val="bottom"/>
            <w:hideMark/>
          </w:tcPr>
          <w:p w14:paraId="0ACAA95C"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Cr</w:t>
            </w:r>
          </w:p>
        </w:tc>
        <w:tc>
          <w:tcPr>
            <w:tcW w:w="1056" w:type="dxa"/>
            <w:noWrap/>
            <w:vAlign w:val="bottom"/>
            <w:hideMark/>
          </w:tcPr>
          <w:p w14:paraId="1BCFDB4E"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101D119C"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4639521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31.3</w:t>
            </w:r>
          </w:p>
        </w:tc>
        <w:tc>
          <w:tcPr>
            <w:tcW w:w="1247" w:type="dxa"/>
            <w:noWrap/>
            <w:vAlign w:val="bottom"/>
            <w:hideMark/>
          </w:tcPr>
          <w:p w14:paraId="200EC34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31.5</w:t>
            </w:r>
          </w:p>
        </w:tc>
        <w:tc>
          <w:tcPr>
            <w:tcW w:w="1431" w:type="dxa"/>
            <w:noWrap/>
            <w:vAlign w:val="bottom"/>
            <w:hideMark/>
          </w:tcPr>
          <w:p w14:paraId="71653CFF"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11.0</w:t>
            </w:r>
          </w:p>
        </w:tc>
        <w:tc>
          <w:tcPr>
            <w:tcW w:w="1580" w:type="dxa"/>
            <w:noWrap/>
            <w:vAlign w:val="bottom"/>
            <w:hideMark/>
          </w:tcPr>
          <w:p w14:paraId="53E1FF2B"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8.4</w:t>
            </w:r>
          </w:p>
        </w:tc>
        <w:tc>
          <w:tcPr>
            <w:tcW w:w="1165" w:type="dxa"/>
            <w:noWrap/>
            <w:vAlign w:val="bottom"/>
            <w:hideMark/>
          </w:tcPr>
          <w:p w14:paraId="2006EA44"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1.7E-05</w:t>
            </w:r>
          </w:p>
        </w:tc>
      </w:tr>
      <w:tr w:rsidR="002E10C8" w:rsidRPr="00F335A0" w14:paraId="70A9A2E3" w14:textId="77777777" w:rsidTr="00980066">
        <w:trPr>
          <w:trHeight w:val="289"/>
        </w:trPr>
        <w:tc>
          <w:tcPr>
            <w:tcW w:w="991" w:type="dxa"/>
            <w:noWrap/>
            <w:vAlign w:val="bottom"/>
            <w:hideMark/>
          </w:tcPr>
          <w:p w14:paraId="31F5BBA5"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Cu</w:t>
            </w:r>
          </w:p>
        </w:tc>
        <w:tc>
          <w:tcPr>
            <w:tcW w:w="1056" w:type="dxa"/>
            <w:noWrap/>
            <w:vAlign w:val="bottom"/>
            <w:hideMark/>
          </w:tcPr>
          <w:p w14:paraId="3B2C888D"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367F5A5F"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4EBABD7C"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22.3</w:t>
            </w:r>
          </w:p>
        </w:tc>
        <w:tc>
          <w:tcPr>
            <w:tcW w:w="1247" w:type="dxa"/>
            <w:noWrap/>
            <w:vAlign w:val="bottom"/>
            <w:hideMark/>
          </w:tcPr>
          <w:p w14:paraId="6D04291E"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15.5</w:t>
            </w:r>
          </w:p>
        </w:tc>
        <w:tc>
          <w:tcPr>
            <w:tcW w:w="1431" w:type="dxa"/>
            <w:noWrap/>
            <w:vAlign w:val="bottom"/>
            <w:hideMark/>
          </w:tcPr>
          <w:p w14:paraId="53AA536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56.4</w:t>
            </w:r>
          </w:p>
        </w:tc>
        <w:tc>
          <w:tcPr>
            <w:tcW w:w="1580" w:type="dxa"/>
            <w:noWrap/>
            <w:vAlign w:val="bottom"/>
            <w:hideMark/>
          </w:tcPr>
          <w:p w14:paraId="484E07F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31.3</w:t>
            </w:r>
          </w:p>
        </w:tc>
        <w:tc>
          <w:tcPr>
            <w:tcW w:w="1165" w:type="dxa"/>
            <w:noWrap/>
            <w:vAlign w:val="bottom"/>
            <w:hideMark/>
          </w:tcPr>
          <w:p w14:paraId="749419AB"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9.7E-02</w:t>
            </w:r>
          </w:p>
        </w:tc>
      </w:tr>
      <w:tr w:rsidR="002E10C8" w:rsidRPr="00F335A0" w14:paraId="26AC3BFA" w14:textId="77777777" w:rsidTr="00980066">
        <w:trPr>
          <w:trHeight w:val="289"/>
        </w:trPr>
        <w:tc>
          <w:tcPr>
            <w:tcW w:w="991" w:type="dxa"/>
            <w:noWrap/>
            <w:vAlign w:val="bottom"/>
            <w:hideMark/>
          </w:tcPr>
          <w:p w14:paraId="36DAE2B7"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Ni</w:t>
            </w:r>
          </w:p>
        </w:tc>
        <w:tc>
          <w:tcPr>
            <w:tcW w:w="1056" w:type="dxa"/>
            <w:noWrap/>
            <w:vAlign w:val="bottom"/>
            <w:hideMark/>
          </w:tcPr>
          <w:p w14:paraId="063850E3"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3983D61A"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11B981C8"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12.0</w:t>
            </w:r>
          </w:p>
        </w:tc>
        <w:tc>
          <w:tcPr>
            <w:tcW w:w="1247" w:type="dxa"/>
            <w:noWrap/>
            <w:vAlign w:val="bottom"/>
            <w:hideMark/>
          </w:tcPr>
          <w:p w14:paraId="14B4A36F"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8.5</w:t>
            </w:r>
          </w:p>
        </w:tc>
        <w:tc>
          <w:tcPr>
            <w:tcW w:w="1431" w:type="dxa"/>
            <w:noWrap/>
            <w:vAlign w:val="bottom"/>
            <w:hideMark/>
          </w:tcPr>
          <w:p w14:paraId="70EEA1A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12.0</w:t>
            </w:r>
          </w:p>
        </w:tc>
        <w:tc>
          <w:tcPr>
            <w:tcW w:w="1580" w:type="dxa"/>
            <w:noWrap/>
            <w:vAlign w:val="bottom"/>
            <w:hideMark/>
          </w:tcPr>
          <w:p w14:paraId="0DBB8232"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7.7</w:t>
            </w:r>
          </w:p>
        </w:tc>
        <w:tc>
          <w:tcPr>
            <w:tcW w:w="1165" w:type="dxa"/>
            <w:noWrap/>
            <w:vAlign w:val="bottom"/>
            <w:hideMark/>
          </w:tcPr>
          <w:p w14:paraId="6D7E706F"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3.8E-01</w:t>
            </w:r>
          </w:p>
        </w:tc>
      </w:tr>
      <w:tr w:rsidR="002E10C8" w:rsidRPr="00F335A0" w14:paraId="32A0969B" w14:textId="77777777" w:rsidTr="00980066">
        <w:trPr>
          <w:trHeight w:val="289"/>
        </w:trPr>
        <w:tc>
          <w:tcPr>
            <w:tcW w:w="991" w:type="dxa"/>
            <w:noWrap/>
            <w:vAlign w:val="bottom"/>
            <w:hideMark/>
          </w:tcPr>
          <w:p w14:paraId="38859DCB"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Pb</w:t>
            </w:r>
          </w:p>
        </w:tc>
        <w:tc>
          <w:tcPr>
            <w:tcW w:w="1056" w:type="dxa"/>
            <w:noWrap/>
            <w:vAlign w:val="bottom"/>
            <w:hideMark/>
          </w:tcPr>
          <w:p w14:paraId="7903428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0D1BD6FD"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0013665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299.9</w:t>
            </w:r>
          </w:p>
        </w:tc>
        <w:tc>
          <w:tcPr>
            <w:tcW w:w="1247" w:type="dxa"/>
            <w:noWrap/>
            <w:vAlign w:val="bottom"/>
            <w:hideMark/>
          </w:tcPr>
          <w:p w14:paraId="034963C2"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118.5</w:t>
            </w:r>
          </w:p>
        </w:tc>
        <w:tc>
          <w:tcPr>
            <w:tcW w:w="1431" w:type="dxa"/>
            <w:noWrap/>
            <w:vAlign w:val="bottom"/>
            <w:hideMark/>
          </w:tcPr>
          <w:p w14:paraId="3184C8A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600.7</w:t>
            </w:r>
          </w:p>
        </w:tc>
        <w:tc>
          <w:tcPr>
            <w:tcW w:w="1580" w:type="dxa"/>
            <w:noWrap/>
            <w:vAlign w:val="bottom"/>
            <w:hideMark/>
          </w:tcPr>
          <w:p w14:paraId="4E1227CB"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270.0</w:t>
            </w:r>
          </w:p>
        </w:tc>
        <w:tc>
          <w:tcPr>
            <w:tcW w:w="1165" w:type="dxa"/>
            <w:noWrap/>
            <w:vAlign w:val="bottom"/>
            <w:hideMark/>
          </w:tcPr>
          <w:p w14:paraId="298D73CF"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9.7E-02</w:t>
            </w:r>
          </w:p>
        </w:tc>
      </w:tr>
      <w:tr w:rsidR="002E10C8" w:rsidRPr="00F335A0" w14:paraId="5C21F532" w14:textId="77777777" w:rsidTr="00980066">
        <w:trPr>
          <w:trHeight w:val="289"/>
        </w:trPr>
        <w:tc>
          <w:tcPr>
            <w:tcW w:w="991" w:type="dxa"/>
            <w:noWrap/>
            <w:vAlign w:val="bottom"/>
            <w:hideMark/>
          </w:tcPr>
          <w:p w14:paraId="55BE79F2"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Sb</w:t>
            </w:r>
          </w:p>
        </w:tc>
        <w:tc>
          <w:tcPr>
            <w:tcW w:w="1056" w:type="dxa"/>
            <w:noWrap/>
            <w:vAlign w:val="bottom"/>
            <w:hideMark/>
          </w:tcPr>
          <w:p w14:paraId="0759174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7FDDC006"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42</w:t>
            </w:r>
          </w:p>
        </w:tc>
        <w:tc>
          <w:tcPr>
            <w:tcW w:w="949" w:type="dxa"/>
            <w:noWrap/>
            <w:vAlign w:val="bottom"/>
            <w:hideMark/>
          </w:tcPr>
          <w:p w14:paraId="791C94D8"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7.0</w:t>
            </w:r>
          </w:p>
        </w:tc>
        <w:tc>
          <w:tcPr>
            <w:tcW w:w="1247" w:type="dxa"/>
            <w:noWrap/>
            <w:vAlign w:val="bottom"/>
            <w:hideMark/>
          </w:tcPr>
          <w:p w14:paraId="58872D9C"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2.2</w:t>
            </w:r>
          </w:p>
        </w:tc>
        <w:tc>
          <w:tcPr>
            <w:tcW w:w="1431" w:type="dxa"/>
            <w:noWrap/>
            <w:vAlign w:val="bottom"/>
            <w:hideMark/>
          </w:tcPr>
          <w:p w14:paraId="54ED9F59"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9.9</w:t>
            </w:r>
          </w:p>
        </w:tc>
        <w:tc>
          <w:tcPr>
            <w:tcW w:w="1580" w:type="dxa"/>
            <w:noWrap/>
            <w:vAlign w:val="bottom"/>
            <w:hideMark/>
          </w:tcPr>
          <w:p w14:paraId="3B0705D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5.9</w:t>
            </w:r>
          </w:p>
        </w:tc>
        <w:tc>
          <w:tcPr>
            <w:tcW w:w="1165" w:type="dxa"/>
            <w:noWrap/>
            <w:vAlign w:val="bottom"/>
            <w:hideMark/>
          </w:tcPr>
          <w:p w14:paraId="17777075"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1.3E-01</w:t>
            </w:r>
          </w:p>
        </w:tc>
      </w:tr>
      <w:tr w:rsidR="002E10C8" w:rsidRPr="00F335A0" w14:paraId="7641372C" w14:textId="77777777" w:rsidTr="00980066">
        <w:trPr>
          <w:trHeight w:val="289"/>
        </w:trPr>
        <w:tc>
          <w:tcPr>
            <w:tcW w:w="991" w:type="dxa"/>
            <w:noWrap/>
            <w:vAlign w:val="bottom"/>
            <w:hideMark/>
          </w:tcPr>
          <w:p w14:paraId="1DC85DF3"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V</w:t>
            </w:r>
          </w:p>
        </w:tc>
        <w:tc>
          <w:tcPr>
            <w:tcW w:w="1056" w:type="dxa"/>
            <w:noWrap/>
            <w:vAlign w:val="bottom"/>
            <w:hideMark/>
          </w:tcPr>
          <w:p w14:paraId="2AC9048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7CBE787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42</w:t>
            </w:r>
          </w:p>
        </w:tc>
        <w:tc>
          <w:tcPr>
            <w:tcW w:w="949" w:type="dxa"/>
            <w:noWrap/>
            <w:vAlign w:val="bottom"/>
            <w:hideMark/>
          </w:tcPr>
          <w:p w14:paraId="321F6E0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47.2</w:t>
            </w:r>
          </w:p>
        </w:tc>
        <w:tc>
          <w:tcPr>
            <w:tcW w:w="1247" w:type="dxa"/>
            <w:noWrap/>
            <w:vAlign w:val="bottom"/>
            <w:hideMark/>
          </w:tcPr>
          <w:p w14:paraId="7ACBE604"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43.5</w:t>
            </w:r>
          </w:p>
        </w:tc>
        <w:tc>
          <w:tcPr>
            <w:tcW w:w="1431" w:type="dxa"/>
            <w:noWrap/>
            <w:vAlign w:val="bottom"/>
            <w:hideMark/>
          </w:tcPr>
          <w:p w14:paraId="7B44167E"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13.7</w:t>
            </w:r>
          </w:p>
        </w:tc>
        <w:tc>
          <w:tcPr>
            <w:tcW w:w="1580" w:type="dxa"/>
            <w:noWrap/>
            <w:vAlign w:val="bottom"/>
            <w:hideMark/>
          </w:tcPr>
          <w:p w14:paraId="7E1FE777"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10.0</w:t>
            </w:r>
          </w:p>
        </w:tc>
        <w:tc>
          <w:tcPr>
            <w:tcW w:w="1165" w:type="dxa"/>
            <w:noWrap/>
            <w:vAlign w:val="bottom"/>
            <w:hideMark/>
          </w:tcPr>
          <w:p w14:paraId="28FFBEA3"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4.6E-06</w:t>
            </w:r>
          </w:p>
        </w:tc>
      </w:tr>
      <w:tr w:rsidR="002E10C8" w:rsidRPr="00F335A0" w14:paraId="1945639E" w14:textId="77777777" w:rsidTr="00980066">
        <w:trPr>
          <w:trHeight w:val="289"/>
        </w:trPr>
        <w:tc>
          <w:tcPr>
            <w:tcW w:w="991" w:type="dxa"/>
            <w:noWrap/>
            <w:vAlign w:val="bottom"/>
            <w:hideMark/>
          </w:tcPr>
          <w:p w14:paraId="3EEE8985" w14:textId="77777777" w:rsidR="002E10C8" w:rsidRPr="00F335A0" w:rsidRDefault="002E10C8" w:rsidP="00980066">
            <w:pPr>
              <w:spacing w:after="0" w:line="360" w:lineRule="auto"/>
              <w:jc w:val="both"/>
              <w:rPr>
                <w:rFonts w:ascii="Arial" w:hAnsi="Arial" w:cs="Arial"/>
                <w:b/>
                <w:bCs/>
                <w:sz w:val="20"/>
                <w:szCs w:val="20"/>
              </w:rPr>
            </w:pPr>
            <w:r w:rsidRPr="00F335A0">
              <w:rPr>
                <w:rFonts w:ascii="Arial" w:hAnsi="Arial" w:cs="Arial"/>
                <w:b/>
                <w:bCs/>
                <w:sz w:val="20"/>
                <w:szCs w:val="20"/>
              </w:rPr>
              <w:t>Zn</w:t>
            </w:r>
          </w:p>
        </w:tc>
        <w:tc>
          <w:tcPr>
            <w:tcW w:w="1056" w:type="dxa"/>
            <w:noWrap/>
            <w:vAlign w:val="bottom"/>
            <w:hideMark/>
          </w:tcPr>
          <w:p w14:paraId="601E9AF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26</w:t>
            </w:r>
          </w:p>
        </w:tc>
        <w:tc>
          <w:tcPr>
            <w:tcW w:w="1209" w:type="dxa"/>
            <w:noWrap/>
            <w:vAlign w:val="bottom"/>
            <w:hideMark/>
          </w:tcPr>
          <w:p w14:paraId="112AF169"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55</w:t>
            </w:r>
          </w:p>
        </w:tc>
        <w:tc>
          <w:tcPr>
            <w:tcW w:w="949" w:type="dxa"/>
            <w:noWrap/>
            <w:vAlign w:val="bottom"/>
            <w:hideMark/>
          </w:tcPr>
          <w:p w14:paraId="377C052A"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43.1</w:t>
            </w:r>
          </w:p>
        </w:tc>
        <w:tc>
          <w:tcPr>
            <w:tcW w:w="1247" w:type="dxa"/>
            <w:noWrap/>
            <w:vAlign w:val="bottom"/>
            <w:hideMark/>
          </w:tcPr>
          <w:p w14:paraId="2BDEE2B1"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38.5</w:t>
            </w:r>
          </w:p>
        </w:tc>
        <w:tc>
          <w:tcPr>
            <w:tcW w:w="1431" w:type="dxa"/>
            <w:noWrap/>
            <w:vAlign w:val="bottom"/>
            <w:hideMark/>
          </w:tcPr>
          <w:p w14:paraId="20AB7040"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99.4</w:t>
            </w:r>
          </w:p>
        </w:tc>
        <w:tc>
          <w:tcPr>
            <w:tcW w:w="1580" w:type="dxa"/>
            <w:noWrap/>
            <w:vAlign w:val="bottom"/>
            <w:hideMark/>
          </w:tcPr>
          <w:p w14:paraId="6BFE19D2"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37.1</w:t>
            </w:r>
          </w:p>
        </w:tc>
        <w:tc>
          <w:tcPr>
            <w:tcW w:w="1165" w:type="dxa"/>
            <w:noWrap/>
            <w:vAlign w:val="bottom"/>
            <w:hideMark/>
          </w:tcPr>
          <w:p w14:paraId="0E316D93" w14:textId="77777777" w:rsidR="002E10C8" w:rsidRPr="00F335A0" w:rsidRDefault="002E10C8" w:rsidP="00980066">
            <w:pPr>
              <w:spacing w:after="0" w:line="360" w:lineRule="auto"/>
              <w:jc w:val="both"/>
              <w:rPr>
                <w:rFonts w:ascii="Arial" w:hAnsi="Arial" w:cs="Arial"/>
                <w:sz w:val="20"/>
                <w:szCs w:val="20"/>
              </w:rPr>
            </w:pPr>
            <w:r w:rsidRPr="00F335A0">
              <w:rPr>
                <w:rFonts w:ascii="Arial" w:hAnsi="Arial" w:cs="Arial"/>
                <w:sz w:val="20"/>
                <w:szCs w:val="20"/>
              </w:rPr>
              <w:t>7.9E-01</w:t>
            </w:r>
          </w:p>
        </w:tc>
      </w:tr>
    </w:tbl>
    <w:p w14:paraId="160B5541" w14:textId="77777777" w:rsidR="002E10C8" w:rsidRPr="007F7DA0" w:rsidRDefault="002E10C8" w:rsidP="002E10C8">
      <w:pPr>
        <w:spacing w:line="360" w:lineRule="auto"/>
        <w:jc w:val="both"/>
        <w:rPr>
          <w:rFonts w:ascii="Arial" w:hAnsi="Arial" w:cs="Arial"/>
        </w:rPr>
      </w:pPr>
    </w:p>
    <w:p w14:paraId="1C9BC7B9" w14:textId="2B20A0F9" w:rsidR="007F7DA0" w:rsidRDefault="007F7DA0" w:rsidP="007F7DA0">
      <w:pPr>
        <w:pStyle w:val="Paragrafoelenco"/>
        <w:spacing w:line="360" w:lineRule="auto"/>
        <w:jc w:val="both"/>
        <w:rPr>
          <w:rFonts w:ascii="Arial" w:hAnsi="Arial" w:cs="Arial"/>
        </w:rPr>
      </w:pPr>
    </w:p>
    <w:p w14:paraId="4EF2A644" w14:textId="77777777" w:rsidR="00907480" w:rsidRDefault="00907480" w:rsidP="00B0195E">
      <w:pPr>
        <w:pStyle w:val="Paragrafoelenco"/>
        <w:numPr>
          <w:ilvl w:val="0"/>
          <w:numId w:val="4"/>
        </w:numPr>
        <w:rPr>
          <w:rFonts w:ascii="Arial" w:hAnsi="Arial" w:cs="Arial"/>
          <w:b/>
          <w:bCs/>
        </w:rPr>
      </w:pPr>
      <w:r w:rsidRPr="00907480">
        <w:rPr>
          <w:rFonts w:ascii="Arial" w:hAnsi="Arial" w:cs="Arial"/>
          <w:b/>
          <w:bCs/>
        </w:rPr>
        <w:lastRenderedPageBreak/>
        <w:t>Mineralogical analyses</w:t>
      </w:r>
    </w:p>
    <w:p w14:paraId="66EABF00" w14:textId="7CC0F3DB" w:rsidR="008216FC" w:rsidRPr="004547A5" w:rsidRDefault="00907480" w:rsidP="008216FC">
      <w:pPr>
        <w:keepNext/>
        <w:spacing w:line="360" w:lineRule="auto"/>
        <w:jc w:val="both"/>
        <w:rPr>
          <w:lang w:val="en-GB"/>
        </w:rPr>
      </w:pPr>
      <w:r w:rsidRPr="00907480">
        <w:rPr>
          <w:rFonts w:ascii="Arial" w:hAnsi="Arial" w:cs="Arial"/>
          <w:lang w:val="en-GB"/>
        </w:rPr>
        <w:t>SEM-EDS analyses</w:t>
      </w:r>
      <w:r>
        <w:rPr>
          <w:rFonts w:ascii="Arial" w:hAnsi="Arial" w:cs="Arial"/>
          <w:lang w:val="en-GB"/>
        </w:rPr>
        <w:t xml:space="preserve"> </w:t>
      </w:r>
      <w:r w:rsidRPr="00907480">
        <w:rPr>
          <w:rFonts w:ascii="Arial" w:hAnsi="Arial" w:cs="Arial"/>
          <w:lang w:val="en-GB"/>
        </w:rPr>
        <w:t>revealed</w:t>
      </w:r>
      <w:r>
        <w:rPr>
          <w:rFonts w:ascii="Arial" w:hAnsi="Arial" w:cs="Arial"/>
          <w:lang w:val="en-GB"/>
        </w:rPr>
        <w:t xml:space="preserve"> (</w:t>
      </w:r>
      <w:bookmarkStart w:id="0" w:name="_Hlk218523623"/>
      <w:r>
        <w:rPr>
          <w:rFonts w:ascii="Arial" w:hAnsi="Arial" w:cs="Arial"/>
          <w:lang w:val="en-GB"/>
        </w:rPr>
        <w:t>Fig</w:t>
      </w:r>
      <w:r w:rsidR="007F3F44">
        <w:rPr>
          <w:rFonts w:ascii="Arial" w:hAnsi="Arial" w:cs="Arial"/>
          <w:lang w:val="en-GB"/>
        </w:rPr>
        <w:t>.</w:t>
      </w:r>
      <w:r>
        <w:rPr>
          <w:rFonts w:ascii="Arial" w:hAnsi="Arial" w:cs="Arial"/>
          <w:lang w:val="en-GB"/>
        </w:rPr>
        <w:t xml:space="preserve"> S1</w:t>
      </w:r>
      <w:bookmarkEnd w:id="0"/>
      <w:r>
        <w:rPr>
          <w:rFonts w:ascii="Arial" w:hAnsi="Arial" w:cs="Arial"/>
          <w:lang w:val="en-GB"/>
        </w:rPr>
        <w:t>)</w:t>
      </w:r>
      <w:r w:rsidRPr="00907480">
        <w:rPr>
          <w:rFonts w:ascii="Arial" w:hAnsi="Arial" w:cs="Arial"/>
          <w:lang w:val="en-GB"/>
        </w:rPr>
        <w:t>: (</w:t>
      </w:r>
      <w:r w:rsidR="00182245">
        <w:rPr>
          <w:rFonts w:ascii="Arial" w:hAnsi="Arial" w:cs="Arial"/>
          <w:lang w:val="en-GB"/>
        </w:rPr>
        <w:t>a</w:t>
      </w:r>
      <w:r w:rsidRPr="00907480">
        <w:rPr>
          <w:rFonts w:ascii="Arial" w:hAnsi="Arial" w:cs="Arial"/>
          <w:lang w:val="en-GB"/>
        </w:rPr>
        <w:t>) Monazite-(Ce</w:t>
      </w:r>
      <w:r>
        <w:rPr>
          <w:rFonts w:ascii="Arial" w:hAnsi="Arial" w:cs="Arial"/>
          <w:lang w:val="en-GB"/>
        </w:rPr>
        <w:t>)</w:t>
      </w:r>
      <w:r w:rsidRPr="00907480">
        <w:rPr>
          <w:rFonts w:ascii="Arial" w:hAnsi="Arial" w:cs="Arial"/>
          <w:lang w:val="en-GB"/>
        </w:rPr>
        <w:t>, in granules ranging in size from approximately 60 to 180 µm.</w:t>
      </w:r>
      <w:r w:rsidR="00182245" w:rsidRPr="00182245">
        <w:rPr>
          <w:rFonts w:ascii="Arial" w:hAnsi="Arial" w:cs="Arial"/>
          <w:lang w:val="en-GB"/>
        </w:rPr>
        <w:t xml:space="preserve"> </w:t>
      </w:r>
      <w:r w:rsidR="00182245" w:rsidRPr="00907480">
        <w:rPr>
          <w:rFonts w:ascii="Arial" w:hAnsi="Arial" w:cs="Arial"/>
          <w:lang w:val="en-GB"/>
        </w:rPr>
        <w:t>In some cases, traces of</w:t>
      </w:r>
      <w:r w:rsidR="00182245">
        <w:rPr>
          <w:rFonts w:ascii="Arial" w:hAnsi="Arial" w:cs="Arial"/>
          <w:lang w:val="en-GB"/>
        </w:rPr>
        <w:t xml:space="preserve"> (b</w:t>
      </w:r>
      <w:r w:rsidR="00182245" w:rsidRPr="00907480">
        <w:rPr>
          <w:rFonts w:ascii="Arial" w:hAnsi="Arial" w:cs="Arial"/>
          <w:lang w:val="en-GB"/>
        </w:rPr>
        <w:t>) ilmenite.</w:t>
      </w:r>
      <w:r w:rsidRPr="00907480">
        <w:rPr>
          <w:rFonts w:ascii="Arial" w:hAnsi="Arial" w:cs="Arial"/>
          <w:lang w:val="en-GB"/>
        </w:rPr>
        <w:t xml:space="preserve"> Traces of residual (</w:t>
      </w:r>
      <w:r w:rsidR="00182245">
        <w:rPr>
          <w:rFonts w:ascii="Arial" w:hAnsi="Arial" w:cs="Arial"/>
          <w:lang w:val="en-GB"/>
        </w:rPr>
        <w:t>c)</w:t>
      </w:r>
      <w:r w:rsidRPr="00907480">
        <w:rPr>
          <w:rFonts w:ascii="Arial" w:hAnsi="Arial" w:cs="Arial"/>
          <w:lang w:val="en-GB"/>
        </w:rPr>
        <w:t xml:space="preserve"> arsenopyrite </w:t>
      </w:r>
      <w:r w:rsidRPr="00907480">
        <w:rPr>
          <w:rFonts w:ascii="Arial" w:hAnsi="Arial" w:cs="Arial"/>
          <w:lang w:val="en-GB"/>
        </w:rPr>
        <w:lastRenderedPageBreak/>
        <w:t xml:space="preserve">and </w:t>
      </w:r>
      <w:r>
        <w:rPr>
          <w:rFonts w:ascii="Arial" w:hAnsi="Arial" w:cs="Arial"/>
          <w:lang w:val="en-GB"/>
        </w:rPr>
        <w:t>(</w:t>
      </w:r>
      <w:r w:rsidR="00182245">
        <w:rPr>
          <w:rFonts w:ascii="Arial" w:hAnsi="Arial" w:cs="Arial"/>
          <w:lang w:val="en-GB"/>
        </w:rPr>
        <w:t>d</w:t>
      </w:r>
      <w:r>
        <w:rPr>
          <w:rFonts w:ascii="Arial" w:hAnsi="Arial" w:cs="Arial"/>
          <w:lang w:val="en-GB"/>
        </w:rPr>
        <w:t xml:space="preserve">) </w:t>
      </w:r>
      <w:r w:rsidRPr="00907480">
        <w:rPr>
          <w:rFonts w:ascii="Arial" w:hAnsi="Arial" w:cs="Arial"/>
          <w:lang w:val="en-GB"/>
        </w:rPr>
        <w:t xml:space="preserve">pyrite. Traces of </w:t>
      </w:r>
      <w:r>
        <w:rPr>
          <w:rFonts w:ascii="Arial" w:hAnsi="Arial" w:cs="Arial"/>
          <w:lang w:val="en-GB"/>
        </w:rPr>
        <w:t>(</w:t>
      </w:r>
      <w:r w:rsidR="00182245">
        <w:rPr>
          <w:rFonts w:ascii="Arial" w:hAnsi="Arial" w:cs="Arial"/>
          <w:lang w:val="en-GB"/>
        </w:rPr>
        <w:t>e</w:t>
      </w:r>
      <w:r>
        <w:rPr>
          <w:rFonts w:ascii="Arial" w:hAnsi="Arial" w:cs="Arial"/>
          <w:lang w:val="en-GB"/>
        </w:rPr>
        <w:t xml:space="preserve">) </w:t>
      </w:r>
      <w:r w:rsidRPr="00907480">
        <w:rPr>
          <w:rFonts w:ascii="Arial" w:hAnsi="Arial" w:cs="Arial"/>
          <w:lang w:val="en-GB"/>
        </w:rPr>
        <w:t xml:space="preserve">zircon and </w:t>
      </w:r>
      <w:r>
        <w:rPr>
          <w:rFonts w:ascii="Arial" w:hAnsi="Arial" w:cs="Arial"/>
          <w:lang w:val="en-GB"/>
        </w:rPr>
        <w:t>(</w:t>
      </w:r>
      <w:r w:rsidR="00182245">
        <w:rPr>
          <w:rFonts w:ascii="Arial" w:hAnsi="Arial" w:cs="Arial"/>
          <w:lang w:val="en-GB"/>
        </w:rPr>
        <w:t>f</w:t>
      </w:r>
      <w:r>
        <w:rPr>
          <w:rFonts w:ascii="Arial" w:hAnsi="Arial" w:cs="Arial"/>
          <w:lang w:val="en-GB"/>
        </w:rPr>
        <w:t xml:space="preserve">) </w:t>
      </w:r>
      <w:r w:rsidRPr="00907480">
        <w:rPr>
          <w:rFonts w:ascii="Arial" w:hAnsi="Arial" w:cs="Arial"/>
          <w:lang w:val="en-GB"/>
        </w:rPr>
        <w:t xml:space="preserve">barite. </w:t>
      </w:r>
      <w:r w:rsidR="008216FC">
        <w:rPr>
          <w:rFonts w:ascii="Arial" w:hAnsi="Arial" w:cs="Arial"/>
          <w:noProof/>
          <w:lang w:val="en-GB"/>
        </w:rPr>
        <w:drawing>
          <wp:inline distT="0" distB="0" distL="0" distR="0" wp14:anchorId="15538607" wp14:editId="0FD70050">
            <wp:extent cx="4821429" cy="7983067"/>
            <wp:effectExtent l="0" t="0" r="0" b="0"/>
            <wp:docPr id="384084829" name="Immagine 19" descr="Immagine che contiene schermata, bianco e nero, natura, monocromat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84829" name="Immagine 19" descr="Immagine che contiene schermata, bianco e nero, natura, monocromatic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21429" cy="7983067"/>
                    </a:xfrm>
                    <a:prstGeom prst="rect">
                      <a:avLst/>
                    </a:prstGeom>
                  </pic:spPr>
                </pic:pic>
              </a:graphicData>
            </a:graphic>
          </wp:inline>
        </w:drawing>
      </w:r>
    </w:p>
    <w:p w14:paraId="1D28346A" w14:textId="75B9D0DA" w:rsidR="00907480" w:rsidRPr="00907480" w:rsidRDefault="008216FC" w:rsidP="008216FC">
      <w:pPr>
        <w:pStyle w:val="Didascalia"/>
        <w:jc w:val="both"/>
        <w:rPr>
          <w:rFonts w:ascii="Arial" w:hAnsi="Arial" w:cs="Arial"/>
        </w:rPr>
      </w:pPr>
      <w:r w:rsidRPr="007F3F44">
        <w:rPr>
          <w:b/>
          <w:bCs/>
        </w:rPr>
        <w:t>Fig</w:t>
      </w:r>
      <w:r w:rsidR="007F3F44" w:rsidRPr="007F3F44">
        <w:rPr>
          <w:b/>
          <w:bCs/>
        </w:rPr>
        <w:t>.</w:t>
      </w:r>
      <w:r w:rsidRPr="007F3F44">
        <w:rPr>
          <w:b/>
          <w:bCs/>
        </w:rPr>
        <w:t xml:space="preserve"> </w:t>
      </w:r>
      <w:r w:rsidR="002E10C8" w:rsidRPr="007F3F44">
        <w:rPr>
          <w:b/>
          <w:bCs/>
        </w:rPr>
        <w:t>S</w:t>
      </w:r>
      <w:r w:rsidR="00B0195E">
        <w:rPr>
          <w:b/>
          <w:bCs/>
        </w:rPr>
        <w:t>3</w:t>
      </w:r>
      <w:r w:rsidR="00B0195E">
        <w:t xml:space="preserve"> </w:t>
      </w:r>
      <w:r w:rsidR="00B0195E" w:rsidRPr="00926B26">
        <w:t>SEM</w:t>
      </w:r>
      <w:r w:rsidRPr="00926B26">
        <w:t>-EDS images of: (a) Monazite-(Ce); (b) ilmenite; (c) arsenopyrite; (d) pyrite; (e) zircon; (f) barite</w:t>
      </w:r>
    </w:p>
    <w:p w14:paraId="5AE48D19" w14:textId="0DDC99B4" w:rsidR="00907480" w:rsidRPr="00907480" w:rsidRDefault="00907480" w:rsidP="00907480">
      <w:pPr>
        <w:spacing w:line="360" w:lineRule="auto"/>
        <w:jc w:val="both"/>
        <w:rPr>
          <w:rFonts w:ascii="Arial" w:hAnsi="Arial" w:cs="Arial"/>
          <w:color w:val="0070C0"/>
          <w:lang w:val="en-GB"/>
        </w:rPr>
      </w:pPr>
    </w:p>
    <w:p w14:paraId="4AD8B076" w14:textId="1C5DAAE4" w:rsidR="00F40150" w:rsidRPr="00F40150" w:rsidRDefault="00025515" w:rsidP="00F40150">
      <w:pPr>
        <w:pStyle w:val="Paragrafoelenco"/>
        <w:numPr>
          <w:ilvl w:val="0"/>
          <w:numId w:val="4"/>
        </w:numPr>
        <w:rPr>
          <w:b/>
          <w:bCs/>
          <w:lang w:val="en-GB"/>
        </w:rPr>
      </w:pPr>
      <w:r w:rsidRPr="00B0195E">
        <w:rPr>
          <w:rFonts w:ascii="Arial" w:hAnsi="Arial" w:cs="Arial"/>
          <w:b/>
          <w:bCs/>
          <w:lang w:val="en-GB"/>
        </w:rPr>
        <w:lastRenderedPageBreak/>
        <w:t xml:space="preserve">Environmental impacts </w:t>
      </w:r>
      <w:r w:rsidR="008A5B2C" w:rsidRPr="00B0195E">
        <w:rPr>
          <w:rFonts w:ascii="Arial" w:hAnsi="Arial" w:cs="Arial"/>
          <w:b/>
          <w:bCs/>
          <w:lang w:val="en-GB"/>
        </w:rPr>
        <w:t>on sediment samples</w:t>
      </w:r>
      <w:r w:rsidR="005C525A" w:rsidRPr="00B0195E">
        <w:rPr>
          <w:rFonts w:ascii="Arial" w:hAnsi="Arial" w:cs="Arial"/>
          <w:b/>
          <w:bCs/>
          <w:lang w:val="en-GB"/>
        </w:rPr>
        <w:fldChar w:fldCharType="begin"/>
      </w:r>
      <w:r w:rsidR="005C525A" w:rsidRPr="00B0195E">
        <w:rPr>
          <w:rFonts w:ascii="Arial" w:hAnsi="Arial" w:cs="Arial"/>
          <w:b/>
          <w:bCs/>
          <w:lang w:val="en-GB"/>
        </w:rPr>
        <w:instrText xml:space="preserve"> LINK </w:instrText>
      </w:r>
      <w:r w:rsidR="00C82B20">
        <w:rPr>
          <w:rFonts w:ascii="Arial" w:hAnsi="Arial" w:cs="Arial"/>
          <w:b/>
          <w:bCs/>
          <w:lang w:val="en-GB"/>
        </w:rPr>
        <w:instrText xml:space="preserve">Excel.Sheet.12 C:\\Dati\\PhD\\1anno\\mining_waste\\geochimica_scenari.xlsx sedimenti!R38C20:R47C35 </w:instrText>
      </w:r>
      <w:r w:rsidR="005C525A" w:rsidRPr="00B0195E">
        <w:rPr>
          <w:rFonts w:ascii="Arial" w:hAnsi="Arial" w:cs="Arial"/>
          <w:b/>
          <w:bCs/>
          <w:lang w:val="en-GB"/>
        </w:rPr>
        <w:instrText xml:space="preserve">\a \f 5 \h  \* MERGEFORMAT </w:instrText>
      </w:r>
      <w:r w:rsidR="005C525A" w:rsidRPr="00B0195E">
        <w:rPr>
          <w:rFonts w:ascii="Arial" w:hAnsi="Arial" w:cs="Arial"/>
          <w:b/>
          <w:bCs/>
          <w:lang w:val="en-GB"/>
        </w:rPr>
        <w:fldChar w:fldCharType="separate"/>
      </w:r>
    </w:p>
    <w:tbl>
      <w:tblPr>
        <w:tblStyle w:val="Grigliatabella"/>
        <w:tblW w:w="5064" w:type="pct"/>
        <w:tblLook w:val="04A0" w:firstRow="1" w:lastRow="0" w:firstColumn="1" w:lastColumn="0" w:noHBand="0" w:noVBand="1"/>
      </w:tblPr>
      <w:tblGrid>
        <w:gridCol w:w="907"/>
        <w:gridCol w:w="717"/>
        <w:gridCol w:w="606"/>
        <w:gridCol w:w="550"/>
        <w:gridCol w:w="606"/>
        <w:gridCol w:w="550"/>
        <w:gridCol w:w="606"/>
        <w:gridCol w:w="550"/>
        <w:gridCol w:w="561"/>
        <w:gridCol w:w="562"/>
        <w:gridCol w:w="562"/>
        <w:gridCol w:w="562"/>
        <w:gridCol w:w="562"/>
        <w:gridCol w:w="562"/>
        <w:gridCol w:w="550"/>
        <w:gridCol w:w="12"/>
        <w:gridCol w:w="718"/>
        <w:gridCol w:w="8"/>
      </w:tblGrid>
      <w:tr w:rsidR="00F40150" w:rsidRPr="00F40150" w14:paraId="05C40317" w14:textId="77777777" w:rsidTr="00F40150">
        <w:trPr>
          <w:gridAfter w:val="1"/>
          <w:wAfter w:w="5" w:type="pct"/>
          <w:trHeight w:val="393"/>
        </w:trPr>
        <w:tc>
          <w:tcPr>
            <w:tcW w:w="465" w:type="pct"/>
            <w:vMerge w:val="restart"/>
            <w:noWrap/>
            <w:hideMark/>
          </w:tcPr>
          <w:p w14:paraId="7E532BB7" w14:textId="29E4D554" w:rsidR="00F40150" w:rsidRPr="00F40150" w:rsidRDefault="00F40150" w:rsidP="00F40150">
            <w:pPr>
              <w:spacing w:line="360" w:lineRule="auto"/>
              <w:jc w:val="center"/>
              <w:rPr>
                <w:rFonts w:ascii="Arial" w:hAnsi="Arial" w:cs="Arial"/>
                <w:sz w:val="20"/>
                <w:szCs w:val="20"/>
              </w:rPr>
            </w:pPr>
            <w:r w:rsidRPr="00F40150">
              <w:rPr>
                <w:rFonts w:ascii="Arial" w:hAnsi="Arial" w:cs="Arial"/>
                <w:sz w:val="20"/>
                <w:szCs w:val="20"/>
              </w:rPr>
              <w:t>ID</w:t>
            </w:r>
          </w:p>
        </w:tc>
        <w:tc>
          <w:tcPr>
            <w:tcW w:w="2146" w:type="pct"/>
            <w:gridSpan w:val="7"/>
            <w:noWrap/>
            <w:hideMark/>
          </w:tcPr>
          <w:p w14:paraId="57C10D8E" w14:textId="77777777" w:rsidR="00F40150" w:rsidRPr="00F40150" w:rsidRDefault="00F40150" w:rsidP="00F40150">
            <w:pPr>
              <w:jc w:val="center"/>
              <w:rPr>
                <w:rFonts w:ascii="Arial" w:hAnsi="Arial" w:cs="Arial"/>
              </w:rPr>
            </w:pPr>
            <w:r w:rsidRPr="00F40150">
              <w:rPr>
                <w:rFonts w:ascii="Arial" w:hAnsi="Arial" w:cs="Arial"/>
              </w:rPr>
              <w:t>Igeo</w:t>
            </w:r>
          </w:p>
        </w:tc>
        <w:tc>
          <w:tcPr>
            <w:tcW w:w="2010" w:type="pct"/>
            <w:gridSpan w:val="7"/>
            <w:noWrap/>
            <w:hideMark/>
          </w:tcPr>
          <w:p w14:paraId="2431E704" w14:textId="77777777" w:rsidR="00F40150" w:rsidRPr="00F40150" w:rsidRDefault="00F40150" w:rsidP="00F40150">
            <w:pPr>
              <w:jc w:val="center"/>
              <w:rPr>
                <w:rFonts w:ascii="Arial" w:hAnsi="Arial" w:cs="Arial"/>
              </w:rPr>
            </w:pPr>
            <w:r w:rsidRPr="00F40150">
              <w:rPr>
                <w:rFonts w:ascii="Arial" w:hAnsi="Arial" w:cs="Arial"/>
              </w:rPr>
              <w:t>ERI</w:t>
            </w:r>
          </w:p>
        </w:tc>
        <w:tc>
          <w:tcPr>
            <w:tcW w:w="374" w:type="pct"/>
            <w:gridSpan w:val="2"/>
            <w:vMerge w:val="restart"/>
            <w:noWrap/>
            <w:hideMark/>
          </w:tcPr>
          <w:p w14:paraId="2978438B" w14:textId="77777777" w:rsidR="00F40150" w:rsidRPr="00F40150" w:rsidRDefault="00F40150" w:rsidP="00F40150">
            <w:pPr>
              <w:jc w:val="center"/>
              <w:rPr>
                <w:rFonts w:ascii="Arial" w:hAnsi="Arial" w:cs="Arial"/>
              </w:rPr>
            </w:pPr>
            <w:r w:rsidRPr="00F40150">
              <w:rPr>
                <w:rFonts w:ascii="Arial" w:hAnsi="Arial" w:cs="Arial"/>
              </w:rPr>
              <w:t>PERI</w:t>
            </w:r>
          </w:p>
        </w:tc>
      </w:tr>
      <w:tr w:rsidR="00F40150" w:rsidRPr="00F40150" w14:paraId="4DFA9F17" w14:textId="77777777" w:rsidTr="00F40150">
        <w:trPr>
          <w:trHeight w:val="393"/>
        </w:trPr>
        <w:tc>
          <w:tcPr>
            <w:tcW w:w="465" w:type="pct"/>
            <w:vMerge/>
            <w:hideMark/>
          </w:tcPr>
          <w:p w14:paraId="4BB749CB" w14:textId="77777777" w:rsidR="00F40150" w:rsidRPr="00F40150" w:rsidRDefault="00F40150" w:rsidP="00F40150">
            <w:pPr>
              <w:spacing w:line="360" w:lineRule="auto"/>
              <w:jc w:val="both"/>
              <w:rPr>
                <w:rFonts w:ascii="Arial" w:hAnsi="Arial" w:cs="Arial"/>
                <w:sz w:val="18"/>
                <w:szCs w:val="18"/>
              </w:rPr>
            </w:pPr>
          </w:p>
        </w:tc>
        <w:tc>
          <w:tcPr>
            <w:tcW w:w="368" w:type="pct"/>
            <w:noWrap/>
            <w:hideMark/>
          </w:tcPr>
          <w:p w14:paraId="5196D2AD" w14:textId="77777777" w:rsidR="00F40150" w:rsidRPr="00F40150" w:rsidRDefault="00F40150" w:rsidP="00F40150">
            <w:pPr>
              <w:rPr>
                <w:rFonts w:ascii="Arial" w:hAnsi="Arial" w:cs="Arial"/>
              </w:rPr>
            </w:pPr>
            <w:r w:rsidRPr="00F40150">
              <w:rPr>
                <w:rFonts w:ascii="Arial" w:hAnsi="Arial" w:cs="Arial"/>
              </w:rPr>
              <w:t>As</w:t>
            </w:r>
          </w:p>
        </w:tc>
        <w:tc>
          <w:tcPr>
            <w:tcW w:w="311" w:type="pct"/>
            <w:noWrap/>
            <w:hideMark/>
          </w:tcPr>
          <w:p w14:paraId="221D2033" w14:textId="77777777" w:rsidR="00F40150" w:rsidRPr="00F40150" w:rsidRDefault="00F40150" w:rsidP="00F40150">
            <w:pPr>
              <w:rPr>
                <w:rFonts w:ascii="Arial" w:hAnsi="Arial" w:cs="Arial"/>
              </w:rPr>
            </w:pPr>
            <w:r w:rsidRPr="00F40150">
              <w:rPr>
                <w:rFonts w:ascii="Arial" w:hAnsi="Arial" w:cs="Arial"/>
              </w:rPr>
              <w:t>Co</w:t>
            </w:r>
          </w:p>
        </w:tc>
        <w:tc>
          <w:tcPr>
            <w:tcW w:w="282" w:type="pct"/>
            <w:noWrap/>
            <w:hideMark/>
          </w:tcPr>
          <w:p w14:paraId="526906D7" w14:textId="77777777" w:rsidR="00F40150" w:rsidRPr="00F40150" w:rsidRDefault="00F40150" w:rsidP="00F40150">
            <w:pPr>
              <w:rPr>
                <w:rFonts w:ascii="Arial" w:hAnsi="Arial" w:cs="Arial"/>
              </w:rPr>
            </w:pPr>
            <w:r w:rsidRPr="00F40150">
              <w:rPr>
                <w:rFonts w:ascii="Arial" w:hAnsi="Arial" w:cs="Arial"/>
              </w:rPr>
              <w:t>Cr</w:t>
            </w:r>
          </w:p>
        </w:tc>
        <w:tc>
          <w:tcPr>
            <w:tcW w:w="311" w:type="pct"/>
            <w:noWrap/>
            <w:hideMark/>
          </w:tcPr>
          <w:p w14:paraId="2238366E" w14:textId="77777777" w:rsidR="00F40150" w:rsidRPr="00F40150" w:rsidRDefault="00F40150" w:rsidP="00F40150">
            <w:pPr>
              <w:rPr>
                <w:rFonts w:ascii="Arial" w:hAnsi="Arial" w:cs="Arial"/>
              </w:rPr>
            </w:pPr>
            <w:r w:rsidRPr="00F40150">
              <w:rPr>
                <w:rFonts w:ascii="Arial" w:hAnsi="Arial" w:cs="Arial"/>
              </w:rPr>
              <w:t>Cu</w:t>
            </w:r>
          </w:p>
        </w:tc>
        <w:tc>
          <w:tcPr>
            <w:tcW w:w="282" w:type="pct"/>
            <w:noWrap/>
            <w:hideMark/>
          </w:tcPr>
          <w:p w14:paraId="618CE902" w14:textId="77777777" w:rsidR="00F40150" w:rsidRPr="00F40150" w:rsidRDefault="00F40150" w:rsidP="00F40150">
            <w:pPr>
              <w:rPr>
                <w:rFonts w:ascii="Arial" w:hAnsi="Arial" w:cs="Arial"/>
              </w:rPr>
            </w:pPr>
            <w:r w:rsidRPr="00F40150">
              <w:rPr>
                <w:rFonts w:ascii="Arial" w:hAnsi="Arial" w:cs="Arial"/>
              </w:rPr>
              <w:t>Ni</w:t>
            </w:r>
          </w:p>
        </w:tc>
        <w:tc>
          <w:tcPr>
            <w:tcW w:w="311" w:type="pct"/>
            <w:noWrap/>
            <w:hideMark/>
          </w:tcPr>
          <w:p w14:paraId="75D3E3C4" w14:textId="77777777" w:rsidR="00F40150" w:rsidRPr="00F40150" w:rsidRDefault="00F40150" w:rsidP="00F40150">
            <w:pPr>
              <w:rPr>
                <w:rFonts w:ascii="Arial" w:hAnsi="Arial" w:cs="Arial"/>
              </w:rPr>
            </w:pPr>
            <w:r w:rsidRPr="00F40150">
              <w:rPr>
                <w:rFonts w:ascii="Arial" w:hAnsi="Arial" w:cs="Arial"/>
              </w:rPr>
              <w:t>Pb</w:t>
            </w:r>
          </w:p>
        </w:tc>
        <w:tc>
          <w:tcPr>
            <w:tcW w:w="282" w:type="pct"/>
            <w:noWrap/>
            <w:hideMark/>
          </w:tcPr>
          <w:p w14:paraId="5CD5C193" w14:textId="77777777" w:rsidR="00F40150" w:rsidRPr="00F40150" w:rsidRDefault="00F40150" w:rsidP="00F40150">
            <w:pPr>
              <w:rPr>
                <w:rFonts w:ascii="Arial" w:hAnsi="Arial" w:cs="Arial"/>
              </w:rPr>
            </w:pPr>
            <w:r w:rsidRPr="00F40150">
              <w:rPr>
                <w:rFonts w:ascii="Arial" w:hAnsi="Arial" w:cs="Arial"/>
              </w:rPr>
              <w:t>Zn</w:t>
            </w:r>
          </w:p>
        </w:tc>
        <w:tc>
          <w:tcPr>
            <w:tcW w:w="288" w:type="pct"/>
            <w:noWrap/>
            <w:hideMark/>
          </w:tcPr>
          <w:p w14:paraId="0F70097C" w14:textId="77777777" w:rsidR="00F40150" w:rsidRPr="00F40150" w:rsidRDefault="00F40150" w:rsidP="00F40150">
            <w:pPr>
              <w:rPr>
                <w:rFonts w:ascii="Arial" w:hAnsi="Arial" w:cs="Arial"/>
              </w:rPr>
            </w:pPr>
            <w:r w:rsidRPr="00F40150">
              <w:rPr>
                <w:rFonts w:ascii="Arial" w:hAnsi="Arial" w:cs="Arial"/>
              </w:rPr>
              <w:t>As</w:t>
            </w:r>
          </w:p>
        </w:tc>
        <w:tc>
          <w:tcPr>
            <w:tcW w:w="288" w:type="pct"/>
            <w:noWrap/>
            <w:hideMark/>
          </w:tcPr>
          <w:p w14:paraId="58288ECC" w14:textId="77777777" w:rsidR="00F40150" w:rsidRPr="00F40150" w:rsidRDefault="00F40150" w:rsidP="00F40150">
            <w:pPr>
              <w:rPr>
                <w:rFonts w:ascii="Arial" w:hAnsi="Arial" w:cs="Arial"/>
              </w:rPr>
            </w:pPr>
            <w:r w:rsidRPr="00F40150">
              <w:rPr>
                <w:rFonts w:ascii="Arial" w:hAnsi="Arial" w:cs="Arial"/>
              </w:rPr>
              <w:t>Co</w:t>
            </w:r>
          </w:p>
        </w:tc>
        <w:tc>
          <w:tcPr>
            <w:tcW w:w="288" w:type="pct"/>
            <w:noWrap/>
            <w:hideMark/>
          </w:tcPr>
          <w:p w14:paraId="26FAFD28" w14:textId="77777777" w:rsidR="00F40150" w:rsidRPr="00F40150" w:rsidRDefault="00F40150" w:rsidP="00F40150">
            <w:pPr>
              <w:rPr>
                <w:rFonts w:ascii="Arial" w:hAnsi="Arial" w:cs="Arial"/>
              </w:rPr>
            </w:pPr>
            <w:r w:rsidRPr="00F40150">
              <w:rPr>
                <w:rFonts w:ascii="Arial" w:hAnsi="Arial" w:cs="Arial"/>
              </w:rPr>
              <w:t>Cr</w:t>
            </w:r>
          </w:p>
        </w:tc>
        <w:tc>
          <w:tcPr>
            <w:tcW w:w="288" w:type="pct"/>
            <w:noWrap/>
            <w:hideMark/>
          </w:tcPr>
          <w:p w14:paraId="05CEA13B" w14:textId="77777777" w:rsidR="00F40150" w:rsidRPr="00F40150" w:rsidRDefault="00F40150" w:rsidP="00F40150">
            <w:pPr>
              <w:rPr>
                <w:rFonts w:ascii="Arial" w:hAnsi="Arial" w:cs="Arial"/>
              </w:rPr>
            </w:pPr>
            <w:r w:rsidRPr="00F40150">
              <w:rPr>
                <w:rFonts w:ascii="Arial" w:hAnsi="Arial" w:cs="Arial"/>
              </w:rPr>
              <w:t>Cu</w:t>
            </w:r>
          </w:p>
        </w:tc>
        <w:tc>
          <w:tcPr>
            <w:tcW w:w="288" w:type="pct"/>
            <w:noWrap/>
            <w:hideMark/>
          </w:tcPr>
          <w:p w14:paraId="630C02AA" w14:textId="77777777" w:rsidR="00F40150" w:rsidRPr="00F40150" w:rsidRDefault="00F40150" w:rsidP="00F40150">
            <w:pPr>
              <w:rPr>
                <w:rFonts w:ascii="Arial" w:hAnsi="Arial" w:cs="Arial"/>
              </w:rPr>
            </w:pPr>
            <w:r w:rsidRPr="00F40150">
              <w:rPr>
                <w:rFonts w:ascii="Arial" w:hAnsi="Arial" w:cs="Arial"/>
              </w:rPr>
              <w:t>Ni</w:t>
            </w:r>
          </w:p>
        </w:tc>
        <w:tc>
          <w:tcPr>
            <w:tcW w:w="288" w:type="pct"/>
            <w:noWrap/>
            <w:hideMark/>
          </w:tcPr>
          <w:p w14:paraId="5ECF105E" w14:textId="77777777" w:rsidR="00F40150" w:rsidRPr="00F40150" w:rsidRDefault="00F40150" w:rsidP="00F40150">
            <w:pPr>
              <w:rPr>
                <w:rFonts w:ascii="Arial" w:hAnsi="Arial" w:cs="Arial"/>
              </w:rPr>
            </w:pPr>
            <w:r w:rsidRPr="00F40150">
              <w:rPr>
                <w:rFonts w:ascii="Arial" w:hAnsi="Arial" w:cs="Arial"/>
              </w:rPr>
              <w:t>Pb</w:t>
            </w:r>
          </w:p>
        </w:tc>
        <w:tc>
          <w:tcPr>
            <w:tcW w:w="288" w:type="pct"/>
            <w:gridSpan w:val="2"/>
            <w:noWrap/>
            <w:hideMark/>
          </w:tcPr>
          <w:p w14:paraId="48B3D378" w14:textId="77777777" w:rsidR="00F40150" w:rsidRPr="00F40150" w:rsidRDefault="00F40150" w:rsidP="00F40150">
            <w:pPr>
              <w:rPr>
                <w:rFonts w:ascii="Arial" w:hAnsi="Arial" w:cs="Arial"/>
              </w:rPr>
            </w:pPr>
            <w:r w:rsidRPr="00F40150">
              <w:rPr>
                <w:rFonts w:ascii="Arial" w:hAnsi="Arial" w:cs="Arial"/>
              </w:rPr>
              <w:t>Zn</w:t>
            </w:r>
          </w:p>
        </w:tc>
        <w:tc>
          <w:tcPr>
            <w:tcW w:w="372" w:type="pct"/>
            <w:gridSpan w:val="2"/>
            <w:vMerge/>
            <w:hideMark/>
          </w:tcPr>
          <w:p w14:paraId="35C47CF5" w14:textId="77777777" w:rsidR="00F40150" w:rsidRPr="00F40150" w:rsidRDefault="00F40150" w:rsidP="00F40150">
            <w:pPr>
              <w:rPr>
                <w:rFonts w:ascii="Arial" w:hAnsi="Arial" w:cs="Arial"/>
              </w:rPr>
            </w:pPr>
          </w:p>
        </w:tc>
      </w:tr>
      <w:tr w:rsidR="00F40150" w:rsidRPr="00F40150" w14:paraId="54494F40" w14:textId="77777777" w:rsidTr="00F40150">
        <w:trPr>
          <w:trHeight w:val="393"/>
        </w:trPr>
        <w:tc>
          <w:tcPr>
            <w:tcW w:w="465" w:type="pct"/>
            <w:noWrap/>
            <w:hideMark/>
          </w:tcPr>
          <w:p w14:paraId="22B61843" w14:textId="77777777" w:rsidR="00F40150" w:rsidRPr="00F40150" w:rsidRDefault="00F40150" w:rsidP="00F40150">
            <w:pPr>
              <w:spacing w:line="360" w:lineRule="auto"/>
              <w:jc w:val="both"/>
              <w:rPr>
                <w:rFonts w:ascii="Arial" w:hAnsi="Arial" w:cs="Arial"/>
                <w:sz w:val="20"/>
                <w:szCs w:val="20"/>
              </w:rPr>
            </w:pPr>
            <w:r w:rsidRPr="00F40150">
              <w:rPr>
                <w:rFonts w:ascii="Arial" w:hAnsi="Arial" w:cs="Arial"/>
                <w:sz w:val="20"/>
                <w:szCs w:val="20"/>
              </w:rPr>
              <w:t>LM</w:t>
            </w:r>
          </w:p>
        </w:tc>
        <w:tc>
          <w:tcPr>
            <w:tcW w:w="368" w:type="pct"/>
            <w:noWrap/>
            <w:hideMark/>
          </w:tcPr>
          <w:p w14:paraId="3ECD9330" w14:textId="77777777" w:rsidR="00F40150" w:rsidRPr="00F40150" w:rsidRDefault="00F40150" w:rsidP="00F40150">
            <w:pPr>
              <w:rPr>
                <w:rFonts w:ascii="Arial" w:hAnsi="Arial" w:cs="Arial"/>
                <w:sz w:val="20"/>
                <w:szCs w:val="20"/>
              </w:rPr>
            </w:pPr>
            <w:r w:rsidRPr="00F40150">
              <w:rPr>
                <w:rFonts w:ascii="Arial" w:hAnsi="Arial" w:cs="Arial"/>
                <w:sz w:val="20"/>
                <w:szCs w:val="20"/>
              </w:rPr>
              <w:t>0.8</w:t>
            </w:r>
          </w:p>
        </w:tc>
        <w:tc>
          <w:tcPr>
            <w:tcW w:w="311" w:type="pct"/>
            <w:noWrap/>
            <w:hideMark/>
          </w:tcPr>
          <w:p w14:paraId="6F9471E6" w14:textId="77777777" w:rsidR="00F40150" w:rsidRPr="00F40150" w:rsidRDefault="00F40150" w:rsidP="00F40150">
            <w:pPr>
              <w:rPr>
                <w:rFonts w:ascii="Arial" w:hAnsi="Arial" w:cs="Arial"/>
                <w:sz w:val="20"/>
                <w:szCs w:val="20"/>
              </w:rPr>
            </w:pPr>
            <w:r w:rsidRPr="00F40150">
              <w:rPr>
                <w:rFonts w:ascii="Arial" w:hAnsi="Arial" w:cs="Arial"/>
                <w:sz w:val="20"/>
                <w:szCs w:val="20"/>
              </w:rPr>
              <w:t>1.3</w:t>
            </w:r>
          </w:p>
        </w:tc>
        <w:tc>
          <w:tcPr>
            <w:tcW w:w="282" w:type="pct"/>
            <w:noWrap/>
            <w:hideMark/>
          </w:tcPr>
          <w:p w14:paraId="2CE2801D" w14:textId="77777777" w:rsidR="00F40150" w:rsidRPr="00F40150" w:rsidRDefault="00F40150" w:rsidP="00F40150">
            <w:pPr>
              <w:rPr>
                <w:rFonts w:ascii="Arial" w:hAnsi="Arial" w:cs="Arial"/>
                <w:sz w:val="20"/>
                <w:szCs w:val="20"/>
              </w:rPr>
            </w:pPr>
            <w:r w:rsidRPr="00F40150">
              <w:rPr>
                <w:rFonts w:ascii="Arial" w:hAnsi="Arial" w:cs="Arial"/>
                <w:sz w:val="20"/>
                <w:szCs w:val="20"/>
              </w:rPr>
              <w:t>0.1</w:t>
            </w:r>
          </w:p>
        </w:tc>
        <w:tc>
          <w:tcPr>
            <w:tcW w:w="311" w:type="pct"/>
            <w:noWrap/>
            <w:hideMark/>
          </w:tcPr>
          <w:p w14:paraId="0859A03F" w14:textId="77777777" w:rsidR="00F40150" w:rsidRPr="00F40150" w:rsidRDefault="00F40150" w:rsidP="00F40150">
            <w:pPr>
              <w:rPr>
                <w:rFonts w:ascii="Arial" w:hAnsi="Arial" w:cs="Arial"/>
                <w:sz w:val="20"/>
                <w:szCs w:val="20"/>
              </w:rPr>
            </w:pPr>
            <w:r w:rsidRPr="00F40150">
              <w:rPr>
                <w:rFonts w:ascii="Arial" w:hAnsi="Arial" w:cs="Arial"/>
                <w:sz w:val="20"/>
                <w:szCs w:val="20"/>
              </w:rPr>
              <w:t>1.2</w:t>
            </w:r>
          </w:p>
        </w:tc>
        <w:tc>
          <w:tcPr>
            <w:tcW w:w="282" w:type="pct"/>
            <w:noWrap/>
            <w:hideMark/>
          </w:tcPr>
          <w:p w14:paraId="71653DD7" w14:textId="77777777" w:rsidR="00F40150" w:rsidRPr="00F40150" w:rsidRDefault="00F40150" w:rsidP="00F40150">
            <w:pPr>
              <w:rPr>
                <w:rFonts w:ascii="Arial" w:hAnsi="Arial" w:cs="Arial"/>
                <w:sz w:val="20"/>
                <w:szCs w:val="20"/>
              </w:rPr>
            </w:pPr>
            <w:r w:rsidRPr="00F40150">
              <w:rPr>
                <w:rFonts w:ascii="Arial" w:hAnsi="Arial" w:cs="Arial"/>
                <w:sz w:val="20"/>
                <w:szCs w:val="20"/>
              </w:rPr>
              <w:t>0.2</w:t>
            </w:r>
          </w:p>
        </w:tc>
        <w:tc>
          <w:tcPr>
            <w:tcW w:w="311" w:type="pct"/>
            <w:noWrap/>
            <w:hideMark/>
          </w:tcPr>
          <w:p w14:paraId="540260B5" w14:textId="77777777" w:rsidR="00F40150" w:rsidRPr="00F40150" w:rsidRDefault="00F40150" w:rsidP="00F40150">
            <w:pPr>
              <w:rPr>
                <w:rFonts w:ascii="Arial" w:hAnsi="Arial" w:cs="Arial"/>
                <w:sz w:val="20"/>
                <w:szCs w:val="20"/>
              </w:rPr>
            </w:pPr>
            <w:r w:rsidRPr="00F40150">
              <w:rPr>
                <w:rFonts w:ascii="Arial" w:hAnsi="Arial" w:cs="Arial"/>
                <w:sz w:val="20"/>
                <w:szCs w:val="20"/>
              </w:rPr>
              <w:t>0.1</w:t>
            </w:r>
          </w:p>
        </w:tc>
        <w:tc>
          <w:tcPr>
            <w:tcW w:w="282" w:type="pct"/>
            <w:noWrap/>
            <w:hideMark/>
          </w:tcPr>
          <w:p w14:paraId="7A44E67A" w14:textId="77777777" w:rsidR="00F40150" w:rsidRPr="00F40150" w:rsidRDefault="00F40150" w:rsidP="00F40150">
            <w:pPr>
              <w:rPr>
                <w:rFonts w:ascii="Arial" w:hAnsi="Arial" w:cs="Arial"/>
                <w:sz w:val="20"/>
                <w:szCs w:val="20"/>
              </w:rPr>
            </w:pPr>
            <w:r w:rsidRPr="00F40150">
              <w:rPr>
                <w:rFonts w:ascii="Arial" w:hAnsi="Arial" w:cs="Arial"/>
                <w:sz w:val="20"/>
                <w:szCs w:val="20"/>
              </w:rPr>
              <w:t>0.3</w:t>
            </w:r>
          </w:p>
        </w:tc>
        <w:tc>
          <w:tcPr>
            <w:tcW w:w="288" w:type="pct"/>
            <w:noWrap/>
            <w:hideMark/>
          </w:tcPr>
          <w:p w14:paraId="404AD7A6" w14:textId="77777777" w:rsidR="00F40150" w:rsidRPr="00F40150" w:rsidRDefault="00F40150" w:rsidP="00F40150">
            <w:pPr>
              <w:rPr>
                <w:rFonts w:ascii="Arial" w:hAnsi="Arial" w:cs="Arial"/>
                <w:sz w:val="20"/>
                <w:szCs w:val="20"/>
              </w:rPr>
            </w:pPr>
            <w:r w:rsidRPr="00F40150">
              <w:rPr>
                <w:rFonts w:ascii="Arial" w:hAnsi="Arial" w:cs="Arial"/>
                <w:sz w:val="20"/>
                <w:szCs w:val="20"/>
              </w:rPr>
              <w:t>-4.2</w:t>
            </w:r>
          </w:p>
        </w:tc>
        <w:tc>
          <w:tcPr>
            <w:tcW w:w="288" w:type="pct"/>
            <w:noWrap/>
            <w:hideMark/>
          </w:tcPr>
          <w:p w14:paraId="123FC291" w14:textId="77777777" w:rsidR="00F40150" w:rsidRPr="00F40150" w:rsidRDefault="00F40150" w:rsidP="00F40150">
            <w:pPr>
              <w:rPr>
                <w:rFonts w:ascii="Arial" w:hAnsi="Arial" w:cs="Arial"/>
                <w:sz w:val="20"/>
                <w:szCs w:val="20"/>
              </w:rPr>
            </w:pPr>
            <w:r w:rsidRPr="00F40150">
              <w:rPr>
                <w:rFonts w:ascii="Arial" w:hAnsi="Arial" w:cs="Arial"/>
                <w:sz w:val="20"/>
                <w:szCs w:val="20"/>
              </w:rPr>
              <w:t>-2.6</w:t>
            </w:r>
          </w:p>
        </w:tc>
        <w:tc>
          <w:tcPr>
            <w:tcW w:w="288" w:type="pct"/>
            <w:noWrap/>
            <w:hideMark/>
          </w:tcPr>
          <w:p w14:paraId="3317DE30" w14:textId="77777777" w:rsidR="00F40150" w:rsidRPr="00F40150" w:rsidRDefault="00F40150" w:rsidP="00F40150">
            <w:pPr>
              <w:rPr>
                <w:rFonts w:ascii="Arial" w:hAnsi="Arial" w:cs="Arial"/>
                <w:sz w:val="20"/>
                <w:szCs w:val="20"/>
              </w:rPr>
            </w:pPr>
            <w:r w:rsidRPr="00F40150">
              <w:rPr>
                <w:rFonts w:ascii="Arial" w:hAnsi="Arial" w:cs="Arial"/>
                <w:sz w:val="20"/>
                <w:szCs w:val="20"/>
              </w:rPr>
              <w:t>-4.8</w:t>
            </w:r>
          </w:p>
        </w:tc>
        <w:tc>
          <w:tcPr>
            <w:tcW w:w="288" w:type="pct"/>
            <w:noWrap/>
            <w:hideMark/>
          </w:tcPr>
          <w:p w14:paraId="35B3A30B" w14:textId="77777777" w:rsidR="00F40150" w:rsidRPr="00F40150" w:rsidRDefault="00F40150" w:rsidP="00F40150">
            <w:pPr>
              <w:rPr>
                <w:rFonts w:ascii="Arial" w:hAnsi="Arial" w:cs="Arial"/>
                <w:sz w:val="20"/>
                <w:szCs w:val="20"/>
              </w:rPr>
            </w:pPr>
            <w:r w:rsidRPr="00F40150">
              <w:rPr>
                <w:rFonts w:ascii="Arial" w:hAnsi="Arial" w:cs="Arial"/>
                <w:sz w:val="20"/>
                <w:szCs w:val="20"/>
              </w:rPr>
              <w:t>-2.7</w:t>
            </w:r>
          </w:p>
        </w:tc>
        <w:tc>
          <w:tcPr>
            <w:tcW w:w="288" w:type="pct"/>
            <w:noWrap/>
            <w:hideMark/>
          </w:tcPr>
          <w:p w14:paraId="47829B09" w14:textId="77777777" w:rsidR="00F40150" w:rsidRPr="00F40150" w:rsidRDefault="00F40150" w:rsidP="00F40150">
            <w:pPr>
              <w:rPr>
                <w:rFonts w:ascii="Arial" w:hAnsi="Arial" w:cs="Arial"/>
                <w:sz w:val="20"/>
                <w:szCs w:val="20"/>
              </w:rPr>
            </w:pPr>
            <w:r w:rsidRPr="00F40150">
              <w:rPr>
                <w:rFonts w:ascii="Arial" w:hAnsi="Arial" w:cs="Arial"/>
                <w:sz w:val="20"/>
                <w:szCs w:val="20"/>
              </w:rPr>
              <w:t>-5.5</w:t>
            </w:r>
          </w:p>
        </w:tc>
        <w:tc>
          <w:tcPr>
            <w:tcW w:w="288" w:type="pct"/>
            <w:noWrap/>
            <w:hideMark/>
          </w:tcPr>
          <w:p w14:paraId="78829164" w14:textId="77777777" w:rsidR="00F40150" w:rsidRPr="00F40150" w:rsidRDefault="00F40150" w:rsidP="00F40150">
            <w:pPr>
              <w:rPr>
                <w:rFonts w:ascii="Arial" w:hAnsi="Arial" w:cs="Arial"/>
                <w:sz w:val="20"/>
                <w:szCs w:val="20"/>
              </w:rPr>
            </w:pPr>
            <w:r w:rsidRPr="00F40150">
              <w:rPr>
                <w:rFonts w:ascii="Arial" w:hAnsi="Arial" w:cs="Arial"/>
                <w:sz w:val="20"/>
                <w:szCs w:val="20"/>
              </w:rPr>
              <w:t>-6.5</w:t>
            </w:r>
          </w:p>
        </w:tc>
        <w:tc>
          <w:tcPr>
            <w:tcW w:w="288" w:type="pct"/>
            <w:gridSpan w:val="2"/>
            <w:noWrap/>
            <w:hideMark/>
          </w:tcPr>
          <w:p w14:paraId="4410A376" w14:textId="77777777" w:rsidR="00F40150" w:rsidRPr="00F40150" w:rsidRDefault="00F40150" w:rsidP="00F40150">
            <w:pPr>
              <w:rPr>
                <w:rFonts w:ascii="Arial" w:hAnsi="Arial" w:cs="Arial"/>
                <w:sz w:val="20"/>
                <w:szCs w:val="20"/>
              </w:rPr>
            </w:pPr>
            <w:r w:rsidRPr="00F40150">
              <w:rPr>
                <w:rFonts w:ascii="Arial" w:hAnsi="Arial" w:cs="Arial"/>
                <w:sz w:val="20"/>
                <w:szCs w:val="20"/>
              </w:rPr>
              <w:t>-2.3</w:t>
            </w:r>
          </w:p>
        </w:tc>
        <w:tc>
          <w:tcPr>
            <w:tcW w:w="372" w:type="pct"/>
            <w:gridSpan w:val="2"/>
            <w:noWrap/>
            <w:hideMark/>
          </w:tcPr>
          <w:p w14:paraId="4D5BC2B4" w14:textId="77777777" w:rsidR="00F40150" w:rsidRPr="00F40150" w:rsidRDefault="00F40150" w:rsidP="00F40150">
            <w:pPr>
              <w:rPr>
                <w:rFonts w:ascii="Arial" w:hAnsi="Arial" w:cs="Arial"/>
                <w:sz w:val="20"/>
                <w:szCs w:val="20"/>
              </w:rPr>
            </w:pPr>
            <w:r w:rsidRPr="00F40150">
              <w:rPr>
                <w:rFonts w:ascii="Arial" w:hAnsi="Arial" w:cs="Arial"/>
                <w:sz w:val="20"/>
                <w:szCs w:val="20"/>
              </w:rPr>
              <w:t>3.9</w:t>
            </w:r>
          </w:p>
        </w:tc>
      </w:tr>
      <w:tr w:rsidR="00F40150" w:rsidRPr="00F40150" w14:paraId="70C7ACB8" w14:textId="77777777" w:rsidTr="00F40150">
        <w:trPr>
          <w:trHeight w:val="393"/>
        </w:trPr>
        <w:tc>
          <w:tcPr>
            <w:tcW w:w="465" w:type="pct"/>
            <w:noWrap/>
            <w:hideMark/>
          </w:tcPr>
          <w:p w14:paraId="1B723E9E" w14:textId="77777777" w:rsidR="00F40150" w:rsidRPr="00F40150" w:rsidRDefault="00F40150" w:rsidP="00F40150">
            <w:pPr>
              <w:spacing w:line="360" w:lineRule="auto"/>
              <w:jc w:val="both"/>
            </w:pPr>
            <w:r w:rsidRPr="00F40150">
              <w:rPr>
                <w:rFonts w:ascii="Arial" w:hAnsi="Arial" w:cs="Arial"/>
                <w:sz w:val="20"/>
                <w:szCs w:val="20"/>
              </w:rPr>
              <w:t xml:space="preserve">PES </w:t>
            </w:r>
            <w:r w:rsidRPr="00F40150">
              <w:t>12</w:t>
            </w:r>
          </w:p>
        </w:tc>
        <w:tc>
          <w:tcPr>
            <w:tcW w:w="368" w:type="pct"/>
            <w:noWrap/>
            <w:hideMark/>
          </w:tcPr>
          <w:p w14:paraId="08D8EA40" w14:textId="77777777" w:rsidR="00F40150" w:rsidRPr="00F40150" w:rsidRDefault="00F40150" w:rsidP="00F40150">
            <w:pPr>
              <w:rPr>
                <w:rFonts w:ascii="Arial" w:hAnsi="Arial" w:cs="Arial"/>
                <w:sz w:val="20"/>
                <w:szCs w:val="20"/>
              </w:rPr>
            </w:pPr>
            <w:r w:rsidRPr="00F40150">
              <w:rPr>
                <w:rFonts w:ascii="Arial" w:hAnsi="Arial" w:cs="Arial"/>
                <w:sz w:val="20"/>
                <w:szCs w:val="20"/>
              </w:rPr>
              <w:t>439.8</w:t>
            </w:r>
          </w:p>
        </w:tc>
        <w:tc>
          <w:tcPr>
            <w:tcW w:w="311" w:type="pct"/>
            <w:noWrap/>
            <w:hideMark/>
          </w:tcPr>
          <w:p w14:paraId="049F4B3B" w14:textId="77777777" w:rsidR="00F40150" w:rsidRPr="00F40150" w:rsidRDefault="00F40150" w:rsidP="00F40150">
            <w:pPr>
              <w:rPr>
                <w:rFonts w:ascii="Arial" w:hAnsi="Arial" w:cs="Arial"/>
                <w:sz w:val="20"/>
                <w:szCs w:val="20"/>
              </w:rPr>
            </w:pPr>
            <w:r w:rsidRPr="00F40150">
              <w:rPr>
                <w:rFonts w:ascii="Arial" w:hAnsi="Arial" w:cs="Arial"/>
                <w:sz w:val="20"/>
                <w:szCs w:val="20"/>
              </w:rPr>
              <w:t>17.9</w:t>
            </w:r>
          </w:p>
        </w:tc>
        <w:tc>
          <w:tcPr>
            <w:tcW w:w="282" w:type="pct"/>
            <w:noWrap/>
            <w:hideMark/>
          </w:tcPr>
          <w:p w14:paraId="6E15CFD4" w14:textId="77777777" w:rsidR="00F40150" w:rsidRPr="00F40150" w:rsidRDefault="00F40150" w:rsidP="00F40150">
            <w:pPr>
              <w:rPr>
                <w:rFonts w:ascii="Arial" w:hAnsi="Arial" w:cs="Arial"/>
                <w:sz w:val="20"/>
                <w:szCs w:val="20"/>
              </w:rPr>
            </w:pPr>
            <w:r w:rsidRPr="00F40150">
              <w:rPr>
                <w:rFonts w:ascii="Arial" w:hAnsi="Arial" w:cs="Arial"/>
                <w:sz w:val="20"/>
                <w:szCs w:val="20"/>
              </w:rPr>
              <w:t>0.9</w:t>
            </w:r>
          </w:p>
        </w:tc>
        <w:tc>
          <w:tcPr>
            <w:tcW w:w="311" w:type="pct"/>
            <w:noWrap/>
            <w:hideMark/>
          </w:tcPr>
          <w:p w14:paraId="55D2D719" w14:textId="77777777" w:rsidR="00F40150" w:rsidRPr="00F40150" w:rsidRDefault="00F40150" w:rsidP="00F40150">
            <w:pPr>
              <w:rPr>
                <w:rFonts w:ascii="Arial" w:hAnsi="Arial" w:cs="Arial"/>
                <w:sz w:val="20"/>
                <w:szCs w:val="20"/>
              </w:rPr>
            </w:pPr>
            <w:r w:rsidRPr="00F40150">
              <w:rPr>
                <w:rFonts w:ascii="Arial" w:hAnsi="Arial" w:cs="Arial"/>
                <w:sz w:val="20"/>
                <w:szCs w:val="20"/>
              </w:rPr>
              <w:t>25.5</w:t>
            </w:r>
          </w:p>
        </w:tc>
        <w:tc>
          <w:tcPr>
            <w:tcW w:w="282" w:type="pct"/>
            <w:noWrap/>
            <w:hideMark/>
          </w:tcPr>
          <w:p w14:paraId="1492C741" w14:textId="77777777" w:rsidR="00F40150" w:rsidRPr="00F40150" w:rsidRDefault="00F40150" w:rsidP="00F40150">
            <w:pPr>
              <w:rPr>
                <w:rFonts w:ascii="Arial" w:hAnsi="Arial" w:cs="Arial"/>
                <w:sz w:val="20"/>
                <w:szCs w:val="20"/>
              </w:rPr>
            </w:pPr>
            <w:r w:rsidRPr="00F40150">
              <w:rPr>
                <w:rFonts w:ascii="Arial" w:hAnsi="Arial" w:cs="Arial"/>
                <w:sz w:val="20"/>
                <w:szCs w:val="20"/>
              </w:rPr>
              <w:t>4.2</w:t>
            </w:r>
          </w:p>
        </w:tc>
        <w:tc>
          <w:tcPr>
            <w:tcW w:w="311" w:type="pct"/>
            <w:noWrap/>
            <w:hideMark/>
          </w:tcPr>
          <w:p w14:paraId="5DF2D50A" w14:textId="77777777" w:rsidR="00F40150" w:rsidRPr="00F40150" w:rsidRDefault="00F40150" w:rsidP="00F40150">
            <w:pPr>
              <w:rPr>
                <w:rFonts w:ascii="Arial" w:hAnsi="Arial" w:cs="Arial"/>
                <w:sz w:val="20"/>
                <w:szCs w:val="20"/>
              </w:rPr>
            </w:pPr>
            <w:r w:rsidRPr="00F40150">
              <w:rPr>
                <w:rFonts w:ascii="Arial" w:hAnsi="Arial" w:cs="Arial"/>
                <w:sz w:val="20"/>
                <w:szCs w:val="20"/>
              </w:rPr>
              <w:t>33.3</w:t>
            </w:r>
          </w:p>
        </w:tc>
        <w:tc>
          <w:tcPr>
            <w:tcW w:w="282" w:type="pct"/>
            <w:noWrap/>
            <w:hideMark/>
          </w:tcPr>
          <w:p w14:paraId="47E3C4F6" w14:textId="77777777" w:rsidR="00F40150" w:rsidRPr="00F40150" w:rsidRDefault="00F40150" w:rsidP="00F40150">
            <w:pPr>
              <w:rPr>
                <w:rFonts w:ascii="Arial" w:hAnsi="Arial" w:cs="Arial"/>
                <w:sz w:val="20"/>
                <w:szCs w:val="20"/>
              </w:rPr>
            </w:pPr>
            <w:r w:rsidRPr="00F40150">
              <w:rPr>
                <w:rFonts w:ascii="Arial" w:hAnsi="Arial" w:cs="Arial"/>
                <w:sz w:val="20"/>
                <w:szCs w:val="20"/>
              </w:rPr>
              <w:t>4.2</w:t>
            </w:r>
          </w:p>
        </w:tc>
        <w:tc>
          <w:tcPr>
            <w:tcW w:w="288" w:type="pct"/>
            <w:noWrap/>
            <w:hideMark/>
          </w:tcPr>
          <w:p w14:paraId="0807F387" w14:textId="77777777" w:rsidR="00F40150" w:rsidRPr="00F40150" w:rsidRDefault="00F40150" w:rsidP="00F40150">
            <w:pPr>
              <w:rPr>
                <w:rFonts w:ascii="Arial" w:hAnsi="Arial" w:cs="Arial"/>
                <w:sz w:val="20"/>
                <w:szCs w:val="20"/>
              </w:rPr>
            </w:pPr>
            <w:r w:rsidRPr="00F40150">
              <w:rPr>
                <w:rFonts w:ascii="Arial" w:hAnsi="Arial" w:cs="Arial"/>
                <w:sz w:val="20"/>
                <w:szCs w:val="20"/>
              </w:rPr>
              <w:t>4.9</w:t>
            </w:r>
          </w:p>
        </w:tc>
        <w:tc>
          <w:tcPr>
            <w:tcW w:w="288" w:type="pct"/>
            <w:noWrap/>
            <w:hideMark/>
          </w:tcPr>
          <w:p w14:paraId="34163392" w14:textId="77777777" w:rsidR="00F40150" w:rsidRPr="00F40150" w:rsidRDefault="00F40150" w:rsidP="00F40150">
            <w:pPr>
              <w:rPr>
                <w:rFonts w:ascii="Arial" w:hAnsi="Arial" w:cs="Arial"/>
                <w:sz w:val="20"/>
                <w:szCs w:val="20"/>
              </w:rPr>
            </w:pPr>
            <w:r w:rsidRPr="00F40150">
              <w:rPr>
                <w:rFonts w:ascii="Arial" w:hAnsi="Arial" w:cs="Arial"/>
                <w:sz w:val="20"/>
                <w:szCs w:val="20"/>
              </w:rPr>
              <w:t>1.3</w:t>
            </w:r>
          </w:p>
        </w:tc>
        <w:tc>
          <w:tcPr>
            <w:tcW w:w="288" w:type="pct"/>
            <w:noWrap/>
            <w:hideMark/>
          </w:tcPr>
          <w:p w14:paraId="52C5445A"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288" w:type="pct"/>
            <w:noWrap/>
            <w:hideMark/>
          </w:tcPr>
          <w:p w14:paraId="74DC0224"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288" w:type="pct"/>
            <w:noWrap/>
            <w:hideMark/>
          </w:tcPr>
          <w:p w14:paraId="374B09ED" w14:textId="77777777" w:rsidR="00F40150" w:rsidRPr="00F40150" w:rsidRDefault="00F40150" w:rsidP="00F40150">
            <w:pPr>
              <w:rPr>
                <w:rFonts w:ascii="Arial" w:hAnsi="Arial" w:cs="Arial"/>
                <w:sz w:val="20"/>
                <w:szCs w:val="20"/>
              </w:rPr>
            </w:pPr>
            <w:r w:rsidRPr="00F40150">
              <w:rPr>
                <w:rFonts w:ascii="Arial" w:hAnsi="Arial" w:cs="Arial"/>
                <w:sz w:val="20"/>
                <w:szCs w:val="20"/>
              </w:rPr>
              <w:t>-0.8</w:t>
            </w:r>
          </w:p>
        </w:tc>
        <w:tc>
          <w:tcPr>
            <w:tcW w:w="288" w:type="pct"/>
            <w:noWrap/>
            <w:hideMark/>
          </w:tcPr>
          <w:p w14:paraId="54C8A3D6" w14:textId="77777777" w:rsidR="00F40150" w:rsidRPr="00F40150" w:rsidRDefault="00F40150" w:rsidP="00F40150">
            <w:pPr>
              <w:rPr>
                <w:rFonts w:ascii="Arial" w:hAnsi="Arial" w:cs="Arial"/>
                <w:sz w:val="20"/>
                <w:szCs w:val="20"/>
              </w:rPr>
            </w:pPr>
            <w:r w:rsidRPr="00F40150">
              <w:rPr>
                <w:rFonts w:ascii="Arial" w:hAnsi="Arial" w:cs="Arial"/>
                <w:sz w:val="20"/>
                <w:szCs w:val="20"/>
              </w:rPr>
              <w:t>2.1</w:t>
            </w:r>
          </w:p>
        </w:tc>
        <w:tc>
          <w:tcPr>
            <w:tcW w:w="288" w:type="pct"/>
            <w:gridSpan w:val="2"/>
            <w:noWrap/>
            <w:hideMark/>
          </w:tcPr>
          <w:p w14:paraId="3042214F" w14:textId="77777777" w:rsidR="00F40150" w:rsidRPr="00F40150" w:rsidRDefault="00F40150" w:rsidP="00F40150">
            <w:pPr>
              <w:rPr>
                <w:rFonts w:ascii="Arial" w:hAnsi="Arial" w:cs="Arial"/>
                <w:sz w:val="20"/>
                <w:szCs w:val="20"/>
              </w:rPr>
            </w:pPr>
            <w:r w:rsidRPr="00F40150">
              <w:rPr>
                <w:rFonts w:ascii="Arial" w:hAnsi="Arial" w:cs="Arial"/>
                <w:sz w:val="20"/>
                <w:szCs w:val="20"/>
              </w:rPr>
              <w:t>1.5</w:t>
            </w:r>
          </w:p>
        </w:tc>
        <w:tc>
          <w:tcPr>
            <w:tcW w:w="372" w:type="pct"/>
            <w:gridSpan w:val="2"/>
            <w:noWrap/>
            <w:hideMark/>
          </w:tcPr>
          <w:p w14:paraId="7404A1FF" w14:textId="77777777" w:rsidR="00F40150" w:rsidRPr="00F40150" w:rsidRDefault="00F40150" w:rsidP="00F40150">
            <w:pPr>
              <w:rPr>
                <w:rFonts w:ascii="Arial" w:hAnsi="Arial" w:cs="Arial"/>
                <w:sz w:val="20"/>
                <w:szCs w:val="20"/>
              </w:rPr>
            </w:pPr>
            <w:r w:rsidRPr="00F40150">
              <w:rPr>
                <w:rFonts w:ascii="Arial" w:hAnsi="Arial" w:cs="Arial"/>
                <w:sz w:val="20"/>
                <w:szCs w:val="20"/>
              </w:rPr>
              <w:t>525.7</w:t>
            </w:r>
          </w:p>
        </w:tc>
      </w:tr>
      <w:tr w:rsidR="00F40150" w:rsidRPr="00F40150" w14:paraId="31C61DBF" w14:textId="77777777" w:rsidTr="00F40150">
        <w:trPr>
          <w:trHeight w:val="393"/>
        </w:trPr>
        <w:tc>
          <w:tcPr>
            <w:tcW w:w="465" w:type="pct"/>
            <w:noWrap/>
            <w:hideMark/>
          </w:tcPr>
          <w:p w14:paraId="3739FD10" w14:textId="77777777" w:rsidR="00F40150" w:rsidRPr="00F40150" w:rsidRDefault="00F40150" w:rsidP="00F40150">
            <w:pPr>
              <w:spacing w:line="360" w:lineRule="auto"/>
              <w:jc w:val="both"/>
            </w:pPr>
            <w:r w:rsidRPr="00F40150">
              <w:rPr>
                <w:rFonts w:ascii="Arial" w:hAnsi="Arial" w:cs="Arial"/>
                <w:sz w:val="20"/>
                <w:szCs w:val="20"/>
              </w:rPr>
              <w:t xml:space="preserve">PES </w:t>
            </w:r>
            <w:r w:rsidRPr="00F40150">
              <w:t>13</w:t>
            </w:r>
          </w:p>
        </w:tc>
        <w:tc>
          <w:tcPr>
            <w:tcW w:w="368" w:type="pct"/>
            <w:noWrap/>
            <w:hideMark/>
          </w:tcPr>
          <w:p w14:paraId="46AE3025" w14:textId="77777777" w:rsidR="00F40150" w:rsidRPr="00F40150" w:rsidRDefault="00F40150" w:rsidP="00F40150">
            <w:pPr>
              <w:rPr>
                <w:rFonts w:ascii="Arial" w:hAnsi="Arial" w:cs="Arial"/>
                <w:sz w:val="20"/>
                <w:szCs w:val="20"/>
              </w:rPr>
            </w:pPr>
            <w:r w:rsidRPr="00F40150">
              <w:rPr>
                <w:rFonts w:ascii="Arial" w:hAnsi="Arial" w:cs="Arial"/>
                <w:sz w:val="20"/>
                <w:szCs w:val="20"/>
              </w:rPr>
              <w:t>492.1</w:t>
            </w:r>
          </w:p>
        </w:tc>
        <w:tc>
          <w:tcPr>
            <w:tcW w:w="311" w:type="pct"/>
            <w:noWrap/>
            <w:hideMark/>
          </w:tcPr>
          <w:p w14:paraId="2379D369" w14:textId="77777777" w:rsidR="00F40150" w:rsidRPr="00F40150" w:rsidRDefault="00F40150" w:rsidP="00F40150">
            <w:pPr>
              <w:rPr>
                <w:rFonts w:ascii="Arial" w:hAnsi="Arial" w:cs="Arial"/>
                <w:sz w:val="20"/>
                <w:szCs w:val="20"/>
              </w:rPr>
            </w:pPr>
            <w:r w:rsidRPr="00F40150">
              <w:rPr>
                <w:rFonts w:ascii="Arial" w:hAnsi="Arial" w:cs="Arial"/>
                <w:sz w:val="20"/>
                <w:szCs w:val="20"/>
              </w:rPr>
              <w:t>18.1</w:t>
            </w:r>
          </w:p>
        </w:tc>
        <w:tc>
          <w:tcPr>
            <w:tcW w:w="282" w:type="pct"/>
            <w:noWrap/>
            <w:hideMark/>
          </w:tcPr>
          <w:p w14:paraId="13B02010" w14:textId="77777777" w:rsidR="00F40150" w:rsidRPr="00F40150" w:rsidRDefault="00F40150" w:rsidP="00F40150">
            <w:pPr>
              <w:rPr>
                <w:rFonts w:ascii="Arial" w:hAnsi="Arial" w:cs="Arial"/>
                <w:sz w:val="20"/>
                <w:szCs w:val="20"/>
              </w:rPr>
            </w:pPr>
            <w:r w:rsidRPr="00F40150">
              <w:rPr>
                <w:rFonts w:ascii="Arial" w:hAnsi="Arial" w:cs="Arial"/>
                <w:sz w:val="20"/>
                <w:szCs w:val="20"/>
              </w:rPr>
              <w:t>0.9</w:t>
            </w:r>
          </w:p>
        </w:tc>
        <w:tc>
          <w:tcPr>
            <w:tcW w:w="311" w:type="pct"/>
            <w:noWrap/>
            <w:hideMark/>
          </w:tcPr>
          <w:p w14:paraId="66CAD323" w14:textId="77777777" w:rsidR="00F40150" w:rsidRPr="00F40150" w:rsidRDefault="00F40150" w:rsidP="00F40150">
            <w:pPr>
              <w:rPr>
                <w:rFonts w:ascii="Arial" w:hAnsi="Arial" w:cs="Arial"/>
                <w:sz w:val="20"/>
                <w:szCs w:val="20"/>
              </w:rPr>
            </w:pPr>
            <w:r w:rsidRPr="00F40150">
              <w:rPr>
                <w:rFonts w:ascii="Arial" w:hAnsi="Arial" w:cs="Arial"/>
                <w:sz w:val="20"/>
                <w:szCs w:val="20"/>
              </w:rPr>
              <w:t>30.0</w:t>
            </w:r>
          </w:p>
        </w:tc>
        <w:tc>
          <w:tcPr>
            <w:tcW w:w="282" w:type="pct"/>
            <w:noWrap/>
            <w:hideMark/>
          </w:tcPr>
          <w:p w14:paraId="0E12D0F1" w14:textId="77777777" w:rsidR="00F40150" w:rsidRPr="00F40150" w:rsidRDefault="00F40150" w:rsidP="00F40150">
            <w:pPr>
              <w:rPr>
                <w:rFonts w:ascii="Arial" w:hAnsi="Arial" w:cs="Arial"/>
                <w:sz w:val="20"/>
                <w:szCs w:val="20"/>
              </w:rPr>
            </w:pPr>
            <w:r w:rsidRPr="00F40150">
              <w:rPr>
                <w:rFonts w:ascii="Arial" w:hAnsi="Arial" w:cs="Arial"/>
                <w:sz w:val="20"/>
                <w:szCs w:val="20"/>
              </w:rPr>
              <w:t>4.9</w:t>
            </w:r>
          </w:p>
        </w:tc>
        <w:tc>
          <w:tcPr>
            <w:tcW w:w="311" w:type="pct"/>
            <w:noWrap/>
            <w:hideMark/>
          </w:tcPr>
          <w:p w14:paraId="02E65E42" w14:textId="77777777" w:rsidR="00F40150" w:rsidRPr="00F40150" w:rsidRDefault="00F40150" w:rsidP="00F40150">
            <w:pPr>
              <w:rPr>
                <w:rFonts w:ascii="Arial" w:hAnsi="Arial" w:cs="Arial"/>
                <w:sz w:val="20"/>
                <w:szCs w:val="20"/>
              </w:rPr>
            </w:pPr>
            <w:r w:rsidRPr="00F40150">
              <w:rPr>
                <w:rFonts w:ascii="Arial" w:hAnsi="Arial" w:cs="Arial"/>
                <w:sz w:val="20"/>
                <w:szCs w:val="20"/>
              </w:rPr>
              <w:t>35.4</w:t>
            </w:r>
          </w:p>
        </w:tc>
        <w:tc>
          <w:tcPr>
            <w:tcW w:w="282" w:type="pct"/>
            <w:noWrap/>
            <w:hideMark/>
          </w:tcPr>
          <w:p w14:paraId="5ABAC000" w14:textId="77777777" w:rsidR="00F40150" w:rsidRPr="00F40150" w:rsidRDefault="00F40150" w:rsidP="00F40150">
            <w:pPr>
              <w:rPr>
                <w:rFonts w:ascii="Arial" w:hAnsi="Arial" w:cs="Arial"/>
                <w:sz w:val="20"/>
                <w:szCs w:val="20"/>
              </w:rPr>
            </w:pPr>
            <w:r w:rsidRPr="00F40150">
              <w:rPr>
                <w:rFonts w:ascii="Arial" w:hAnsi="Arial" w:cs="Arial"/>
                <w:sz w:val="20"/>
                <w:szCs w:val="20"/>
              </w:rPr>
              <w:t>4.8</w:t>
            </w:r>
          </w:p>
        </w:tc>
        <w:tc>
          <w:tcPr>
            <w:tcW w:w="288" w:type="pct"/>
            <w:noWrap/>
            <w:hideMark/>
          </w:tcPr>
          <w:p w14:paraId="4964986B" w14:textId="77777777" w:rsidR="00F40150" w:rsidRPr="00F40150" w:rsidRDefault="00F40150" w:rsidP="00F40150">
            <w:pPr>
              <w:rPr>
                <w:rFonts w:ascii="Arial" w:hAnsi="Arial" w:cs="Arial"/>
                <w:sz w:val="20"/>
                <w:szCs w:val="20"/>
              </w:rPr>
            </w:pPr>
            <w:r w:rsidRPr="00F40150">
              <w:rPr>
                <w:rFonts w:ascii="Arial" w:hAnsi="Arial" w:cs="Arial"/>
                <w:sz w:val="20"/>
                <w:szCs w:val="20"/>
              </w:rPr>
              <w:t>5.0</w:t>
            </w:r>
          </w:p>
        </w:tc>
        <w:tc>
          <w:tcPr>
            <w:tcW w:w="288" w:type="pct"/>
            <w:noWrap/>
            <w:hideMark/>
          </w:tcPr>
          <w:p w14:paraId="3338183D" w14:textId="77777777" w:rsidR="00F40150" w:rsidRPr="00F40150" w:rsidRDefault="00F40150" w:rsidP="00F40150">
            <w:pPr>
              <w:rPr>
                <w:rFonts w:ascii="Arial" w:hAnsi="Arial" w:cs="Arial"/>
                <w:sz w:val="20"/>
                <w:szCs w:val="20"/>
              </w:rPr>
            </w:pPr>
            <w:r w:rsidRPr="00F40150">
              <w:rPr>
                <w:rFonts w:ascii="Arial" w:hAnsi="Arial" w:cs="Arial"/>
                <w:sz w:val="20"/>
                <w:szCs w:val="20"/>
              </w:rPr>
              <w:t>1.3</w:t>
            </w:r>
          </w:p>
        </w:tc>
        <w:tc>
          <w:tcPr>
            <w:tcW w:w="288" w:type="pct"/>
            <w:noWrap/>
            <w:hideMark/>
          </w:tcPr>
          <w:p w14:paraId="0A06AE0F"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288" w:type="pct"/>
            <w:noWrap/>
            <w:hideMark/>
          </w:tcPr>
          <w:p w14:paraId="3D503D62"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288" w:type="pct"/>
            <w:noWrap/>
            <w:hideMark/>
          </w:tcPr>
          <w:p w14:paraId="4A4F9A77" w14:textId="77777777" w:rsidR="00F40150" w:rsidRPr="00F40150" w:rsidRDefault="00F40150" w:rsidP="00F40150">
            <w:pPr>
              <w:rPr>
                <w:rFonts w:ascii="Arial" w:hAnsi="Arial" w:cs="Arial"/>
                <w:sz w:val="20"/>
                <w:szCs w:val="20"/>
              </w:rPr>
            </w:pPr>
            <w:r w:rsidRPr="00F40150">
              <w:rPr>
                <w:rFonts w:ascii="Arial" w:hAnsi="Arial" w:cs="Arial"/>
                <w:sz w:val="20"/>
                <w:szCs w:val="20"/>
              </w:rPr>
              <w:t>-0.6</w:t>
            </w:r>
          </w:p>
        </w:tc>
        <w:tc>
          <w:tcPr>
            <w:tcW w:w="288" w:type="pct"/>
            <w:noWrap/>
            <w:hideMark/>
          </w:tcPr>
          <w:p w14:paraId="6AE5941B" w14:textId="77777777" w:rsidR="00F40150" w:rsidRPr="00F40150" w:rsidRDefault="00F40150" w:rsidP="00F40150">
            <w:pPr>
              <w:rPr>
                <w:rFonts w:ascii="Arial" w:hAnsi="Arial" w:cs="Arial"/>
                <w:sz w:val="20"/>
                <w:szCs w:val="20"/>
              </w:rPr>
            </w:pPr>
            <w:r w:rsidRPr="00F40150">
              <w:rPr>
                <w:rFonts w:ascii="Arial" w:hAnsi="Arial" w:cs="Arial"/>
                <w:sz w:val="20"/>
                <w:szCs w:val="20"/>
              </w:rPr>
              <w:t>2.2</w:t>
            </w:r>
          </w:p>
        </w:tc>
        <w:tc>
          <w:tcPr>
            <w:tcW w:w="288" w:type="pct"/>
            <w:gridSpan w:val="2"/>
            <w:noWrap/>
            <w:hideMark/>
          </w:tcPr>
          <w:p w14:paraId="046FB797"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372" w:type="pct"/>
            <w:gridSpan w:val="2"/>
            <w:noWrap/>
            <w:hideMark/>
          </w:tcPr>
          <w:p w14:paraId="4CE2BEFF" w14:textId="77777777" w:rsidR="00F40150" w:rsidRPr="00F40150" w:rsidRDefault="00F40150" w:rsidP="00F40150">
            <w:pPr>
              <w:rPr>
                <w:rFonts w:ascii="Arial" w:hAnsi="Arial" w:cs="Arial"/>
                <w:sz w:val="20"/>
                <w:szCs w:val="20"/>
              </w:rPr>
            </w:pPr>
            <w:r w:rsidRPr="00F40150">
              <w:rPr>
                <w:rFonts w:ascii="Arial" w:hAnsi="Arial" w:cs="Arial"/>
                <w:sz w:val="20"/>
                <w:szCs w:val="20"/>
              </w:rPr>
              <w:t>586.1</w:t>
            </w:r>
          </w:p>
        </w:tc>
      </w:tr>
      <w:tr w:rsidR="00F40150" w:rsidRPr="00F40150" w14:paraId="470DBB8B" w14:textId="77777777" w:rsidTr="00F40150">
        <w:trPr>
          <w:trHeight w:val="393"/>
        </w:trPr>
        <w:tc>
          <w:tcPr>
            <w:tcW w:w="465" w:type="pct"/>
            <w:noWrap/>
            <w:hideMark/>
          </w:tcPr>
          <w:p w14:paraId="186FEB73" w14:textId="77777777" w:rsidR="00F40150" w:rsidRPr="00F40150" w:rsidRDefault="00F40150" w:rsidP="00F40150">
            <w:pPr>
              <w:spacing w:line="360" w:lineRule="auto"/>
              <w:jc w:val="both"/>
            </w:pPr>
            <w:r w:rsidRPr="00F40150">
              <w:rPr>
                <w:rFonts w:ascii="Arial" w:hAnsi="Arial" w:cs="Arial"/>
                <w:sz w:val="20"/>
                <w:szCs w:val="20"/>
              </w:rPr>
              <w:t xml:space="preserve">PES </w:t>
            </w:r>
            <w:r w:rsidRPr="00F40150">
              <w:t>14</w:t>
            </w:r>
          </w:p>
        </w:tc>
        <w:tc>
          <w:tcPr>
            <w:tcW w:w="368" w:type="pct"/>
            <w:noWrap/>
            <w:hideMark/>
          </w:tcPr>
          <w:p w14:paraId="18A8640F" w14:textId="77777777" w:rsidR="00F40150" w:rsidRPr="00F40150" w:rsidRDefault="00F40150" w:rsidP="00F40150">
            <w:pPr>
              <w:rPr>
                <w:rFonts w:ascii="Arial" w:hAnsi="Arial" w:cs="Arial"/>
                <w:sz w:val="20"/>
                <w:szCs w:val="20"/>
              </w:rPr>
            </w:pPr>
            <w:r w:rsidRPr="00F40150">
              <w:rPr>
                <w:rFonts w:ascii="Arial" w:hAnsi="Arial" w:cs="Arial"/>
                <w:sz w:val="20"/>
                <w:szCs w:val="20"/>
              </w:rPr>
              <w:t>2.1</w:t>
            </w:r>
          </w:p>
        </w:tc>
        <w:tc>
          <w:tcPr>
            <w:tcW w:w="311" w:type="pct"/>
            <w:noWrap/>
            <w:hideMark/>
          </w:tcPr>
          <w:p w14:paraId="0F135FA8" w14:textId="77777777" w:rsidR="00F40150" w:rsidRPr="00F40150" w:rsidRDefault="00F40150" w:rsidP="00F40150">
            <w:pPr>
              <w:rPr>
                <w:rFonts w:ascii="Arial" w:hAnsi="Arial" w:cs="Arial"/>
                <w:sz w:val="20"/>
                <w:szCs w:val="20"/>
              </w:rPr>
            </w:pPr>
            <w:r w:rsidRPr="00F40150">
              <w:rPr>
                <w:rFonts w:ascii="Arial" w:hAnsi="Arial" w:cs="Arial"/>
                <w:sz w:val="20"/>
                <w:szCs w:val="20"/>
              </w:rPr>
              <w:t>1.9</w:t>
            </w:r>
          </w:p>
        </w:tc>
        <w:tc>
          <w:tcPr>
            <w:tcW w:w="282" w:type="pct"/>
            <w:noWrap/>
            <w:hideMark/>
          </w:tcPr>
          <w:p w14:paraId="75495917" w14:textId="77777777" w:rsidR="00F40150" w:rsidRPr="00F40150" w:rsidRDefault="00F40150" w:rsidP="00F40150">
            <w:pPr>
              <w:rPr>
                <w:rFonts w:ascii="Arial" w:hAnsi="Arial" w:cs="Arial"/>
                <w:sz w:val="20"/>
                <w:szCs w:val="20"/>
              </w:rPr>
            </w:pPr>
            <w:r w:rsidRPr="00F40150">
              <w:rPr>
                <w:rFonts w:ascii="Arial" w:hAnsi="Arial" w:cs="Arial"/>
                <w:sz w:val="20"/>
                <w:szCs w:val="20"/>
              </w:rPr>
              <w:t>0.2</w:t>
            </w:r>
          </w:p>
        </w:tc>
        <w:tc>
          <w:tcPr>
            <w:tcW w:w="311" w:type="pct"/>
            <w:noWrap/>
            <w:hideMark/>
          </w:tcPr>
          <w:p w14:paraId="19EBB5E1" w14:textId="77777777" w:rsidR="00F40150" w:rsidRPr="00F40150" w:rsidRDefault="00F40150" w:rsidP="00F40150">
            <w:pPr>
              <w:rPr>
                <w:rFonts w:ascii="Arial" w:hAnsi="Arial" w:cs="Arial"/>
                <w:sz w:val="20"/>
                <w:szCs w:val="20"/>
              </w:rPr>
            </w:pPr>
            <w:r w:rsidRPr="00F40150">
              <w:rPr>
                <w:rFonts w:ascii="Arial" w:hAnsi="Arial" w:cs="Arial"/>
                <w:sz w:val="20"/>
                <w:szCs w:val="20"/>
              </w:rPr>
              <w:t>3.6</w:t>
            </w:r>
          </w:p>
        </w:tc>
        <w:tc>
          <w:tcPr>
            <w:tcW w:w="282" w:type="pct"/>
            <w:noWrap/>
            <w:hideMark/>
          </w:tcPr>
          <w:p w14:paraId="02AD2939" w14:textId="77777777" w:rsidR="00F40150" w:rsidRPr="00F40150" w:rsidRDefault="00F40150" w:rsidP="00F40150">
            <w:pPr>
              <w:rPr>
                <w:rFonts w:ascii="Arial" w:hAnsi="Arial" w:cs="Arial"/>
                <w:sz w:val="20"/>
                <w:szCs w:val="20"/>
              </w:rPr>
            </w:pPr>
            <w:r w:rsidRPr="00F40150">
              <w:rPr>
                <w:rFonts w:ascii="Arial" w:hAnsi="Arial" w:cs="Arial"/>
                <w:sz w:val="20"/>
                <w:szCs w:val="20"/>
              </w:rPr>
              <w:t>1.1</w:t>
            </w:r>
          </w:p>
        </w:tc>
        <w:tc>
          <w:tcPr>
            <w:tcW w:w="311" w:type="pct"/>
            <w:noWrap/>
            <w:hideMark/>
          </w:tcPr>
          <w:p w14:paraId="481310D3" w14:textId="77777777" w:rsidR="00F40150" w:rsidRPr="00F40150" w:rsidRDefault="00F40150" w:rsidP="00F40150">
            <w:pPr>
              <w:rPr>
                <w:rFonts w:ascii="Arial" w:hAnsi="Arial" w:cs="Arial"/>
                <w:sz w:val="20"/>
                <w:szCs w:val="20"/>
              </w:rPr>
            </w:pPr>
            <w:r w:rsidRPr="00F40150">
              <w:rPr>
                <w:rFonts w:ascii="Arial" w:hAnsi="Arial" w:cs="Arial"/>
                <w:sz w:val="20"/>
                <w:szCs w:val="20"/>
              </w:rPr>
              <w:t>0.5</w:t>
            </w:r>
          </w:p>
        </w:tc>
        <w:tc>
          <w:tcPr>
            <w:tcW w:w="282" w:type="pct"/>
            <w:noWrap/>
            <w:hideMark/>
          </w:tcPr>
          <w:p w14:paraId="1E795370" w14:textId="77777777" w:rsidR="00F40150" w:rsidRPr="00F40150" w:rsidRDefault="00F40150" w:rsidP="00F40150">
            <w:pPr>
              <w:rPr>
                <w:rFonts w:ascii="Arial" w:hAnsi="Arial" w:cs="Arial"/>
                <w:sz w:val="20"/>
                <w:szCs w:val="20"/>
              </w:rPr>
            </w:pPr>
            <w:r w:rsidRPr="00F40150">
              <w:rPr>
                <w:rFonts w:ascii="Arial" w:hAnsi="Arial" w:cs="Arial"/>
                <w:sz w:val="20"/>
                <w:szCs w:val="20"/>
              </w:rPr>
              <w:t>0.2</w:t>
            </w:r>
          </w:p>
        </w:tc>
        <w:tc>
          <w:tcPr>
            <w:tcW w:w="288" w:type="pct"/>
            <w:noWrap/>
            <w:hideMark/>
          </w:tcPr>
          <w:p w14:paraId="2F829F91" w14:textId="77777777" w:rsidR="00F40150" w:rsidRPr="00F40150" w:rsidRDefault="00F40150" w:rsidP="00F40150">
            <w:pPr>
              <w:rPr>
                <w:rFonts w:ascii="Arial" w:hAnsi="Arial" w:cs="Arial"/>
                <w:sz w:val="20"/>
                <w:szCs w:val="20"/>
              </w:rPr>
            </w:pPr>
            <w:r w:rsidRPr="00F40150">
              <w:rPr>
                <w:rFonts w:ascii="Arial" w:hAnsi="Arial" w:cs="Arial"/>
                <w:sz w:val="20"/>
                <w:szCs w:val="20"/>
              </w:rPr>
              <w:t>-2.9</w:t>
            </w:r>
          </w:p>
        </w:tc>
        <w:tc>
          <w:tcPr>
            <w:tcW w:w="288" w:type="pct"/>
            <w:noWrap/>
            <w:hideMark/>
          </w:tcPr>
          <w:p w14:paraId="41305A23" w14:textId="77777777" w:rsidR="00F40150" w:rsidRPr="00F40150" w:rsidRDefault="00F40150" w:rsidP="00F40150">
            <w:pPr>
              <w:rPr>
                <w:rFonts w:ascii="Arial" w:hAnsi="Arial" w:cs="Arial"/>
                <w:sz w:val="20"/>
                <w:szCs w:val="20"/>
              </w:rPr>
            </w:pPr>
            <w:r w:rsidRPr="00F40150">
              <w:rPr>
                <w:rFonts w:ascii="Arial" w:hAnsi="Arial" w:cs="Arial"/>
                <w:sz w:val="20"/>
                <w:szCs w:val="20"/>
              </w:rPr>
              <w:t>-2.0</w:t>
            </w:r>
          </w:p>
        </w:tc>
        <w:tc>
          <w:tcPr>
            <w:tcW w:w="288" w:type="pct"/>
            <w:noWrap/>
            <w:hideMark/>
          </w:tcPr>
          <w:p w14:paraId="76FED018" w14:textId="77777777" w:rsidR="00F40150" w:rsidRPr="00F40150" w:rsidRDefault="00F40150" w:rsidP="00F40150">
            <w:pPr>
              <w:rPr>
                <w:rFonts w:ascii="Arial" w:hAnsi="Arial" w:cs="Arial"/>
                <w:sz w:val="20"/>
                <w:szCs w:val="20"/>
              </w:rPr>
            </w:pPr>
            <w:r w:rsidRPr="00F40150">
              <w:rPr>
                <w:rFonts w:ascii="Arial" w:hAnsi="Arial" w:cs="Arial"/>
                <w:sz w:val="20"/>
                <w:szCs w:val="20"/>
              </w:rPr>
              <w:t>-3.7</w:t>
            </w:r>
          </w:p>
        </w:tc>
        <w:tc>
          <w:tcPr>
            <w:tcW w:w="288" w:type="pct"/>
            <w:noWrap/>
            <w:hideMark/>
          </w:tcPr>
          <w:p w14:paraId="288231B0" w14:textId="77777777" w:rsidR="00F40150" w:rsidRPr="00F40150" w:rsidRDefault="00F40150" w:rsidP="00F40150">
            <w:pPr>
              <w:rPr>
                <w:rFonts w:ascii="Arial" w:hAnsi="Arial" w:cs="Arial"/>
                <w:sz w:val="20"/>
                <w:szCs w:val="20"/>
              </w:rPr>
            </w:pPr>
            <w:r w:rsidRPr="00F40150">
              <w:rPr>
                <w:rFonts w:ascii="Arial" w:hAnsi="Arial" w:cs="Arial"/>
                <w:sz w:val="20"/>
                <w:szCs w:val="20"/>
              </w:rPr>
              <w:t>-3.7</w:t>
            </w:r>
          </w:p>
        </w:tc>
        <w:tc>
          <w:tcPr>
            <w:tcW w:w="288" w:type="pct"/>
            <w:noWrap/>
            <w:hideMark/>
          </w:tcPr>
          <w:p w14:paraId="25B90847" w14:textId="77777777" w:rsidR="00F40150" w:rsidRPr="00F40150" w:rsidRDefault="00F40150" w:rsidP="00F40150">
            <w:pPr>
              <w:rPr>
                <w:rFonts w:ascii="Arial" w:hAnsi="Arial" w:cs="Arial"/>
                <w:sz w:val="20"/>
                <w:szCs w:val="20"/>
              </w:rPr>
            </w:pPr>
            <w:r w:rsidRPr="00F40150">
              <w:rPr>
                <w:rFonts w:ascii="Arial" w:hAnsi="Arial" w:cs="Arial"/>
                <w:sz w:val="20"/>
                <w:szCs w:val="20"/>
              </w:rPr>
              <w:t>-2.8</w:t>
            </w:r>
          </w:p>
        </w:tc>
        <w:tc>
          <w:tcPr>
            <w:tcW w:w="288" w:type="pct"/>
            <w:noWrap/>
            <w:hideMark/>
          </w:tcPr>
          <w:p w14:paraId="467F4F61" w14:textId="77777777" w:rsidR="00F40150" w:rsidRPr="00F40150" w:rsidRDefault="00F40150" w:rsidP="00F40150">
            <w:pPr>
              <w:rPr>
                <w:rFonts w:ascii="Arial" w:hAnsi="Arial" w:cs="Arial"/>
                <w:sz w:val="20"/>
                <w:szCs w:val="20"/>
              </w:rPr>
            </w:pPr>
            <w:r w:rsidRPr="00F40150">
              <w:rPr>
                <w:rFonts w:ascii="Arial" w:hAnsi="Arial" w:cs="Arial"/>
                <w:sz w:val="20"/>
                <w:szCs w:val="20"/>
              </w:rPr>
              <w:t>-4.0</w:t>
            </w:r>
          </w:p>
        </w:tc>
        <w:tc>
          <w:tcPr>
            <w:tcW w:w="288" w:type="pct"/>
            <w:gridSpan w:val="2"/>
            <w:noWrap/>
            <w:hideMark/>
          </w:tcPr>
          <w:p w14:paraId="1D150FF0" w14:textId="77777777" w:rsidR="00F40150" w:rsidRPr="00F40150" w:rsidRDefault="00F40150" w:rsidP="00F40150">
            <w:pPr>
              <w:rPr>
                <w:rFonts w:ascii="Arial" w:hAnsi="Arial" w:cs="Arial"/>
                <w:sz w:val="20"/>
                <w:szCs w:val="20"/>
              </w:rPr>
            </w:pPr>
            <w:r w:rsidRPr="00F40150">
              <w:rPr>
                <w:rFonts w:ascii="Arial" w:hAnsi="Arial" w:cs="Arial"/>
                <w:sz w:val="20"/>
                <w:szCs w:val="20"/>
              </w:rPr>
              <w:t>-2.7</w:t>
            </w:r>
          </w:p>
        </w:tc>
        <w:tc>
          <w:tcPr>
            <w:tcW w:w="372" w:type="pct"/>
            <w:gridSpan w:val="2"/>
            <w:noWrap/>
            <w:hideMark/>
          </w:tcPr>
          <w:p w14:paraId="4C11198B" w14:textId="77777777" w:rsidR="00F40150" w:rsidRPr="00F40150" w:rsidRDefault="00F40150" w:rsidP="00F40150">
            <w:pPr>
              <w:rPr>
                <w:rFonts w:ascii="Arial" w:hAnsi="Arial" w:cs="Arial"/>
                <w:sz w:val="20"/>
                <w:szCs w:val="20"/>
              </w:rPr>
            </w:pPr>
            <w:r w:rsidRPr="00F40150">
              <w:rPr>
                <w:rFonts w:ascii="Arial" w:hAnsi="Arial" w:cs="Arial"/>
                <w:sz w:val="20"/>
                <w:szCs w:val="20"/>
              </w:rPr>
              <w:t>9.6</w:t>
            </w:r>
          </w:p>
        </w:tc>
      </w:tr>
      <w:tr w:rsidR="00F40150" w:rsidRPr="00F40150" w14:paraId="0FD2121F" w14:textId="77777777" w:rsidTr="00F40150">
        <w:trPr>
          <w:trHeight w:val="393"/>
        </w:trPr>
        <w:tc>
          <w:tcPr>
            <w:tcW w:w="465" w:type="pct"/>
            <w:noWrap/>
            <w:hideMark/>
          </w:tcPr>
          <w:p w14:paraId="74E0995C" w14:textId="77777777" w:rsidR="00F40150" w:rsidRPr="00F40150" w:rsidRDefault="00F40150" w:rsidP="00F40150">
            <w:pPr>
              <w:spacing w:line="360" w:lineRule="auto"/>
              <w:jc w:val="both"/>
            </w:pPr>
            <w:r w:rsidRPr="00F40150">
              <w:rPr>
                <w:rFonts w:ascii="Arial" w:hAnsi="Arial" w:cs="Arial"/>
                <w:sz w:val="20"/>
                <w:szCs w:val="20"/>
              </w:rPr>
              <w:t xml:space="preserve">CRO </w:t>
            </w:r>
            <w:r w:rsidRPr="00F40150">
              <w:t>5</w:t>
            </w:r>
          </w:p>
        </w:tc>
        <w:tc>
          <w:tcPr>
            <w:tcW w:w="368" w:type="pct"/>
            <w:noWrap/>
            <w:hideMark/>
          </w:tcPr>
          <w:p w14:paraId="676864C4" w14:textId="77777777" w:rsidR="00F40150" w:rsidRPr="00F40150" w:rsidRDefault="00F40150" w:rsidP="00F40150">
            <w:pPr>
              <w:rPr>
                <w:rFonts w:ascii="Arial" w:hAnsi="Arial" w:cs="Arial"/>
                <w:sz w:val="20"/>
                <w:szCs w:val="20"/>
              </w:rPr>
            </w:pPr>
            <w:r w:rsidRPr="00F40150">
              <w:rPr>
                <w:rFonts w:ascii="Arial" w:hAnsi="Arial" w:cs="Arial"/>
                <w:sz w:val="20"/>
                <w:szCs w:val="20"/>
              </w:rPr>
              <w:t>215.1</w:t>
            </w:r>
          </w:p>
        </w:tc>
        <w:tc>
          <w:tcPr>
            <w:tcW w:w="311" w:type="pct"/>
            <w:noWrap/>
            <w:hideMark/>
          </w:tcPr>
          <w:p w14:paraId="2AEEA745" w14:textId="77777777" w:rsidR="00F40150" w:rsidRPr="00F40150" w:rsidRDefault="00F40150" w:rsidP="00F40150">
            <w:pPr>
              <w:rPr>
                <w:rFonts w:ascii="Arial" w:hAnsi="Arial" w:cs="Arial"/>
                <w:sz w:val="20"/>
                <w:szCs w:val="20"/>
              </w:rPr>
            </w:pPr>
            <w:r w:rsidRPr="00F40150">
              <w:rPr>
                <w:rFonts w:ascii="Arial" w:hAnsi="Arial" w:cs="Arial"/>
                <w:sz w:val="20"/>
                <w:szCs w:val="20"/>
              </w:rPr>
              <w:t>1.4</w:t>
            </w:r>
          </w:p>
        </w:tc>
        <w:tc>
          <w:tcPr>
            <w:tcW w:w="282" w:type="pct"/>
            <w:noWrap/>
            <w:hideMark/>
          </w:tcPr>
          <w:p w14:paraId="2093C368" w14:textId="77777777" w:rsidR="00F40150" w:rsidRPr="00F40150" w:rsidRDefault="00F40150" w:rsidP="00F40150">
            <w:pPr>
              <w:rPr>
                <w:rFonts w:ascii="Arial" w:hAnsi="Arial" w:cs="Arial"/>
                <w:sz w:val="20"/>
                <w:szCs w:val="20"/>
              </w:rPr>
            </w:pPr>
            <w:r w:rsidRPr="00F40150">
              <w:rPr>
                <w:rFonts w:ascii="Arial" w:hAnsi="Arial" w:cs="Arial"/>
                <w:sz w:val="20"/>
                <w:szCs w:val="20"/>
              </w:rPr>
              <w:t>0.6</w:t>
            </w:r>
          </w:p>
        </w:tc>
        <w:tc>
          <w:tcPr>
            <w:tcW w:w="311" w:type="pct"/>
            <w:noWrap/>
            <w:hideMark/>
          </w:tcPr>
          <w:p w14:paraId="5FBC2F3E" w14:textId="77777777" w:rsidR="00F40150" w:rsidRPr="00F40150" w:rsidRDefault="00F40150" w:rsidP="00F40150">
            <w:pPr>
              <w:rPr>
                <w:rFonts w:ascii="Arial" w:hAnsi="Arial" w:cs="Arial"/>
                <w:sz w:val="20"/>
                <w:szCs w:val="20"/>
              </w:rPr>
            </w:pPr>
            <w:r w:rsidRPr="00F40150">
              <w:rPr>
                <w:rFonts w:ascii="Arial" w:hAnsi="Arial" w:cs="Arial"/>
                <w:sz w:val="20"/>
                <w:szCs w:val="20"/>
              </w:rPr>
              <w:t>4.4</w:t>
            </w:r>
          </w:p>
        </w:tc>
        <w:tc>
          <w:tcPr>
            <w:tcW w:w="282" w:type="pct"/>
            <w:noWrap/>
            <w:hideMark/>
          </w:tcPr>
          <w:p w14:paraId="516D3BC8" w14:textId="77777777" w:rsidR="00F40150" w:rsidRPr="00F40150" w:rsidRDefault="00F40150" w:rsidP="00F40150">
            <w:pPr>
              <w:rPr>
                <w:rFonts w:ascii="Arial" w:hAnsi="Arial" w:cs="Arial"/>
                <w:sz w:val="20"/>
                <w:szCs w:val="20"/>
              </w:rPr>
            </w:pPr>
            <w:r w:rsidRPr="00F40150">
              <w:rPr>
                <w:rFonts w:ascii="Arial" w:hAnsi="Arial" w:cs="Arial"/>
                <w:sz w:val="20"/>
                <w:szCs w:val="20"/>
              </w:rPr>
              <w:t>1.2</w:t>
            </w:r>
          </w:p>
        </w:tc>
        <w:tc>
          <w:tcPr>
            <w:tcW w:w="311" w:type="pct"/>
            <w:noWrap/>
            <w:hideMark/>
          </w:tcPr>
          <w:p w14:paraId="669B54D3" w14:textId="77777777" w:rsidR="00F40150" w:rsidRPr="00F40150" w:rsidRDefault="00F40150" w:rsidP="00F40150">
            <w:pPr>
              <w:rPr>
                <w:rFonts w:ascii="Arial" w:hAnsi="Arial" w:cs="Arial"/>
                <w:sz w:val="20"/>
                <w:szCs w:val="20"/>
              </w:rPr>
            </w:pPr>
            <w:r w:rsidRPr="00F40150">
              <w:rPr>
                <w:rFonts w:ascii="Arial" w:hAnsi="Arial" w:cs="Arial"/>
                <w:sz w:val="20"/>
                <w:szCs w:val="20"/>
              </w:rPr>
              <w:t>8.1</w:t>
            </w:r>
          </w:p>
        </w:tc>
        <w:tc>
          <w:tcPr>
            <w:tcW w:w="282" w:type="pct"/>
            <w:noWrap/>
            <w:hideMark/>
          </w:tcPr>
          <w:p w14:paraId="70121571" w14:textId="77777777" w:rsidR="00F40150" w:rsidRPr="00F40150" w:rsidRDefault="00F40150" w:rsidP="00F40150">
            <w:pPr>
              <w:rPr>
                <w:rFonts w:ascii="Arial" w:hAnsi="Arial" w:cs="Arial"/>
                <w:sz w:val="20"/>
                <w:szCs w:val="20"/>
              </w:rPr>
            </w:pPr>
            <w:r w:rsidRPr="00F40150">
              <w:rPr>
                <w:rFonts w:ascii="Arial" w:hAnsi="Arial" w:cs="Arial"/>
                <w:sz w:val="20"/>
                <w:szCs w:val="20"/>
              </w:rPr>
              <w:t>0.8</w:t>
            </w:r>
          </w:p>
        </w:tc>
        <w:tc>
          <w:tcPr>
            <w:tcW w:w="288" w:type="pct"/>
            <w:noWrap/>
            <w:hideMark/>
          </w:tcPr>
          <w:p w14:paraId="00CD7462" w14:textId="77777777" w:rsidR="00F40150" w:rsidRPr="00F40150" w:rsidRDefault="00F40150" w:rsidP="00F40150">
            <w:pPr>
              <w:rPr>
                <w:rFonts w:ascii="Arial" w:hAnsi="Arial" w:cs="Arial"/>
                <w:sz w:val="20"/>
                <w:szCs w:val="20"/>
              </w:rPr>
            </w:pPr>
            <w:r w:rsidRPr="00F40150">
              <w:rPr>
                <w:rFonts w:ascii="Arial" w:hAnsi="Arial" w:cs="Arial"/>
                <w:sz w:val="20"/>
                <w:szCs w:val="20"/>
              </w:rPr>
              <w:t>3.8</w:t>
            </w:r>
          </w:p>
        </w:tc>
        <w:tc>
          <w:tcPr>
            <w:tcW w:w="288" w:type="pct"/>
            <w:noWrap/>
            <w:hideMark/>
          </w:tcPr>
          <w:p w14:paraId="64F68F78" w14:textId="77777777" w:rsidR="00F40150" w:rsidRPr="00F40150" w:rsidRDefault="00F40150" w:rsidP="00F40150">
            <w:pPr>
              <w:rPr>
                <w:rFonts w:ascii="Arial" w:hAnsi="Arial" w:cs="Arial"/>
                <w:sz w:val="20"/>
                <w:szCs w:val="20"/>
              </w:rPr>
            </w:pPr>
            <w:r w:rsidRPr="00F40150">
              <w:rPr>
                <w:rFonts w:ascii="Arial" w:hAnsi="Arial" w:cs="Arial"/>
                <w:sz w:val="20"/>
                <w:szCs w:val="20"/>
              </w:rPr>
              <w:t>-2.5</w:t>
            </w:r>
          </w:p>
        </w:tc>
        <w:tc>
          <w:tcPr>
            <w:tcW w:w="288" w:type="pct"/>
            <w:noWrap/>
            <w:hideMark/>
          </w:tcPr>
          <w:p w14:paraId="61EACD74" w14:textId="77777777" w:rsidR="00F40150" w:rsidRPr="00F40150" w:rsidRDefault="00F40150" w:rsidP="00F40150">
            <w:pPr>
              <w:rPr>
                <w:rFonts w:ascii="Arial" w:hAnsi="Arial" w:cs="Arial"/>
                <w:sz w:val="20"/>
                <w:szCs w:val="20"/>
              </w:rPr>
            </w:pPr>
            <w:r w:rsidRPr="00F40150">
              <w:rPr>
                <w:rFonts w:ascii="Arial" w:hAnsi="Arial" w:cs="Arial"/>
                <w:sz w:val="20"/>
                <w:szCs w:val="20"/>
              </w:rPr>
              <w:t>-2.3</w:t>
            </w:r>
          </w:p>
        </w:tc>
        <w:tc>
          <w:tcPr>
            <w:tcW w:w="288" w:type="pct"/>
            <w:noWrap/>
            <w:hideMark/>
          </w:tcPr>
          <w:p w14:paraId="07D8BECD" w14:textId="77777777" w:rsidR="00F40150" w:rsidRPr="00F40150" w:rsidRDefault="00F40150" w:rsidP="00F40150">
            <w:pPr>
              <w:rPr>
                <w:rFonts w:ascii="Arial" w:hAnsi="Arial" w:cs="Arial"/>
                <w:sz w:val="20"/>
                <w:szCs w:val="20"/>
              </w:rPr>
            </w:pPr>
            <w:r w:rsidRPr="00F40150">
              <w:rPr>
                <w:rFonts w:ascii="Arial" w:hAnsi="Arial" w:cs="Arial"/>
                <w:sz w:val="20"/>
                <w:szCs w:val="20"/>
              </w:rPr>
              <w:t>-2.3</w:t>
            </w:r>
          </w:p>
        </w:tc>
        <w:tc>
          <w:tcPr>
            <w:tcW w:w="288" w:type="pct"/>
            <w:noWrap/>
            <w:hideMark/>
          </w:tcPr>
          <w:p w14:paraId="211C61EA" w14:textId="77777777" w:rsidR="00F40150" w:rsidRPr="00F40150" w:rsidRDefault="00F40150" w:rsidP="00F40150">
            <w:pPr>
              <w:rPr>
                <w:rFonts w:ascii="Arial" w:hAnsi="Arial" w:cs="Arial"/>
                <w:sz w:val="20"/>
                <w:szCs w:val="20"/>
              </w:rPr>
            </w:pPr>
            <w:r w:rsidRPr="00F40150">
              <w:rPr>
                <w:rFonts w:ascii="Arial" w:hAnsi="Arial" w:cs="Arial"/>
                <w:sz w:val="20"/>
                <w:szCs w:val="20"/>
              </w:rPr>
              <w:t>-2.6</w:t>
            </w:r>
          </w:p>
        </w:tc>
        <w:tc>
          <w:tcPr>
            <w:tcW w:w="288" w:type="pct"/>
            <w:noWrap/>
            <w:hideMark/>
          </w:tcPr>
          <w:p w14:paraId="58E524A0" w14:textId="77777777" w:rsidR="00F40150" w:rsidRPr="00F40150" w:rsidRDefault="00F40150" w:rsidP="00F40150">
            <w:pPr>
              <w:rPr>
                <w:rFonts w:ascii="Arial" w:hAnsi="Arial" w:cs="Arial"/>
                <w:sz w:val="20"/>
                <w:szCs w:val="20"/>
              </w:rPr>
            </w:pPr>
            <w:r w:rsidRPr="00F40150">
              <w:rPr>
                <w:rFonts w:ascii="Arial" w:hAnsi="Arial" w:cs="Arial"/>
                <w:sz w:val="20"/>
                <w:szCs w:val="20"/>
              </w:rPr>
              <w:t>0.1</w:t>
            </w:r>
          </w:p>
        </w:tc>
        <w:tc>
          <w:tcPr>
            <w:tcW w:w="288" w:type="pct"/>
            <w:gridSpan w:val="2"/>
            <w:noWrap/>
            <w:hideMark/>
          </w:tcPr>
          <w:p w14:paraId="69BAE710" w14:textId="77777777" w:rsidR="00F40150" w:rsidRPr="00F40150" w:rsidRDefault="00F40150" w:rsidP="00F40150">
            <w:pPr>
              <w:rPr>
                <w:rFonts w:ascii="Arial" w:hAnsi="Arial" w:cs="Arial"/>
                <w:sz w:val="20"/>
                <w:szCs w:val="20"/>
              </w:rPr>
            </w:pPr>
            <w:r w:rsidRPr="00F40150">
              <w:rPr>
                <w:rFonts w:ascii="Arial" w:hAnsi="Arial" w:cs="Arial"/>
                <w:sz w:val="20"/>
                <w:szCs w:val="20"/>
              </w:rPr>
              <w:t>-1.0</w:t>
            </w:r>
          </w:p>
        </w:tc>
        <w:tc>
          <w:tcPr>
            <w:tcW w:w="372" w:type="pct"/>
            <w:gridSpan w:val="2"/>
            <w:noWrap/>
            <w:hideMark/>
          </w:tcPr>
          <w:p w14:paraId="423F41F4" w14:textId="77777777" w:rsidR="00F40150" w:rsidRPr="00F40150" w:rsidRDefault="00F40150" w:rsidP="00F40150">
            <w:pPr>
              <w:rPr>
                <w:rFonts w:ascii="Arial" w:hAnsi="Arial" w:cs="Arial"/>
                <w:sz w:val="20"/>
                <w:szCs w:val="20"/>
              </w:rPr>
            </w:pPr>
            <w:r w:rsidRPr="00F40150">
              <w:rPr>
                <w:rFonts w:ascii="Arial" w:hAnsi="Arial" w:cs="Arial"/>
                <w:sz w:val="20"/>
                <w:szCs w:val="20"/>
              </w:rPr>
              <w:t>231.5</w:t>
            </w:r>
          </w:p>
        </w:tc>
      </w:tr>
      <w:tr w:rsidR="00F40150" w:rsidRPr="00F40150" w14:paraId="6DB5A43C" w14:textId="77777777" w:rsidTr="00F40150">
        <w:trPr>
          <w:trHeight w:val="393"/>
        </w:trPr>
        <w:tc>
          <w:tcPr>
            <w:tcW w:w="465" w:type="pct"/>
            <w:noWrap/>
            <w:hideMark/>
          </w:tcPr>
          <w:p w14:paraId="090DF8FF" w14:textId="77777777" w:rsidR="00F40150" w:rsidRPr="00F40150" w:rsidRDefault="00F40150" w:rsidP="00F40150">
            <w:pPr>
              <w:spacing w:line="360" w:lineRule="auto"/>
              <w:jc w:val="both"/>
            </w:pPr>
            <w:r w:rsidRPr="00F40150">
              <w:rPr>
                <w:rFonts w:ascii="Arial" w:hAnsi="Arial" w:cs="Arial"/>
                <w:sz w:val="20"/>
                <w:szCs w:val="20"/>
              </w:rPr>
              <w:t xml:space="preserve">Pst </w:t>
            </w:r>
            <w:r w:rsidRPr="00F40150">
              <w:t>7i</w:t>
            </w:r>
          </w:p>
        </w:tc>
        <w:tc>
          <w:tcPr>
            <w:tcW w:w="368" w:type="pct"/>
            <w:noWrap/>
            <w:hideMark/>
          </w:tcPr>
          <w:p w14:paraId="7815F7EB" w14:textId="77777777" w:rsidR="00F40150" w:rsidRPr="00F40150" w:rsidRDefault="00F40150" w:rsidP="00F40150">
            <w:pPr>
              <w:rPr>
                <w:rFonts w:ascii="Arial" w:hAnsi="Arial" w:cs="Arial"/>
                <w:sz w:val="20"/>
                <w:szCs w:val="20"/>
              </w:rPr>
            </w:pPr>
            <w:r w:rsidRPr="00F40150">
              <w:rPr>
                <w:rFonts w:ascii="Arial" w:hAnsi="Arial" w:cs="Arial"/>
                <w:sz w:val="20"/>
                <w:szCs w:val="20"/>
              </w:rPr>
              <w:t>263.5</w:t>
            </w:r>
          </w:p>
        </w:tc>
        <w:tc>
          <w:tcPr>
            <w:tcW w:w="311" w:type="pct"/>
            <w:noWrap/>
            <w:hideMark/>
          </w:tcPr>
          <w:p w14:paraId="7DD4F5CB"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2" w:type="pct"/>
            <w:noWrap/>
            <w:hideMark/>
          </w:tcPr>
          <w:p w14:paraId="6DE65DA9"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311" w:type="pct"/>
            <w:noWrap/>
            <w:hideMark/>
          </w:tcPr>
          <w:p w14:paraId="39A41268"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2" w:type="pct"/>
            <w:noWrap/>
            <w:hideMark/>
          </w:tcPr>
          <w:p w14:paraId="6662FCEA"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311" w:type="pct"/>
            <w:noWrap/>
            <w:hideMark/>
          </w:tcPr>
          <w:p w14:paraId="7E8D94BD"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2" w:type="pct"/>
            <w:noWrap/>
            <w:hideMark/>
          </w:tcPr>
          <w:p w14:paraId="189020E8"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noWrap/>
            <w:hideMark/>
          </w:tcPr>
          <w:p w14:paraId="6C4B1CB3" w14:textId="77777777" w:rsidR="00F40150" w:rsidRPr="00F40150" w:rsidRDefault="00F40150" w:rsidP="00F40150">
            <w:pPr>
              <w:rPr>
                <w:rFonts w:ascii="Arial" w:hAnsi="Arial" w:cs="Arial"/>
                <w:sz w:val="20"/>
                <w:szCs w:val="20"/>
              </w:rPr>
            </w:pPr>
            <w:r w:rsidRPr="00F40150">
              <w:rPr>
                <w:rFonts w:ascii="Arial" w:hAnsi="Arial" w:cs="Arial"/>
                <w:sz w:val="20"/>
                <w:szCs w:val="20"/>
              </w:rPr>
              <w:t>4.1</w:t>
            </w:r>
          </w:p>
        </w:tc>
        <w:tc>
          <w:tcPr>
            <w:tcW w:w="288" w:type="pct"/>
            <w:noWrap/>
            <w:hideMark/>
          </w:tcPr>
          <w:p w14:paraId="1898F69E"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noWrap/>
            <w:hideMark/>
          </w:tcPr>
          <w:p w14:paraId="3F39BAFA"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noWrap/>
            <w:hideMark/>
          </w:tcPr>
          <w:p w14:paraId="24C6EFC6"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noWrap/>
            <w:hideMark/>
          </w:tcPr>
          <w:p w14:paraId="7EE9486E"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noWrap/>
            <w:hideMark/>
          </w:tcPr>
          <w:p w14:paraId="568CAB6E"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288" w:type="pct"/>
            <w:gridSpan w:val="2"/>
            <w:noWrap/>
            <w:hideMark/>
          </w:tcPr>
          <w:p w14:paraId="6D998462" w14:textId="77777777" w:rsidR="00F40150" w:rsidRPr="00F40150" w:rsidRDefault="00F40150" w:rsidP="00F40150">
            <w:pPr>
              <w:rPr>
                <w:rFonts w:ascii="Arial" w:hAnsi="Arial" w:cs="Arial"/>
                <w:sz w:val="20"/>
                <w:szCs w:val="20"/>
              </w:rPr>
            </w:pPr>
            <w:r w:rsidRPr="00F40150">
              <w:rPr>
                <w:rFonts w:ascii="Arial" w:hAnsi="Arial" w:cs="Arial"/>
                <w:sz w:val="20"/>
                <w:szCs w:val="20"/>
              </w:rPr>
              <w:t>N.A</w:t>
            </w:r>
          </w:p>
        </w:tc>
        <w:tc>
          <w:tcPr>
            <w:tcW w:w="372" w:type="pct"/>
            <w:gridSpan w:val="2"/>
            <w:noWrap/>
            <w:hideMark/>
          </w:tcPr>
          <w:p w14:paraId="3578933F" w14:textId="77777777" w:rsidR="00F40150" w:rsidRPr="00F40150" w:rsidRDefault="00F40150" w:rsidP="00F40150">
            <w:pPr>
              <w:rPr>
                <w:rFonts w:ascii="Arial" w:hAnsi="Arial" w:cs="Arial"/>
                <w:sz w:val="20"/>
                <w:szCs w:val="20"/>
              </w:rPr>
            </w:pPr>
            <w:r w:rsidRPr="00F40150">
              <w:rPr>
                <w:rFonts w:ascii="Arial" w:hAnsi="Arial" w:cs="Arial"/>
                <w:sz w:val="20"/>
                <w:szCs w:val="20"/>
              </w:rPr>
              <w:t>263.5</w:t>
            </w:r>
          </w:p>
        </w:tc>
      </w:tr>
      <w:tr w:rsidR="00F40150" w:rsidRPr="00F40150" w14:paraId="404B2071" w14:textId="77777777" w:rsidTr="00F40150">
        <w:trPr>
          <w:trHeight w:val="393"/>
        </w:trPr>
        <w:tc>
          <w:tcPr>
            <w:tcW w:w="465" w:type="pct"/>
            <w:noWrap/>
            <w:hideMark/>
          </w:tcPr>
          <w:p w14:paraId="6C6A9585" w14:textId="77777777" w:rsidR="00F40150" w:rsidRPr="00F40150" w:rsidRDefault="00F40150" w:rsidP="00F40150">
            <w:pPr>
              <w:spacing w:line="360" w:lineRule="auto"/>
              <w:jc w:val="both"/>
              <w:rPr>
                <w:rFonts w:ascii="Arial" w:hAnsi="Arial" w:cs="Arial"/>
                <w:sz w:val="20"/>
                <w:szCs w:val="20"/>
              </w:rPr>
            </w:pPr>
            <w:r w:rsidRPr="00F40150">
              <w:rPr>
                <w:rFonts w:ascii="Arial" w:hAnsi="Arial" w:cs="Arial"/>
                <w:sz w:val="20"/>
                <w:szCs w:val="20"/>
              </w:rPr>
              <w:t>pe_03</w:t>
            </w:r>
          </w:p>
        </w:tc>
        <w:tc>
          <w:tcPr>
            <w:tcW w:w="368" w:type="pct"/>
            <w:noWrap/>
            <w:hideMark/>
          </w:tcPr>
          <w:p w14:paraId="4FF6F5BE" w14:textId="77777777" w:rsidR="00F40150" w:rsidRPr="00F40150" w:rsidRDefault="00F40150" w:rsidP="00F40150">
            <w:pPr>
              <w:rPr>
                <w:rFonts w:ascii="Arial" w:hAnsi="Arial" w:cs="Arial"/>
                <w:sz w:val="20"/>
                <w:szCs w:val="20"/>
              </w:rPr>
            </w:pPr>
            <w:r w:rsidRPr="00F40150">
              <w:rPr>
                <w:rFonts w:ascii="Arial" w:hAnsi="Arial" w:cs="Arial"/>
                <w:sz w:val="20"/>
                <w:szCs w:val="20"/>
              </w:rPr>
              <w:t>59.5</w:t>
            </w:r>
          </w:p>
        </w:tc>
        <w:tc>
          <w:tcPr>
            <w:tcW w:w="311" w:type="pct"/>
            <w:noWrap/>
            <w:hideMark/>
          </w:tcPr>
          <w:p w14:paraId="503E5F8D" w14:textId="77777777" w:rsidR="00F40150" w:rsidRPr="00F40150" w:rsidRDefault="00F40150" w:rsidP="00F40150">
            <w:pPr>
              <w:rPr>
                <w:rFonts w:ascii="Arial" w:hAnsi="Arial" w:cs="Arial"/>
                <w:sz w:val="20"/>
                <w:szCs w:val="20"/>
              </w:rPr>
            </w:pPr>
            <w:r w:rsidRPr="00F40150">
              <w:rPr>
                <w:rFonts w:ascii="Arial" w:hAnsi="Arial" w:cs="Arial"/>
                <w:sz w:val="20"/>
                <w:szCs w:val="20"/>
              </w:rPr>
              <w:t>8.5</w:t>
            </w:r>
          </w:p>
        </w:tc>
        <w:tc>
          <w:tcPr>
            <w:tcW w:w="282" w:type="pct"/>
            <w:noWrap/>
            <w:hideMark/>
          </w:tcPr>
          <w:p w14:paraId="03E482C9" w14:textId="77777777" w:rsidR="00F40150" w:rsidRPr="00F40150" w:rsidRDefault="00F40150" w:rsidP="00F40150">
            <w:pPr>
              <w:rPr>
                <w:rFonts w:ascii="Arial" w:hAnsi="Arial" w:cs="Arial"/>
                <w:sz w:val="20"/>
                <w:szCs w:val="20"/>
              </w:rPr>
            </w:pPr>
            <w:r w:rsidRPr="00F40150">
              <w:rPr>
                <w:rFonts w:ascii="Arial" w:hAnsi="Arial" w:cs="Arial"/>
                <w:sz w:val="20"/>
                <w:szCs w:val="20"/>
              </w:rPr>
              <w:t>1.1</w:t>
            </w:r>
          </w:p>
        </w:tc>
        <w:tc>
          <w:tcPr>
            <w:tcW w:w="311" w:type="pct"/>
            <w:noWrap/>
            <w:hideMark/>
          </w:tcPr>
          <w:p w14:paraId="707A1556" w14:textId="77777777" w:rsidR="00F40150" w:rsidRPr="00F40150" w:rsidRDefault="00F40150" w:rsidP="00F40150">
            <w:pPr>
              <w:rPr>
                <w:rFonts w:ascii="Arial" w:hAnsi="Arial" w:cs="Arial"/>
                <w:sz w:val="20"/>
                <w:szCs w:val="20"/>
              </w:rPr>
            </w:pPr>
            <w:r w:rsidRPr="00F40150">
              <w:rPr>
                <w:rFonts w:ascii="Arial" w:hAnsi="Arial" w:cs="Arial"/>
                <w:sz w:val="20"/>
                <w:szCs w:val="20"/>
              </w:rPr>
              <w:t>3.7</w:t>
            </w:r>
          </w:p>
        </w:tc>
        <w:tc>
          <w:tcPr>
            <w:tcW w:w="282" w:type="pct"/>
            <w:noWrap/>
            <w:hideMark/>
          </w:tcPr>
          <w:p w14:paraId="1691668D" w14:textId="77777777" w:rsidR="00F40150" w:rsidRPr="00F40150" w:rsidRDefault="00F40150" w:rsidP="00F40150">
            <w:pPr>
              <w:rPr>
                <w:rFonts w:ascii="Arial" w:hAnsi="Arial" w:cs="Arial"/>
                <w:sz w:val="20"/>
                <w:szCs w:val="20"/>
              </w:rPr>
            </w:pPr>
            <w:r w:rsidRPr="00F40150">
              <w:rPr>
                <w:rFonts w:ascii="Arial" w:hAnsi="Arial" w:cs="Arial"/>
                <w:sz w:val="20"/>
                <w:szCs w:val="20"/>
              </w:rPr>
              <w:t>2.2</w:t>
            </w:r>
          </w:p>
        </w:tc>
        <w:tc>
          <w:tcPr>
            <w:tcW w:w="311" w:type="pct"/>
            <w:noWrap/>
            <w:hideMark/>
          </w:tcPr>
          <w:p w14:paraId="6317EEAF" w14:textId="77777777" w:rsidR="00F40150" w:rsidRPr="00F40150" w:rsidRDefault="00F40150" w:rsidP="00F40150">
            <w:pPr>
              <w:rPr>
                <w:rFonts w:ascii="Arial" w:hAnsi="Arial" w:cs="Arial"/>
                <w:sz w:val="20"/>
                <w:szCs w:val="20"/>
              </w:rPr>
            </w:pPr>
            <w:r w:rsidRPr="00F40150">
              <w:rPr>
                <w:rFonts w:ascii="Arial" w:hAnsi="Arial" w:cs="Arial"/>
                <w:sz w:val="20"/>
                <w:szCs w:val="20"/>
              </w:rPr>
              <w:t>4.5</w:t>
            </w:r>
          </w:p>
        </w:tc>
        <w:tc>
          <w:tcPr>
            <w:tcW w:w="282" w:type="pct"/>
            <w:noWrap/>
            <w:hideMark/>
          </w:tcPr>
          <w:p w14:paraId="282CAA02" w14:textId="77777777" w:rsidR="00F40150" w:rsidRPr="00F40150" w:rsidRDefault="00F40150" w:rsidP="00F40150">
            <w:pPr>
              <w:rPr>
                <w:rFonts w:ascii="Arial" w:hAnsi="Arial" w:cs="Arial"/>
                <w:sz w:val="20"/>
                <w:szCs w:val="20"/>
              </w:rPr>
            </w:pPr>
            <w:r w:rsidRPr="00F40150">
              <w:rPr>
                <w:rFonts w:ascii="Arial" w:hAnsi="Arial" w:cs="Arial"/>
                <w:sz w:val="20"/>
                <w:szCs w:val="20"/>
              </w:rPr>
              <w:t>0.6</w:t>
            </w:r>
          </w:p>
        </w:tc>
        <w:tc>
          <w:tcPr>
            <w:tcW w:w="288" w:type="pct"/>
            <w:noWrap/>
            <w:hideMark/>
          </w:tcPr>
          <w:p w14:paraId="5482E0EC" w14:textId="77777777" w:rsidR="00F40150" w:rsidRPr="00F40150" w:rsidRDefault="00F40150" w:rsidP="00F40150">
            <w:pPr>
              <w:rPr>
                <w:rFonts w:ascii="Arial" w:hAnsi="Arial" w:cs="Arial"/>
                <w:sz w:val="20"/>
                <w:szCs w:val="20"/>
              </w:rPr>
            </w:pPr>
            <w:r w:rsidRPr="00F40150">
              <w:rPr>
                <w:rFonts w:ascii="Arial" w:hAnsi="Arial" w:cs="Arial"/>
                <w:sz w:val="20"/>
                <w:szCs w:val="20"/>
              </w:rPr>
              <w:t>2.0</w:t>
            </w:r>
          </w:p>
        </w:tc>
        <w:tc>
          <w:tcPr>
            <w:tcW w:w="288" w:type="pct"/>
            <w:noWrap/>
            <w:hideMark/>
          </w:tcPr>
          <w:p w14:paraId="3BFBA18A" w14:textId="77777777" w:rsidR="00F40150" w:rsidRPr="00F40150" w:rsidRDefault="00F40150" w:rsidP="00F40150">
            <w:pPr>
              <w:rPr>
                <w:rFonts w:ascii="Arial" w:hAnsi="Arial" w:cs="Arial"/>
                <w:sz w:val="20"/>
                <w:szCs w:val="20"/>
              </w:rPr>
            </w:pPr>
            <w:r w:rsidRPr="00F40150">
              <w:rPr>
                <w:rFonts w:ascii="Arial" w:hAnsi="Arial" w:cs="Arial"/>
                <w:sz w:val="20"/>
                <w:szCs w:val="20"/>
              </w:rPr>
              <w:t>0.2</w:t>
            </w:r>
          </w:p>
        </w:tc>
        <w:tc>
          <w:tcPr>
            <w:tcW w:w="288" w:type="pct"/>
            <w:noWrap/>
            <w:hideMark/>
          </w:tcPr>
          <w:p w14:paraId="3F7102E0" w14:textId="77777777" w:rsidR="00F40150" w:rsidRPr="00F40150" w:rsidRDefault="00F40150" w:rsidP="00F40150">
            <w:pPr>
              <w:rPr>
                <w:rFonts w:ascii="Arial" w:hAnsi="Arial" w:cs="Arial"/>
                <w:sz w:val="20"/>
                <w:szCs w:val="20"/>
              </w:rPr>
            </w:pPr>
            <w:r w:rsidRPr="00F40150">
              <w:rPr>
                <w:rFonts w:ascii="Arial" w:hAnsi="Arial" w:cs="Arial"/>
                <w:sz w:val="20"/>
                <w:szCs w:val="20"/>
              </w:rPr>
              <w:t>-1.5</w:t>
            </w:r>
          </w:p>
        </w:tc>
        <w:tc>
          <w:tcPr>
            <w:tcW w:w="288" w:type="pct"/>
            <w:noWrap/>
            <w:hideMark/>
          </w:tcPr>
          <w:p w14:paraId="6D8819BF" w14:textId="77777777" w:rsidR="00F40150" w:rsidRPr="00F40150" w:rsidRDefault="00F40150" w:rsidP="00F40150">
            <w:pPr>
              <w:rPr>
                <w:rFonts w:ascii="Arial" w:hAnsi="Arial" w:cs="Arial"/>
                <w:sz w:val="20"/>
                <w:szCs w:val="20"/>
              </w:rPr>
            </w:pPr>
            <w:r w:rsidRPr="00F40150">
              <w:rPr>
                <w:rFonts w:ascii="Arial" w:hAnsi="Arial" w:cs="Arial"/>
                <w:sz w:val="20"/>
                <w:szCs w:val="20"/>
              </w:rPr>
              <w:t>-1.5</w:t>
            </w:r>
          </w:p>
        </w:tc>
        <w:tc>
          <w:tcPr>
            <w:tcW w:w="288" w:type="pct"/>
            <w:noWrap/>
            <w:hideMark/>
          </w:tcPr>
          <w:p w14:paraId="1950B471" w14:textId="77777777" w:rsidR="00F40150" w:rsidRPr="00F40150" w:rsidRDefault="00F40150" w:rsidP="00F40150">
            <w:pPr>
              <w:rPr>
                <w:rFonts w:ascii="Arial" w:hAnsi="Arial" w:cs="Arial"/>
                <w:sz w:val="20"/>
                <w:szCs w:val="20"/>
              </w:rPr>
            </w:pPr>
            <w:r w:rsidRPr="00F40150">
              <w:rPr>
                <w:rFonts w:ascii="Arial" w:hAnsi="Arial" w:cs="Arial"/>
                <w:sz w:val="20"/>
                <w:szCs w:val="20"/>
              </w:rPr>
              <w:t>-1.8</w:t>
            </w:r>
          </w:p>
        </w:tc>
        <w:tc>
          <w:tcPr>
            <w:tcW w:w="288" w:type="pct"/>
            <w:noWrap/>
            <w:hideMark/>
          </w:tcPr>
          <w:p w14:paraId="482716DC" w14:textId="77777777" w:rsidR="00F40150" w:rsidRPr="00F40150" w:rsidRDefault="00F40150" w:rsidP="00F40150">
            <w:pPr>
              <w:rPr>
                <w:rFonts w:ascii="Arial" w:hAnsi="Arial" w:cs="Arial"/>
                <w:sz w:val="20"/>
                <w:szCs w:val="20"/>
              </w:rPr>
            </w:pPr>
            <w:r w:rsidRPr="00F40150">
              <w:rPr>
                <w:rFonts w:ascii="Arial" w:hAnsi="Arial" w:cs="Arial"/>
                <w:sz w:val="20"/>
                <w:szCs w:val="20"/>
              </w:rPr>
              <w:t>-0.7</w:t>
            </w:r>
          </w:p>
        </w:tc>
        <w:tc>
          <w:tcPr>
            <w:tcW w:w="288" w:type="pct"/>
            <w:gridSpan w:val="2"/>
            <w:noWrap/>
            <w:hideMark/>
          </w:tcPr>
          <w:p w14:paraId="1EA4DE86" w14:textId="77777777" w:rsidR="00F40150" w:rsidRPr="00F40150" w:rsidRDefault="00F40150" w:rsidP="00F40150">
            <w:pPr>
              <w:rPr>
                <w:rFonts w:ascii="Arial" w:hAnsi="Arial" w:cs="Arial"/>
                <w:sz w:val="20"/>
                <w:szCs w:val="20"/>
              </w:rPr>
            </w:pPr>
            <w:r w:rsidRPr="00F40150">
              <w:rPr>
                <w:rFonts w:ascii="Arial" w:hAnsi="Arial" w:cs="Arial"/>
                <w:sz w:val="20"/>
                <w:szCs w:val="20"/>
              </w:rPr>
              <w:t>-1.4</w:t>
            </w:r>
          </w:p>
        </w:tc>
        <w:tc>
          <w:tcPr>
            <w:tcW w:w="372" w:type="pct"/>
            <w:gridSpan w:val="2"/>
            <w:noWrap/>
            <w:hideMark/>
          </w:tcPr>
          <w:p w14:paraId="35F98409" w14:textId="77777777" w:rsidR="00F40150" w:rsidRPr="00F40150" w:rsidRDefault="00F40150" w:rsidP="00F40150">
            <w:pPr>
              <w:rPr>
                <w:rFonts w:ascii="Arial" w:hAnsi="Arial" w:cs="Arial"/>
                <w:sz w:val="20"/>
                <w:szCs w:val="20"/>
              </w:rPr>
            </w:pPr>
            <w:r w:rsidRPr="00F40150">
              <w:rPr>
                <w:rFonts w:ascii="Arial" w:hAnsi="Arial" w:cs="Arial"/>
                <w:sz w:val="20"/>
                <w:szCs w:val="20"/>
              </w:rPr>
              <w:t>80.1</w:t>
            </w:r>
          </w:p>
        </w:tc>
      </w:tr>
      <w:tr w:rsidR="00F40150" w:rsidRPr="00F40150" w14:paraId="4DDE5CA7" w14:textId="77777777" w:rsidTr="00F40150">
        <w:trPr>
          <w:trHeight w:val="393"/>
        </w:trPr>
        <w:tc>
          <w:tcPr>
            <w:tcW w:w="465" w:type="pct"/>
            <w:noWrap/>
            <w:hideMark/>
          </w:tcPr>
          <w:p w14:paraId="1D285A5B" w14:textId="77777777" w:rsidR="00F40150" w:rsidRPr="00F40150" w:rsidRDefault="00F40150" w:rsidP="00F40150">
            <w:pPr>
              <w:spacing w:line="360" w:lineRule="auto"/>
              <w:jc w:val="both"/>
              <w:rPr>
                <w:rFonts w:ascii="Arial" w:hAnsi="Arial" w:cs="Arial"/>
                <w:sz w:val="20"/>
                <w:szCs w:val="20"/>
              </w:rPr>
            </w:pPr>
            <w:r w:rsidRPr="00F40150">
              <w:rPr>
                <w:rFonts w:ascii="Arial" w:hAnsi="Arial" w:cs="Arial"/>
                <w:sz w:val="20"/>
                <w:szCs w:val="20"/>
              </w:rPr>
              <w:t>pe_08</w:t>
            </w:r>
          </w:p>
        </w:tc>
        <w:tc>
          <w:tcPr>
            <w:tcW w:w="368" w:type="pct"/>
            <w:noWrap/>
            <w:hideMark/>
          </w:tcPr>
          <w:p w14:paraId="301F1D97" w14:textId="77777777" w:rsidR="00F40150" w:rsidRPr="00F40150" w:rsidRDefault="00F40150" w:rsidP="00F40150">
            <w:pPr>
              <w:rPr>
                <w:rFonts w:ascii="Arial" w:hAnsi="Arial" w:cs="Arial"/>
                <w:sz w:val="20"/>
                <w:szCs w:val="20"/>
              </w:rPr>
            </w:pPr>
            <w:r w:rsidRPr="00F40150">
              <w:rPr>
                <w:rFonts w:ascii="Arial" w:hAnsi="Arial" w:cs="Arial"/>
                <w:sz w:val="20"/>
                <w:szCs w:val="20"/>
              </w:rPr>
              <w:t>1.3</w:t>
            </w:r>
          </w:p>
        </w:tc>
        <w:tc>
          <w:tcPr>
            <w:tcW w:w="311" w:type="pct"/>
            <w:noWrap/>
            <w:hideMark/>
          </w:tcPr>
          <w:p w14:paraId="34BEFD1A" w14:textId="77777777" w:rsidR="00F40150" w:rsidRPr="00F40150" w:rsidRDefault="00F40150" w:rsidP="00F40150">
            <w:pPr>
              <w:rPr>
                <w:rFonts w:ascii="Arial" w:hAnsi="Arial" w:cs="Arial"/>
                <w:sz w:val="20"/>
                <w:szCs w:val="20"/>
              </w:rPr>
            </w:pPr>
            <w:r w:rsidRPr="00F40150">
              <w:rPr>
                <w:rFonts w:ascii="Arial" w:hAnsi="Arial" w:cs="Arial"/>
                <w:sz w:val="20"/>
                <w:szCs w:val="20"/>
              </w:rPr>
              <w:t>10.6</w:t>
            </w:r>
          </w:p>
        </w:tc>
        <w:tc>
          <w:tcPr>
            <w:tcW w:w="282" w:type="pct"/>
            <w:noWrap/>
            <w:hideMark/>
          </w:tcPr>
          <w:p w14:paraId="1E00A0B8" w14:textId="77777777" w:rsidR="00F40150" w:rsidRPr="00F40150" w:rsidRDefault="00F40150" w:rsidP="00F40150">
            <w:pPr>
              <w:rPr>
                <w:rFonts w:ascii="Arial" w:hAnsi="Arial" w:cs="Arial"/>
                <w:sz w:val="20"/>
                <w:szCs w:val="20"/>
              </w:rPr>
            </w:pPr>
            <w:r w:rsidRPr="00F40150">
              <w:rPr>
                <w:rFonts w:ascii="Arial" w:hAnsi="Arial" w:cs="Arial"/>
                <w:sz w:val="20"/>
                <w:szCs w:val="20"/>
              </w:rPr>
              <w:t>0.8</w:t>
            </w:r>
          </w:p>
        </w:tc>
        <w:tc>
          <w:tcPr>
            <w:tcW w:w="311" w:type="pct"/>
            <w:noWrap/>
            <w:hideMark/>
          </w:tcPr>
          <w:p w14:paraId="19227742" w14:textId="77777777" w:rsidR="00F40150" w:rsidRPr="00F40150" w:rsidRDefault="00F40150" w:rsidP="00F40150">
            <w:pPr>
              <w:rPr>
                <w:rFonts w:ascii="Arial" w:hAnsi="Arial" w:cs="Arial"/>
                <w:sz w:val="20"/>
                <w:szCs w:val="20"/>
              </w:rPr>
            </w:pPr>
            <w:r w:rsidRPr="00F40150">
              <w:rPr>
                <w:rFonts w:ascii="Arial" w:hAnsi="Arial" w:cs="Arial"/>
                <w:sz w:val="20"/>
                <w:szCs w:val="20"/>
              </w:rPr>
              <w:t>1.6</w:t>
            </w:r>
          </w:p>
        </w:tc>
        <w:tc>
          <w:tcPr>
            <w:tcW w:w="282" w:type="pct"/>
            <w:noWrap/>
            <w:hideMark/>
          </w:tcPr>
          <w:p w14:paraId="5A45CC3B" w14:textId="77777777" w:rsidR="00F40150" w:rsidRPr="00F40150" w:rsidRDefault="00F40150" w:rsidP="00F40150">
            <w:pPr>
              <w:rPr>
                <w:rFonts w:ascii="Arial" w:hAnsi="Arial" w:cs="Arial"/>
                <w:sz w:val="20"/>
                <w:szCs w:val="20"/>
              </w:rPr>
            </w:pPr>
            <w:r w:rsidRPr="00F40150">
              <w:rPr>
                <w:rFonts w:ascii="Arial" w:hAnsi="Arial" w:cs="Arial"/>
                <w:sz w:val="20"/>
                <w:szCs w:val="20"/>
              </w:rPr>
              <w:t>1.6</w:t>
            </w:r>
          </w:p>
        </w:tc>
        <w:tc>
          <w:tcPr>
            <w:tcW w:w="311" w:type="pct"/>
            <w:noWrap/>
            <w:hideMark/>
          </w:tcPr>
          <w:p w14:paraId="42B8E88C" w14:textId="77777777" w:rsidR="00F40150" w:rsidRPr="00F40150" w:rsidRDefault="00F40150" w:rsidP="00F40150">
            <w:pPr>
              <w:rPr>
                <w:rFonts w:ascii="Arial" w:hAnsi="Arial" w:cs="Arial"/>
                <w:sz w:val="20"/>
                <w:szCs w:val="20"/>
              </w:rPr>
            </w:pPr>
            <w:r w:rsidRPr="00F40150">
              <w:rPr>
                <w:rFonts w:ascii="Arial" w:hAnsi="Arial" w:cs="Arial"/>
                <w:sz w:val="20"/>
                <w:szCs w:val="20"/>
              </w:rPr>
              <w:t>1.4</w:t>
            </w:r>
          </w:p>
        </w:tc>
        <w:tc>
          <w:tcPr>
            <w:tcW w:w="282" w:type="pct"/>
            <w:noWrap/>
            <w:hideMark/>
          </w:tcPr>
          <w:p w14:paraId="4ABE1907" w14:textId="77777777" w:rsidR="00F40150" w:rsidRPr="00F40150" w:rsidRDefault="00F40150" w:rsidP="00F40150">
            <w:pPr>
              <w:rPr>
                <w:rFonts w:ascii="Arial" w:hAnsi="Arial" w:cs="Arial"/>
                <w:sz w:val="20"/>
                <w:szCs w:val="20"/>
              </w:rPr>
            </w:pPr>
            <w:r w:rsidRPr="00F40150">
              <w:rPr>
                <w:rFonts w:ascii="Arial" w:hAnsi="Arial" w:cs="Arial"/>
                <w:sz w:val="20"/>
                <w:szCs w:val="20"/>
              </w:rPr>
              <w:t>0.5</w:t>
            </w:r>
          </w:p>
        </w:tc>
        <w:tc>
          <w:tcPr>
            <w:tcW w:w="288" w:type="pct"/>
            <w:noWrap/>
            <w:hideMark/>
          </w:tcPr>
          <w:p w14:paraId="79D2F708" w14:textId="77777777" w:rsidR="00F40150" w:rsidRPr="00F40150" w:rsidRDefault="00F40150" w:rsidP="00F40150">
            <w:pPr>
              <w:rPr>
                <w:rFonts w:ascii="Arial" w:hAnsi="Arial" w:cs="Arial"/>
                <w:sz w:val="20"/>
                <w:szCs w:val="20"/>
              </w:rPr>
            </w:pPr>
            <w:r w:rsidRPr="00F40150">
              <w:rPr>
                <w:rFonts w:ascii="Arial" w:hAnsi="Arial" w:cs="Arial"/>
                <w:sz w:val="20"/>
                <w:szCs w:val="20"/>
              </w:rPr>
              <w:t>-3.5</w:t>
            </w:r>
          </w:p>
        </w:tc>
        <w:tc>
          <w:tcPr>
            <w:tcW w:w="288" w:type="pct"/>
            <w:noWrap/>
            <w:hideMark/>
          </w:tcPr>
          <w:p w14:paraId="2D5BF7C7" w14:textId="77777777" w:rsidR="00F40150" w:rsidRPr="00F40150" w:rsidRDefault="00F40150" w:rsidP="00F40150">
            <w:pPr>
              <w:rPr>
                <w:rFonts w:ascii="Arial" w:hAnsi="Arial" w:cs="Arial"/>
                <w:sz w:val="20"/>
                <w:szCs w:val="20"/>
              </w:rPr>
            </w:pPr>
            <w:r w:rsidRPr="00F40150">
              <w:rPr>
                <w:rFonts w:ascii="Arial" w:hAnsi="Arial" w:cs="Arial"/>
                <w:sz w:val="20"/>
                <w:szCs w:val="20"/>
              </w:rPr>
              <w:t>0.5</w:t>
            </w:r>
          </w:p>
        </w:tc>
        <w:tc>
          <w:tcPr>
            <w:tcW w:w="288" w:type="pct"/>
            <w:noWrap/>
            <w:hideMark/>
          </w:tcPr>
          <w:p w14:paraId="3C3D4929" w14:textId="77777777" w:rsidR="00F40150" w:rsidRPr="00F40150" w:rsidRDefault="00F40150" w:rsidP="00F40150">
            <w:pPr>
              <w:rPr>
                <w:rFonts w:ascii="Arial" w:hAnsi="Arial" w:cs="Arial"/>
                <w:sz w:val="20"/>
                <w:szCs w:val="20"/>
              </w:rPr>
            </w:pPr>
            <w:r w:rsidRPr="00F40150">
              <w:rPr>
                <w:rFonts w:ascii="Arial" w:hAnsi="Arial" w:cs="Arial"/>
                <w:sz w:val="20"/>
                <w:szCs w:val="20"/>
              </w:rPr>
              <w:t>-1.9</w:t>
            </w:r>
          </w:p>
        </w:tc>
        <w:tc>
          <w:tcPr>
            <w:tcW w:w="288" w:type="pct"/>
            <w:noWrap/>
            <w:hideMark/>
          </w:tcPr>
          <w:p w14:paraId="162C88C2" w14:textId="77777777" w:rsidR="00F40150" w:rsidRPr="00F40150" w:rsidRDefault="00F40150" w:rsidP="00F40150">
            <w:pPr>
              <w:rPr>
                <w:rFonts w:ascii="Arial" w:hAnsi="Arial" w:cs="Arial"/>
                <w:sz w:val="20"/>
                <w:szCs w:val="20"/>
              </w:rPr>
            </w:pPr>
            <w:r w:rsidRPr="00F40150">
              <w:rPr>
                <w:rFonts w:ascii="Arial" w:hAnsi="Arial" w:cs="Arial"/>
                <w:sz w:val="20"/>
                <w:szCs w:val="20"/>
              </w:rPr>
              <w:t>-1.9</w:t>
            </w:r>
          </w:p>
        </w:tc>
        <w:tc>
          <w:tcPr>
            <w:tcW w:w="288" w:type="pct"/>
            <w:noWrap/>
            <w:hideMark/>
          </w:tcPr>
          <w:p w14:paraId="45872C4E" w14:textId="77777777" w:rsidR="00F40150" w:rsidRPr="00F40150" w:rsidRDefault="00F40150" w:rsidP="00F40150">
            <w:pPr>
              <w:rPr>
                <w:rFonts w:ascii="Arial" w:hAnsi="Arial" w:cs="Arial"/>
                <w:sz w:val="20"/>
                <w:szCs w:val="20"/>
              </w:rPr>
            </w:pPr>
            <w:r w:rsidRPr="00F40150">
              <w:rPr>
                <w:rFonts w:ascii="Arial" w:hAnsi="Arial" w:cs="Arial"/>
                <w:sz w:val="20"/>
                <w:szCs w:val="20"/>
              </w:rPr>
              <w:t>-2.3</w:t>
            </w:r>
          </w:p>
        </w:tc>
        <w:tc>
          <w:tcPr>
            <w:tcW w:w="288" w:type="pct"/>
            <w:noWrap/>
            <w:hideMark/>
          </w:tcPr>
          <w:p w14:paraId="6DBB7E28" w14:textId="77777777" w:rsidR="00F40150" w:rsidRPr="00F40150" w:rsidRDefault="00F40150" w:rsidP="00F40150">
            <w:pPr>
              <w:rPr>
                <w:rFonts w:ascii="Arial" w:hAnsi="Arial" w:cs="Arial"/>
                <w:sz w:val="20"/>
                <w:szCs w:val="20"/>
              </w:rPr>
            </w:pPr>
            <w:r w:rsidRPr="00F40150">
              <w:rPr>
                <w:rFonts w:ascii="Arial" w:hAnsi="Arial" w:cs="Arial"/>
                <w:sz w:val="20"/>
                <w:szCs w:val="20"/>
              </w:rPr>
              <w:t>-2.4</w:t>
            </w:r>
          </w:p>
        </w:tc>
        <w:tc>
          <w:tcPr>
            <w:tcW w:w="288" w:type="pct"/>
            <w:gridSpan w:val="2"/>
            <w:noWrap/>
            <w:hideMark/>
          </w:tcPr>
          <w:p w14:paraId="4CE3ABDB" w14:textId="77777777" w:rsidR="00F40150" w:rsidRPr="00F40150" w:rsidRDefault="00F40150" w:rsidP="00F40150">
            <w:pPr>
              <w:rPr>
                <w:rFonts w:ascii="Arial" w:hAnsi="Arial" w:cs="Arial"/>
                <w:sz w:val="20"/>
                <w:szCs w:val="20"/>
              </w:rPr>
            </w:pPr>
            <w:r w:rsidRPr="00F40150">
              <w:rPr>
                <w:rFonts w:ascii="Arial" w:hAnsi="Arial" w:cs="Arial"/>
                <w:sz w:val="20"/>
                <w:szCs w:val="20"/>
              </w:rPr>
              <w:t>-1.7</w:t>
            </w:r>
          </w:p>
        </w:tc>
        <w:tc>
          <w:tcPr>
            <w:tcW w:w="372" w:type="pct"/>
            <w:gridSpan w:val="2"/>
            <w:noWrap/>
            <w:hideMark/>
          </w:tcPr>
          <w:p w14:paraId="5544DCFB" w14:textId="77777777" w:rsidR="00F40150" w:rsidRPr="00F40150" w:rsidRDefault="00F40150" w:rsidP="00F40150">
            <w:pPr>
              <w:rPr>
                <w:rFonts w:ascii="Arial" w:hAnsi="Arial" w:cs="Arial"/>
                <w:sz w:val="20"/>
                <w:szCs w:val="20"/>
              </w:rPr>
            </w:pPr>
            <w:r w:rsidRPr="00F40150">
              <w:rPr>
                <w:rFonts w:ascii="Arial" w:hAnsi="Arial" w:cs="Arial"/>
                <w:sz w:val="20"/>
                <w:szCs w:val="20"/>
              </w:rPr>
              <w:t>17.8</w:t>
            </w:r>
          </w:p>
        </w:tc>
      </w:tr>
    </w:tbl>
    <w:p w14:paraId="1BB1BC35" w14:textId="13E24A10" w:rsidR="00774BB6" w:rsidRPr="007F7DA0" w:rsidRDefault="005C525A" w:rsidP="00025515">
      <w:pPr>
        <w:spacing w:line="360" w:lineRule="auto"/>
        <w:jc w:val="both"/>
        <w:rPr>
          <w:rFonts w:ascii="Aptos" w:eastAsia="Aptos" w:hAnsi="Aptos" w:cs="Times New Roman"/>
        </w:rPr>
      </w:pPr>
      <w:r w:rsidRPr="00B0195E">
        <w:rPr>
          <w:rFonts w:ascii="Arial" w:hAnsi="Arial" w:cs="Arial"/>
          <w:lang w:val="en-GB"/>
        </w:rPr>
        <w:fldChar w:fldCharType="end"/>
      </w:r>
    </w:p>
    <w:p w14:paraId="518469B0" w14:textId="7AFCD58A" w:rsidR="004F36B1" w:rsidRPr="00907480" w:rsidRDefault="004F36B1" w:rsidP="00B0195E">
      <w:pPr>
        <w:pStyle w:val="Paragrafoelenco"/>
        <w:numPr>
          <w:ilvl w:val="0"/>
          <w:numId w:val="4"/>
        </w:numPr>
        <w:spacing w:line="360" w:lineRule="auto"/>
        <w:jc w:val="both"/>
        <w:rPr>
          <w:rFonts w:ascii="Arial" w:hAnsi="Arial" w:cs="Arial"/>
          <w:b/>
          <w:bCs/>
          <w:lang w:val="en-GB"/>
        </w:rPr>
      </w:pPr>
      <w:r w:rsidRPr="00907480">
        <w:rPr>
          <w:rFonts w:ascii="Arial" w:hAnsi="Arial" w:cs="Arial"/>
          <w:b/>
          <w:bCs/>
          <w:lang w:val="en-GB"/>
        </w:rPr>
        <w:t xml:space="preserve">Assessment of potentially recoverable CRM </w:t>
      </w:r>
    </w:p>
    <w:p w14:paraId="7C4C31D5" w14:textId="1220A793" w:rsidR="00245C86" w:rsidRPr="00245C86" w:rsidRDefault="00245C86" w:rsidP="004F36B1">
      <w:pPr>
        <w:spacing w:line="360" w:lineRule="auto"/>
        <w:jc w:val="both"/>
        <w:rPr>
          <w:rFonts w:ascii="Arial" w:hAnsi="Arial" w:cs="Arial"/>
          <w:lang w:val="en-GB"/>
        </w:rPr>
      </w:pPr>
      <w:r w:rsidRPr="00245C86">
        <w:rPr>
          <w:rFonts w:ascii="Arial" w:hAnsi="Arial" w:cs="Arial"/>
          <w:lang w:val="en-GB"/>
        </w:rPr>
        <w:t>To make a preliminary assessment of the potential for CRM recovery, the concentrations detected in the analysed samples were compared with values reported in studies on secondary resources such as EW. As they depend on site-specific factors, these reference values are not absolute thresholds, nevertheless they provide a useful benchmark. The focus was on As, Be, Bi, Sb, W and REE, which showed enrichment (based on the normalised concentration to the UCC). Table S2 summarises the relevant literature data discussed above</w:t>
      </w:r>
      <w:r>
        <w:rPr>
          <w:rFonts w:ascii="Arial" w:hAnsi="Arial" w:cs="Arial"/>
          <w:lang w:val="en-GB"/>
        </w:rPr>
        <w:t>.</w:t>
      </w:r>
    </w:p>
    <w:p w14:paraId="0516FB6F" w14:textId="51579FE2" w:rsidR="004F36B1" w:rsidRPr="004F36B1" w:rsidRDefault="004F36B1" w:rsidP="004F36B1">
      <w:pPr>
        <w:spacing w:line="360" w:lineRule="auto"/>
        <w:jc w:val="both"/>
        <w:rPr>
          <w:rFonts w:ascii="Arial" w:hAnsi="Arial" w:cs="Arial"/>
          <w:lang w:val="en-GB"/>
        </w:rPr>
      </w:pPr>
      <w:r w:rsidRPr="004F36B1">
        <w:rPr>
          <w:rFonts w:ascii="Arial" w:hAnsi="Arial" w:cs="Arial"/>
          <w:lang w:val="en-GB"/>
        </w:rPr>
        <w:t xml:space="preserve">For Be, Lohmeier et al. </w:t>
      </w:r>
      <w:r w:rsidRPr="004F36B1">
        <w:rPr>
          <w:rFonts w:ascii="Arial" w:hAnsi="Arial" w:cs="Arial"/>
        </w:rPr>
        <w:fldChar w:fldCharType="begin"/>
      </w:r>
      <w:r w:rsidRPr="004F36B1">
        <w:rPr>
          <w:rFonts w:ascii="Arial" w:hAnsi="Arial" w:cs="Arial"/>
          <w:lang w:val="en-GB"/>
        </w:rPr>
        <w:instrText xml:space="preserve"> ADDIN ZOTERO_ITEM CSL_CITATION {"citationID":"e2UXTLdc","properties":{"formattedCitation":"(2021)","plainCitation":"(2021)","noteIndex":0},"citationItems":[{"id":1921,"uris":["http://zotero.org/users/16508355/items/IJKFQYBA"],"itemData":{"id":1921,"type":"article-journal","abstract":"Historic tin mining and mineral processing of the Uis pegmatite deposit (Namibia) has resulted in a series of tailings impoundments. In this study, Uis tailings were characterised to establish their suitability for brick manufacturing and reprocessing potential for rare metals (Be, Li, Nb, Ta). Tailings occur on-site as two distinct types (a) fine- to medium-grained sand (d50 = 120 to 420 </w:instrText>
      </w:r>
      <w:r w:rsidRPr="004F36B1">
        <w:rPr>
          <w:rFonts w:ascii="Arial" w:hAnsi="Arial" w:cs="Arial"/>
        </w:rPr>
        <w:instrText>μ</w:instrText>
      </w:r>
      <w:r w:rsidRPr="004F36B1">
        <w:rPr>
          <w:rFonts w:ascii="Arial" w:hAnsi="Arial" w:cs="Arial"/>
          <w:lang w:val="en-GB"/>
        </w:rPr>
        <w:instrText xml:space="preserve">m) in dune-like spoil dumps; and (b) fine- to medium-grained sand (Fraction A: d50 = 120 to 410 </w:instrText>
      </w:r>
      <w:r w:rsidRPr="004F36B1">
        <w:rPr>
          <w:rFonts w:ascii="Arial" w:hAnsi="Arial" w:cs="Arial"/>
        </w:rPr>
        <w:instrText>μ</w:instrText>
      </w:r>
      <w:r w:rsidRPr="004F36B1">
        <w:rPr>
          <w:rFonts w:ascii="Arial" w:hAnsi="Arial" w:cs="Arial"/>
          <w:lang w:val="en-GB"/>
        </w:rPr>
        <w:instrText xml:space="preserve">m; ~25% of tailings type) and fine-grained silt (Fraction B: d50 = 18 to 83 </w:instrText>
      </w:r>
      <w:r w:rsidRPr="004F36B1">
        <w:rPr>
          <w:rFonts w:ascii="Arial" w:hAnsi="Arial" w:cs="Arial"/>
        </w:rPr>
        <w:instrText>μ</w:instrText>
      </w:r>
      <w:r w:rsidRPr="004F36B1">
        <w:rPr>
          <w:rFonts w:ascii="Arial" w:hAnsi="Arial" w:cs="Arial"/>
          <w:lang w:val="en-GB"/>
        </w:rPr>
        <w:instrText xml:space="preserve">m; ~75% of tailings type) in four low-lying dried-out waste impoundment cells. The two tailings types have a similar and homogeneous mineralogical composition, comprising quartz, plagioclase, K-feldspar and mica as well as minor cassiterite, columbite-tantalite and petalite, reflecting the micaceous quartzo-feldspathic composition of the source rocks. The main clay mineral is illite with minor (ferroan) clinochlore, cookeite and kaolinite. Such a mineralogical composition allows contemporary brick fabrication due to illite as the main clay mineral, a large proportion of quartz as a stabilizer and only trace amounts of minerals that could have a detrimental effect (e.g. Fe oxides and pyrite). Consequently, the consistent particle size distribution and homogeneous mineralogical composition allow present-day production of high-quality fired bricks from tailings. To date, the use of Uis tailings for brick manufacturing supports the local economy, aids building development and removes silica-rich mine wastes prone to dust dispersion in a remote part of Namibia. In addition, geochemical analysis of the tailings reveals strongly elevated mean concentrations of rare metals (~2 760 mg/kg Li, ~140 mg/kg Be, ~41 mg/kg Ta, ~55 mg/kg Sn, ~74 mg/kg Nb). Resource estimates suggest the presence of ~25 200 t Li2O, ~1 600 t BeO and significant Nb-Ta-Sn in impoundment cell material and a total resource of ~365 000 t Li2O and ~27 900 t BeO in bulk tailings. Thus, Uis tailings also offer the opportunity for reprocessing and extraction of rare metals.","container-title":"South African Journal of Geology","DOI":"10.25131/sajg.124.0015","ISSN":"1012-0750","issue":"3","journalAbbreviation":"South African Journal of Geology","page":"639-662","source":"Silverchair","title":"Reprocessing potential of pegmatite tailings for rare metal extraction and brick fabrication, Uis, Namibia","volume":"124","author":[{"family":"Lohmeier","given":"S."},{"family":"Lottermoser","given":"B.G."},{"family":"Schirmer","given":"T."},{"family":"Fuchsloch","given":"W."}],"issued":{"date-parts":[["2021",9,1]]}},"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(2021)</w:t>
      </w:r>
      <w:r w:rsidRPr="004F36B1">
        <w:rPr>
          <w:rFonts w:ascii="Arial" w:hAnsi="Arial" w:cs="Arial"/>
        </w:rPr>
        <w:fldChar w:fldCharType="end"/>
      </w:r>
      <w:r w:rsidRPr="004F36B1">
        <w:rPr>
          <w:rFonts w:ascii="Arial" w:hAnsi="Arial" w:cs="Arial"/>
          <w:lang w:val="en-GB"/>
        </w:rPr>
        <w:t xml:space="preserve"> studied tailings from a historic Sn mine and found an average concentration of approximately 140 mg/kg of Be. While there is no dedicated Be processing for recovery, the study proposes recovering Li alongside Be through gravimetric separation and flotation, which could make extracting around 1,600 tonnes of BeO economically viable. Li et al. </w:t>
      </w:r>
      <w:r w:rsidRPr="004F36B1">
        <w:rPr>
          <w:rFonts w:ascii="Arial" w:hAnsi="Arial" w:cs="Arial"/>
        </w:rPr>
        <w:fldChar w:fldCharType="begin"/>
      </w:r>
      <w:r w:rsidRPr="004F36B1">
        <w:rPr>
          <w:rFonts w:ascii="Arial" w:hAnsi="Arial" w:cs="Arial"/>
          <w:lang w:val="en-GB"/>
        </w:rPr>
        <w:instrText xml:space="preserve"> ADDIN ZOTERO_ITEM CSL_CITATION {"citationID":"skrGwNR6","properties":{"formattedCitation":"(2025)","plainCitation":"(2025)","noteIndex":0},"citationItems":[{"id":2054,"uris":["http://zotero.org/users/16508355/items/CZ6QKJV8"],"itemData":{"id":2054,"type":"article-journal","abstract":"The generation of beryllium-containing sludge (BS), a hazardous solid waste, has increased with the rapid advancements in the nuclear, weapon, aerospace, and electronic information industries. As a scarce, valuable element as well as the most toxic nonradioactive element, the extraction of beryllium (Be) from BS has significant environmental and economic impacts. The comprehension of Be species in BS is crucial for achieving efficient extraction of Be. In this study, the distribution of Be species in BS was determined for the first time, including four predominant forms: isolated (31.40%), adsorbed (17.00%), encapsulated (&gt;43.15%), and doped (&lt;8.45%). Moreover, the key host phases for Be in BS were identified as amorphous silica and calcium sulfate. Based on the above analysis, the H2SO4-enhanced hydrothermal method was developed to effectively reconstruct the host phases and expose the encapsulated and doped Be species which are usually hard to extract. By optimizing the reaction conditions at 120 °C, a remarkable extraction efficiency of 95.82% for Be was achieved and the Be extraction mechanism was well investigated. Density functional theory (DFT) study revealed that the binding energy between Be species and silica weakened during the H2SO4-enhanced hydrothermal process, which ensured the efficient separation of Be from the residue and prevented its reintegration into the original host phase.","container-title":"Journal of Cleaner Production","DOI":"10.1016/j.jclepro.2025.144667","ISSN":"0959-6526","journalAbbreviation":"Journal of Cleaner Production","page":"144667","source":"ScienceDirect","title":"A new insight into beryllium extraction mechanism from beryllium-containing sludge through key host phase reconstruction and binding energy regulation","volume":"489","author":[{"family":"Li","given":"Li"},{"family":"Gao","given":"Huiqin"},{"family":"Li","given":"Jie"},{"family":"Liu","given":"Weizhen"},{"family":"Li","given":"Yin"},{"family":"Zeng","given":"Zhiyan"},{"family":"Lin","given":"Peng"},{"family":"Yu","given":"Changyong"},{"family":"Ke","given":"Yong"},{"family":"Li","given":"Xiaoqin"},{"family":"Lin","given":"Zhang"},{"family":"Chai","given":"Liyuan"}],"issued":{"date-parts":[["2025",1,15]]}},"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(2025)</w:t>
      </w:r>
      <w:r w:rsidRPr="004F36B1">
        <w:rPr>
          <w:rFonts w:ascii="Arial" w:hAnsi="Arial" w:cs="Arial"/>
        </w:rPr>
        <w:fldChar w:fldCharType="end"/>
      </w:r>
      <w:r w:rsidRPr="004F36B1">
        <w:rPr>
          <w:rFonts w:ascii="Arial" w:hAnsi="Arial" w:cs="Arial"/>
          <w:lang w:val="en-GB"/>
        </w:rPr>
        <w:t xml:space="preserve"> studied Be-containing sludge residues from the neutralisation of wastewater from a Be smelting plant. They developed a method for extracting Be from an initial concentration of 0.14%, achieving an extraction efficiency of 95.82% under optimised conditions.</w:t>
      </w:r>
    </w:p>
    <w:p w14:paraId="5DB88C97" w14:textId="1EEAB11B" w:rsidR="004F36B1" w:rsidRPr="004F36B1" w:rsidRDefault="004F36B1" w:rsidP="004F36B1">
      <w:pPr>
        <w:spacing w:line="360" w:lineRule="auto"/>
        <w:jc w:val="both"/>
        <w:rPr>
          <w:rFonts w:ascii="Arial" w:hAnsi="Arial" w:cs="Arial"/>
          <w:lang w:val="en-GB"/>
        </w:rPr>
      </w:pPr>
      <w:r w:rsidRPr="004F36B1">
        <w:rPr>
          <w:rFonts w:ascii="Arial" w:hAnsi="Arial" w:cs="Arial"/>
          <w:lang w:val="en-GB"/>
        </w:rPr>
        <w:t xml:space="preserve">Han et al. </w:t>
      </w:r>
      <w:r w:rsidRPr="004F36B1">
        <w:rPr>
          <w:rFonts w:ascii="Arial" w:hAnsi="Arial" w:cs="Arial"/>
        </w:rPr>
        <w:fldChar w:fldCharType="begin"/>
      </w:r>
      <w:r w:rsidR="008822D8">
        <w:rPr>
          <w:rFonts w:ascii="Arial" w:hAnsi="Arial" w:cs="Arial"/>
          <w:lang w:val="en-GB"/>
        </w:rPr>
        <w:instrText xml:space="preserve"> ADDIN ZOTERO_ITEM CSL_CITATION {"citationID":"DJCHG0Ix","properties":{"formattedCitation":"(2021)","plainCitation":"(2021)","noteIndex":0},"citationItems":[{"id":1938,"uris":["http://zotero.org/users/16508355/items/4D6HTYNY"],"itemData":{"id":1938,"type":"article-journal","abstract":"Tungsten is recognized as a critical metal due to its unique properties, economic importance, and limited sources of supply. It has wide applications where hardness, high density, high wear, and high-temperature resistance are required, such as in mining, construction, energy generation, electronics, aerospace, and defense sectors. The two primary tungsten minerals, and the only minerals of economic importance, are wolframite and scheelite. Secondary tungsten minerals are rare and generated by hydrothermal or supergene alteration rather than by atmospheric weathering. There are no reported concerns for tungsten toxicity. However, tungsten tailings and other residues may represent severe risks to human health and the environment. Tungsten metal scrap is the only secondary source for this metal but reprocessing of tungsten tailings may also become important in the future. Enhanced gravity separation, wet high-intensity magnetic separation, and flotation have been reported to be successful in reprocessing tungsten tailings, while bioleaching can assist with removing some toxic elements. In 2020, the world’s tungsten mine production was estimated at 84 kt of tungsten (106 kt WO3), with known tungsten reserves of 3400 kt. In addition, old tungsten tailings deposits may have great potential for exploration. The incomplete statistics indicate about 96 kt of tungsten content in those deposits, with an average grade of 0.1% WO3 (versus typical grades of 0.3–1% in primary deposits). This paper aims to provide an overview of tungsten minerals, tungsten primary and secondary resources, and tungsten mine waste, including its environmental risks and potential for reprocessing.","container-title":"Minerals","DOI":"10.3390/min11070701","ISSN":"2075-163X","issue":"7","language":"en","license":"http://creativecommons.org/licenses/by/3.0/","note":"number: 7","page":"701","publisher":"Multidisciplinary Digital Publishing Institute","source":"www.mdpi.com","title":"A Review of Tungsten Resources and Potential Extraction from Mine Waste","volume":"11","author":[{"family":"Han","given":"Zhengdong"},{"family":"Golev","given":"Artem"},{"family":"Edraki","given":"Mansour"}],"issued":{"date-parts":[["2021",7]]}},"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(2021)</w:t>
      </w:r>
      <w:r w:rsidRPr="004F36B1">
        <w:rPr>
          <w:rFonts w:ascii="Arial" w:hAnsi="Arial" w:cs="Arial"/>
        </w:rPr>
        <w:fldChar w:fldCharType="end"/>
      </w:r>
      <w:r w:rsidRPr="004F36B1">
        <w:rPr>
          <w:rFonts w:ascii="Arial" w:hAnsi="Arial" w:cs="Arial"/>
          <w:lang w:val="en-GB"/>
        </w:rPr>
        <w:t xml:space="preserve"> points out that, at present, W tailings are currently still mainly treated as waste rather than potential resources, and that there is experiences of reprocessing. </w:t>
      </w:r>
      <w:r w:rsidRPr="0051508A">
        <w:rPr>
          <w:rFonts w:ascii="Arial" w:hAnsi="Arial" w:cs="Arial"/>
          <w:lang w:val="en-GB"/>
        </w:rPr>
        <w:t xml:space="preserve">One early study was conducted by Clemente et al. </w:t>
      </w:r>
      <w:r w:rsidRPr="004F36B1">
        <w:rPr>
          <w:rFonts w:ascii="Arial" w:hAnsi="Arial" w:cs="Arial"/>
        </w:rPr>
        <w:fldChar w:fldCharType="begin"/>
      </w:r>
      <w:r w:rsidRPr="0051508A">
        <w:rPr>
          <w:rFonts w:ascii="Arial" w:hAnsi="Arial" w:cs="Arial"/>
          <w:lang w:val="en-GB"/>
        </w:rPr>
        <w:instrText xml:space="preserve"> ADDIN ZOTERO_ITEM CSL_CITATION {"citationID":"c7XwQ4Zs","properties":{"formattedCitation":"(1993)","plainCitation":"(1993)","noteIndex":0},"citationItems":[{"id":2107,"uris":["http://zotero.org/users/16508355/items/SG4QCVYB"],"itemData":{"id":2107,"type":"article-journal","abstract":"This paper describes the development of a new process route for ultrafine wolframite recovery, to enable the efficient reprocessing of historical mine tailings as well as current plant slimes tailings from the Beralt Tin and Wolfram operations at Minas da Panasqueira in Portugal. Much of the wolframite in these tailings is below 25 microns in size and is associated with a complex mixture of other minerals including zinc, copper and other sulphides, tourmaline, siderite, ferromagnetic and other strongly magnetic material. The paper reports on flotation, magnetic separation and gravity concentration testwork, undertaken at both laboratory and pilot scale on the historical mine tailings and on the current slimes tailings of the plant. Froth flotation of the Panasqueira wolframite has been investigated over a number of years with very inconsistent results. This work highlighed further inconsistencies between the current tailings (which floated) and the old dam tailings (which did not). High intensity magnetic separation (at low to moderate fields) could not recover the finest wolframite and could not achieve the differential needed between the wolfra</w:instrText>
      </w:r>
      <w:r w:rsidRPr="004F36B1">
        <w:rPr>
          <w:rFonts w:ascii="Arial" w:hAnsi="Arial" w:cs="Arial"/>
        </w:rPr>
        <w:instrText>mite and siderite and the other strongly magnetic minerals present. At higher fields, there was</w:instrText>
      </w:r>
      <w:r w:rsidRPr="004F36B1">
        <w:rPr>
          <w:rFonts w:ascii="Arial" w:hAnsi="Arial" w:cs="Arial"/>
          <w:lang w:val="en-GB"/>
        </w:rPr>
        <w:instrText xml:space="preserve"> a substantial recovery of the magnetic silicates and consequently poor weight rejection. Gravity separation testwork centred on the Multi-Gravity Separator with some work also being carried out using the Kelsey jig and Duplex separators. Results indicated that a three stage process with intermediate sulphide flotation could potentially produce a wolframite concentrate of 50% to 55 % WO3, at a reasonable recovery. Concentrate cleaning options were logistically very difficult to investigate, one tonne of dam material only yielding a few kilogrammes of concentrate for testwork. In order to provide a through investigation, the limited testwork was backed up by extensive computer simulation. Computer simulation also played an integral part in developing the overall process flowsheet and in optimising this flowsheet to maximise recoveries.","container-title":"Minerals Engineering","DOI":"10.1016/0892-6875(93)90057-T","ISSN":"0892-6875","issue":"8","journalAbbreviation":"Minerals Engineering","page":"831-839","source":"ScienceDirect","title":"Reprocessing slimes tailings from a tungsten mine","volume":"6","author":[{"family":"Clemente","given":"D."},{"family":"Newling","given":"P."},{"family":"Botelho de Sousa","given":"A."},{"family":"LeJeune","given":"G."},{"family":"Barber","given":"S. P."},{"family":"Tucker","given":"P."}],"issued":{"date-parts":[["1993",8,1]]}},"suppress-author":true}],"schema":"https://github.com/citation-style-language/schema/raw/master/csl-citation.json"}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(1993)</w:t>
      </w:r>
      <w:r w:rsidRPr="004F36B1">
        <w:rPr>
          <w:rFonts w:ascii="Arial" w:hAnsi="Arial" w:cs="Arial"/>
        </w:rPr>
        <w:fldChar w:fldCharType="end"/>
      </w:r>
      <w:r w:rsidRPr="004F36B1">
        <w:rPr>
          <w:rFonts w:ascii="Arial" w:hAnsi="Arial" w:cs="Arial"/>
          <w:lang w:val="en-GB"/>
        </w:rPr>
        <w:t xml:space="preserve"> at a W mine, where the recovery of wolframite from historical and recent tailings was investigated. The most promising approach was a combination of three-stage gravimetric separation and intermediate sulfide flotation. This resulted in concentrates containing 50–55% WO</w:t>
      </w:r>
      <w:r w:rsidRPr="004F36B1">
        <w:rPr>
          <w:rFonts w:ascii="Cambria Math" w:hAnsi="Cambria Math" w:cs="Cambria Math"/>
          <w:lang w:val="en-GB"/>
        </w:rPr>
        <w:t>₃</w:t>
      </w:r>
      <w:r w:rsidRPr="004F36B1">
        <w:rPr>
          <w:rFonts w:ascii="Arial" w:hAnsi="Arial" w:cs="Arial"/>
          <w:lang w:val="en-GB"/>
        </w:rPr>
        <w:t xml:space="preserve">, with a recovery that seemed reasonable. More recently, Han et al. </w:t>
      </w:r>
      <w:r w:rsidRPr="004F36B1">
        <w:rPr>
          <w:rFonts w:ascii="Arial" w:hAnsi="Arial" w:cs="Arial"/>
        </w:rPr>
        <w:fldChar w:fldCharType="begin"/>
      </w:r>
      <w:r w:rsidRPr="004F36B1">
        <w:rPr>
          <w:rFonts w:ascii="Arial" w:hAnsi="Arial" w:cs="Arial"/>
          <w:lang w:val="en-GB"/>
        </w:rPr>
        <w:instrText xml:space="preserve"> ADDIN ZOTERO_ITEM CSL_CITATION {"citationID":"H40zTXJC","properties":{"formattedCitation":"(2025)","plainCitation":"(2025)","noteIndex":0},"citationItems":[{"id":2096,"uris":["http://zotero.org/users/16508355/items/BM9RGTG2"],"itemData":{"id":2096,"type":"article-journal","abstract":"The understanding of tungsten (W) mineral weathering and mobilization in nature remains limited due to W being a transition element with a wide range of oxidation states, which enables it to form a variety of complex chemical compounds. This study examined W mining waste at the abandoned Wolfram Camp mine in North Queensland, Australia, to address this gap. The mineralogical analysis showed the W tailings primarily consisted of silicates, including quartz, illite/mica, plagioclase, and K-Feldspar, with low WO3 content. Static acid mine drainage (AMD) tests indicated most tailings were non-acid forming, while groundwater samples exhibited acidification, with pH ranging from 3.8 to 5.2. The reprocessing trials using gravity separation and bioleaching demonstrated promising results, suggesting both techniques could effectively recover resource and decontaminate the mining waste. The gravity separation reprocessing test has successfully recovered 48.4% W from the tailings, with the resulting W concentrate achieving a 21.6% WO3 grade. On the other hand, the bioleaching reprocessing exhibited a remarkable 44-fold enrichment of W from the tailings, with 2.2% W in the AMD sediment. Synchrotron-based XFM/</w:instrText>
      </w:r>
      <w:r w:rsidRPr="004F36B1">
        <w:rPr>
          <w:rFonts w:ascii="Arial" w:hAnsi="Arial" w:cs="Arial"/>
        </w:rPr>
        <w:instrText>μ</w:instrText>
      </w:r>
      <w:r w:rsidRPr="004F36B1">
        <w:rPr>
          <w:rFonts w:ascii="Arial" w:hAnsi="Arial" w:cs="Arial"/>
          <w:lang w:val="en-GB"/>
        </w:rPr>
        <w:instrText xml:space="preserve">-XANES imaging analysis revealed significant wolframite weathering in reprocessed W concentrates. This study proposed a comprehensive approach, integrating environmental remediation and resource recovery technologies, to repurpose abandoned W mining waste. Passive treatment appears to be an economical option for remediating abandoned W mine sites. The findings provide valuable insights for sustainable W mining waste management and the rehabilitation of the abandoned Wolfram Camp W mine site.","container-title":"Separation and Purification Technology","DOI":"10.1016/j.seppur.2024.129009","ISSN":"1383-5866","journalAbbreviation":"Separation and Purification Technology","page":"129009","source":"ScienceDirect","title":"Characterization, potential valuable metals recovery and remediation of historic wolframite mining waste","volume":"354","author":[{"family":"Han","given":"Zhengdong"},{"family":"Edraki","given":"Mansour"},{"family":"Golev","given":"Artem"}],"issued":{"date-parts":[["2025",2,19]]}},"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(2025)</w:t>
      </w:r>
      <w:r w:rsidRPr="004F36B1">
        <w:rPr>
          <w:rFonts w:ascii="Arial" w:hAnsi="Arial" w:cs="Arial"/>
        </w:rPr>
        <w:fldChar w:fldCharType="end"/>
      </w:r>
      <w:r w:rsidRPr="004F36B1">
        <w:rPr>
          <w:rFonts w:ascii="Arial" w:hAnsi="Arial" w:cs="Arial"/>
          <w:lang w:val="en-GB"/>
        </w:rPr>
        <w:t xml:space="preserve"> conducted reprocessing tests on EW characterised by an initial WO</w:t>
      </w:r>
      <w:r w:rsidRPr="004F36B1">
        <w:rPr>
          <w:rFonts w:ascii="Cambria Math" w:hAnsi="Cambria Math" w:cs="Cambria Math"/>
          <w:lang w:val="en-GB"/>
        </w:rPr>
        <w:t>₃</w:t>
      </w:r>
      <w:r w:rsidRPr="004F36B1">
        <w:rPr>
          <w:rFonts w:ascii="Arial" w:hAnsi="Arial" w:cs="Arial"/>
          <w:lang w:val="en-GB"/>
        </w:rPr>
        <w:t xml:space="preserve"> content of 0.06%. They demonstrated the effectiveness of gravimetric separation and bioleaching for W recovery and environmental </w:t>
      </w:r>
      <w:r w:rsidRPr="004F36B1">
        <w:rPr>
          <w:rFonts w:ascii="Arial" w:hAnsi="Arial" w:cs="Arial"/>
          <w:lang w:val="en-GB"/>
        </w:rPr>
        <w:lastRenderedPageBreak/>
        <w:t xml:space="preserve">remediation. With the same objective Figueiredo et al. </w:t>
      </w:r>
      <w:r w:rsidRPr="004F36B1">
        <w:rPr>
          <w:rFonts w:ascii="Arial" w:hAnsi="Arial" w:cs="Arial"/>
        </w:rPr>
        <w:fldChar w:fldCharType="begin"/>
      </w:r>
      <w:r w:rsidRPr="004F36B1">
        <w:rPr>
          <w:rFonts w:ascii="Arial" w:hAnsi="Arial" w:cs="Arial"/>
          <w:lang w:val="en-GB"/>
        </w:rPr>
        <w:instrText xml:space="preserve"> ADDIN ZOTERO_ITEM CSL_CITATION {"citationID":"8HS3lR96","properties":{"formattedCitation":"(2019)","plainCitation":"(2019)","noteIndex":0},"citationItems":[{"id":2088,"uris":["http://zotero.org/users/16508355/items/5VVQ2P7M"],"itemData":{"id":2088,"type":"article-journal","abstract":"The present work was developed in the scope of ERA-MIN/0007/2015 REMinE project, aiming recover of valuable metals through reprocessing of abandoned mine waste deposits. Cabeço do Pião site, the Portuguese case study in this project, is an old tailings disposal whose property was transferred from Panasqueira Mine to the Municipality of Fundão. The material deposited in the dam constitutes a risk to the environment, in particular to Zézere’s river that flows close to the bottom of the tailings pile and is a relevant contributor for the supply of drinking water. The study area was sampled at two different depths according to a regular grid. About fifty samples were collected and analyzed by X-ray fluorescence. The multivariate analysis of the chemical and the particle size data, allowed to establish mineralogical associations, proving to be a useful planning tool in a future selective re-mining of the tailings pile. Information extracted from the results of the principal component analysis was corroborated by the results of the geostatistical techniques applied to the analytical data.","container-title":"Minerals Engineering","DOI":"10.1016/j.mineng.2018.12.016","ISSN":"0892-6875","journalAbbreviation":"Minerals Engineering","page":"1-9","source":"ScienceDirect","title":"Bi-level depth assessment of an abandoned tailings dam aiming its reprocessing for recovery of valuable metals","volume":"133","author":[{"family":"Figueiredo","given":"Janine"},{"family":"Vila","given":"M. Cristina"},{"family":"Góis","given":"Joaquim"},{"family":"Biju","given":"Bárbara Pavani"},{"family":"Futuro","given":"Aurora"},{"family":"Martins","given":"Diogo"},{"family":"Dinis","given":"M. Lurdes"},{"family":"Fiúza","given":"António"}],"issued":{"date-parts":[["2019",3,15]]}},"suppress-author":true}],"schema":"https://github.com/citation-style-language/schema/raw/master/csl-citation.json"}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(2019)</w:t>
      </w:r>
      <w:r w:rsidRPr="004F36B1">
        <w:rPr>
          <w:rFonts w:ascii="Arial" w:hAnsi="Arial" w:cs="Arial"/>
        </w:rPr>
        <w:fldChar w:fldCharType="end"/>
      </w:r>
      <w:r w:rsidRPr="004F36B1">
        <w:rPr>
          <w:rFonts w:ascii="Arial" w:hAnsi="Arial" w:cs="Arial"/>
          <w:lang w:val="en-GB"/>
        </w:rPr>
        <w:t xml:space="preserve"> analysed a tailings dam with the same objective as part of the REMinE (Improve Resource Efficiency and Minimize Environmental Footprint) project. An average W concentration of 0.17% (up to 0.57% in deeper areas) was detected, as well as an As content of 13.55%. Although no recovery tests were conducted, the study proposes a treatment circuit based on gravimetric separation, which was considered technically feasible.</w:t>
      </w:r>
    </w:p>
    <w:p w14:paraId="0BF670B3" w14:textId="10C3DD28" w:rsidR="004F36B1" w:rsidRPr="004F36B1" w:rsidRDefault="004F36B1" w:rsidP="004F36B1">
      <w:pPr>
        <w:spacing w:line="360" w:lineRule="auto"/>
        <w:jc w:val="both"/>
        <w:rPr>
          <w:rFonts w:ascii="Arial" w:hAnsi="Arial" w:cs="Arial"/>
          <w:lang w:val="en-GB"/>
        </w:rPr>
      </w:pPr>
      <w:r w:rsidRPr="004F36B1">
        <w:rPr>
          <w:rFonts w:ascii="Arial" w:hAnsi="Arial" w:cs="Arial"/>
          <w:lang w:val="en-GB"/>
        </w:rPr>
        <w:t xml:space="preserve">With regard to As, Bi and Sb: Choi et al. </w:t>
      </w:r>
      <w:r w:rsidRPr="004F36B1">
        <w:rPr>
          <w:rFonts w:ascii="Arial" w:hAnsi="Arial" w:cs="Arial"/>
        </w:rPr>
        <w:fldChar w:fldCharType="begin"/>
      </w:r>
      <w:r w:rsidRPr="004F36B1">
        <w:rPr>
          <w:rFonts w:ascii="Arial" w:hAnsi="Arial" w:cs="Arial"/>
          <w:lang w:val="en-GB"/>
        </w:rPr>
        <w:instrText xml:space="preserve"> ADDIN ZOTERO_ITEM CSL_CITATION {"citationID":"QOAL9UyR","properties":{"formattedCitation":"(2016)","plainCitation":"(2016)","noteIndex":0},"citationItems":[{"id":2103,"uris":["http://zotero.org/users/16508355/items/4DMIM5NR"],"itemData":{"id":2103,"type":"article-journal","abstract":"In this study, a flotation process is proposed for separating the arsenic-bearing minerals to recycle the soil surrounding the Janghang refinery in South Korea, which contains a high level of arsenic. To maximize the arsenic recovery, several experimental parameters were systematically investigated. X-ray diffraction revealed that the contaminated soil was mainly composed of arsenopyrite (FeAsS), arsenic trioxide (As4O6), arsenic pentoxide (As2O5), and quartz (SiO2). Flotation experiments with various concentrations of potassium amyl xanthate (PAX) showed that arsenic recovery increased with increasing PAX concentration. The addition of activators (Na2S, CuSO4, Na2S+CuSO4) in pulp pH greatly increased the arsenic recovery. In addition, oil agglomerate flotation was conducted to enhance the arsenic recovery by improving the separation of fine particles. The results showed that arsenic recovery increased with increasing nonpolar oil concentration. Based on the results obtained from the optimization tests, a flotation process by which the arsenic-contaminated soils can be recycled was successfully designed.","container-title":"Chemical Engineering Journal","DOI":"10.1016/j.cej.2015.09.105","ISSN":"1385-8947","journalAbbreviation":"Chemical Engineering Journal","page":"207-217","source":"ScienceDirect","title":"Arsenic removal from contaminated soils for recycling via oil agglomerate flotation","volume":"285","author":[{"family":"Choi","given":"Junhyun"},{"family":"Lee","given":"Eunseong"},{"family":"Choi","given":"Siyoung Q."},{"family":"Lee","given":"Seungwoo"},{"family":"Han","given":"Yosep"},{"family":"Kim","given":"Hyunjung"}],"issued":{"date-parts":[["2016",2,1]]}},"suppress-author":true}],"schema":"https://github.com/citation-style-language/schema/raw/master/csl-citation.json"}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(2016)</w:t>
      </w:r>
      <w:r w:rsidRPr="004F36B1">
        <w:rPr>
          <w:rFonts w:ascii="Arial" w:hAnsi="Arial" w:cs="Arial"/>
        </w:rPr>
        <w:fldChar w:fldCharType="end"/>
      </w:r>
      <w:r w:rsidRPr="004F36B1">
        <w:rPr>
          <w:rFonts w:ascii="Arial" w:hAnsi="Arial" w:cs="Arial"/>
          <w:lang w:val="en-GB"/>
        </w:rPr>
        <w:t xml:space="preserve"> treated contaminated soil from an industrial area, which had an initial average As content of 332.47 mg/kg. Through oil agglomeration flotation, the arsenic content was reduced below the regulatory threshold, achieving a recovery efficiency of over 97%. Lemos et al. </w:t>
      </w:r>
      <w:r w:rsidRPr="004F36B1">
        <w:rPr>
          <w:rFonts w:ascii="Arial" w:hAnsi="Arial" w:cs="Arial"/>
        </w:rPr>
        <w:fldChar w:fldCharType="begin"/>
      </w:r>
      <w:r w:rsidRPr="004F36B1">
        <w:rPr>
          <w:rFonts w:ascii="Arial" w:hAnsi="Arial" w:cs="Arial"/>
          <w:lang w:val="en-GB"/>
        </w:rPr>
        <w:instrText xml:space="preserve"> ADDIN ZOTERO_ITEM CSL_CITATION {"citationID":"YspIYhn0","properties":{"formattedCitation":"(2023)","plainCitation":"(2023)","noteIndex":0},"citationItems":[{"id":1735,"uris":["http://zotero.org/users/16508355/items/ZZBNNKKM"],"itemData":{"id":1735,"type":"article-journal","abstract":"From the colonial era to modern times, gold mining has played a crucial role in shaping Brazil’s economy, culture, and landscape, particularly in the Iron Quadrangle region. Therefore, resulting waste has accumulated in tailings structures, either from deactivated circuits or plants still in production. The present study reveals the potential assessed based on a set of metallurgical tests, assuming specific scenarios depending on the occurrence modes of interesting economic elements. For Au, calcination, leaching, and flotation are promising techniques to recover this element. Tests indicated that toxic elements such as Sb and As could be effectively reused in the form of glass. The generation of other products from dry cleaning techniques was not effective but promising since there was an enrichment of elements with Au, Fe, Al, and K in specific fractions. © 2023 by the authors.","archive":"Scopus","container-title":"Minerals","DOI":"10.3390/min13070863","issue":"7","source":"Scopus","title":"Adding Value to Mine Waste through Recovery Au, Sb, and As: The Case of Auriferous Tailings in the Iron Quadrangle, Brazil","title-short":"Adding Value to Mine Waste through Recovery Au, Sb, and As","volume":"13","author":[{"family":"Lemos","given":"M.G."},{"family":"Valente","given":"T.M."},{"family":"Marinho Reis","given":"A.P."},{"family":"Ferreira Fonseca","given":"R.M."},{"family":"Guabiroba","given":"F."},{"family":"Mata Filho","given":"J.G.","non-dropping-particle":"da"},{"family":"Magalhães","given":"M.F."},{"family":"Delbem","given":"I.D."},{"family":"Rebelo Diório","given":"G."}],"issued":{"date-parts":[["2023"]]}},"suppress-author":true}],"schema":"https://github.com/citation-style-language/schema/raw/master/csl-citation.json"}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(2023)</w:t>
      </w:r>
      <w:r w:rsidRPr="004F36B1">
        <w:rPr>
          <w:rFonts w:ascii="Arial" w:hAnsi="Arial" w:cs="Arial"/>
        </w:rPr>
        <w:fldChar w:fldCharType="end"/>
      </w:r>
      <w:r w:rsidRPr="004F36B1">
        <w:rPr>
          <w:rFonts w:ascii="Arial" w:hAnsi="Arial" w:cs="Arial"/>
          <w:lang w:val="en-GB"/>
        </w:rPr>
        <w:t xml:space="preserve"> treated Au tailings containing 0.776% As and 0.08% Sb, enabling the recovery in the form of glass that could potentially be reused in industry. Radu et al. </w:t>
      </w:r>
      <w:r w:rsidRPr="004F36B1">
        <w:rPr>
          <w:rFonts w:ascii="Arial" w:hAnsi="Arial" w:cs="Arial"/>
        </w:rPr>
        <w:fldChar w:fldCharType="begin"/>
      </w:r>
      <w:r w:rsidR="008822D8">
        <w:rPr>
          <w:rFonts w:ascii="Arial" w:hAnsi="Arial" w:cs="Arial"/>
          <w:lang w:val="en-GB"/>
        </w:rPr>
        <w:instrText xml:space="preserve"> ADDIN ZOTERO_ITEM CSL_CITATION {"citationID":"ttTYZKle","properties":{"formattedCitation":"(2024)","plainCitation":"(2024)","noteIndex":0},"citationItems":[{"id":2077,"uris":["http://zotero.org/users/16508355/items/3EYZ7379"],"itemData":{"id":2077,"type":"article-journal","abstract":"Several EU initiatives focused on renewable energy, sustainable infrastructure and green transport require a sustainable supply of a wide range of raw materials. The increase in the population and, implicitly, the increasing demand for necessary resources led to accelerated degradation of the environment, a pressing issue which the contemporary world faces. The mining activities produced huge amounts of waste, which may now become a potential secondary raw materials source that offer the potential to extract critical mineral elements of current interest. This study is intended as a historical literature data processing combined with recent analyses according to modern test methods to confirm the presence of selected critical raw materials (CRMs). The aim of the work was an integrated approach to identify the presence of Ga, In, Ge, Bi, Co and Te in ore, ore concentrates, tailing ponds and ore dumps from some Romanian historical mining regions: Apuseni Mountains (5 deposits) and the northern part of the Eastern Carpathians (Baia Mare area 2 deposits and Fundu Moldovei area 1 deposit). The consulted literature data highlighted that the tailing ponds and dumps from Romania contain a noticeable quantity of secondary resources of critical elements, respectively, an average of 2172 mg/kg Bi, 1737 mg/kg Co, 691 mg/kg Ga, 667 mg/kg In, 74 mg/kg Ge and 108 mg/kg Te in ore and 1331 mg/kg Ga, 1093 mg/kg Co, 180 mg/kg Bi, 72 mg/kg In and 35 mg/kg Ge in tailings. The overall statistics for the 2008–2018 period show a decrease in the amount of hazardous waste produced by the extractive industry in Romania. The older literature data (from about 50 years ago) for the investigated deposits was confirmed by the laboratory analysis of selected CRMs from several samples collected from known former and current mining activities. Furthermore, the optical microscopy investigations coupled with modern electronic microscopy and quantitative and semi-quantitative techniques have provided further details regarding the sample nature and constituents. High levels of Bi (35,490 mg/kg) and Sb (15,930 mg/kg) were determined in samples from Băița Bihor and Coranda-Hondol ore deposits (Apuseni Mountains), and the presence of some rare elements such as Te was also detected. The recovery of critical elements present in the mining waste significantly contributes to the transition to a circular economy that is essential for the development of a sustainable and resource-efficient economy. This study enables future research focused on the recovery of critical elements present in the mining waste, with benefits for the environment, economy and society. © The Author(s), under exclusive licence to Springer-Verlag GmbH Germany, part of Springer Nature 2023.","container-title":"Environmental Science and Pollution Research","DOI":"10.1007/s11356-023-26536-x","ISSN":"0944-1344","issue":"28","journalAbbreviation":"Environ. Sci. Pollut. Res.","language":"English","page":"40592-40608","publisher":"Springer","source":"Scopus","title":"New data regarding the identification of critical raw materials recoverable from raw, processed and the waste mining industry materials from Romania","volume":"31","author":[{"family":"Radu","given":"Violeta-Monica"},{"family":"Dinca","given":"George"},{"family":"Ivanov","given":"Alexandru-Anton"},{"family":"Szabo","given":"Robert"},{"family":"Cetean","given":"Valentina Maria"}],"issued":{"date-parts":[["2024"]]}},"suppress-author":true}],"schema":"https://github.com/citation-style-language/schema/raw/master/csl-citation.json"}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(2024)</w:t>
      </w:r>
      <w:r w:rsidRPr="004F36B1">
        <w:rPr>
          <w:rFonts w:ascii="Arial" w:hAnsi="Arial" w:cs="Arial"/>
        </w:rPr>
        <w:fldChar w:fldCharType="end"/>
      </w:r>
      <w:r w:rsidRPr="004F36B1">
        <w:rPr>
          <w:rFonts w:ascii="Arial" w:hAnsi="Arial" w:cs="Arial"/>
          <w:lang w:val="en-GB"/>
        </w:rPr>
        <w:t xml:space="preserve"> analysed tailings and WR from several historical mines. They found Bi concentrations of up to 180 mg/kg and Sb concentrations of up to 4534 mg/kg. While the study did not include recovery tests, it emphasised the consistent presence of these elements in mining waste that could be utilised as a valuable resource.</w:t>
      </w:r>
      <w:r w:rsidR="008822D8" w:rsidRPr="008822D8">
        <w:rPr>
          <w:rFonts w:ascii="Arial" w:hAnsi="Arial" w:cs="Arial"/>
          <w:lang w:val="en-GB"/>
        </w:rPr>
        <w:t xml:space="preserve"> Khmelnitskaya and Beskrovnaya</w:t>
      </w:r>
      <w:r w:rsidRPr="004F36B1">
        <w:rPr>
          <w:rFonts w:ascii="Arial" w:hAnsi="Arial" w:cs="Arial"/>
          <w:lang w:val="en-GB"/>
        </w:rPr>
        <w:t xml:space="preserve"> </w:t>
      </w:r>
      <w:r w:rsidRPr="004F36B1">
        <w:rPr>
          <w:rFonts w:ascii="Arial" w:hAnsi="Arial" w:cs="Arial"/>
        </w:rPr>
        <w:fldChar w:fldCharType="begin"/>
      </w:r>
      <w:r w:rsidR="008822D8">
        <w:rPr>
          <w:rFonts w:ascii="Arial" w:hAnsi="Arial" w:cs="Arial"/>
          <w:lang w:val="en-GB"/>
        </w:rPr>
        <w:instrText xml:space="preserve"> ADDIN ZOTERO_ITEM CSL_CITATION {"citationID":"a1d2j19hegr","properties":{"unsorted":false,"formattedCitation":"(2007)","plainCitation":"(2007)","noteIndex":0},"citationItems":[{"id":2083,"uris":["http://zotero.org/users/16508355/items/V282IPVS"],"itemData":{"id":2083,"type":"paper-conference","abstract":"Tests for the development of a metals recovery technology from samples of a Russian gold-bismuth deposit were carried out. Gold, silver and bismuth assay reported 5.6 g/t, 3.0 g/t and 0.08 per cent, respectively. Two flow sheet options were pilot plant tested:1. gravity/cyanidation of gravity tailings with subsequent flotation of cyanidation/carbon-in-pulp (CIP) tailings, and 2. gravity/flotation concentration with cyanidation/CIP of concentrates. Option 1 results showed lower gold, silver and bismuth recoveries (81.3 per cent Au, 55 per cent Ag and 74.0 per cent Bi) due to low flotation efficiency for cyanidation tailings. Therefore, a flow sheet involving gravity/flotation concentration to produce bismuth-gold concentrates (0.8 per cent Bi) with subsequent cyanidation/CIP was recommended. Gold, silver and bismuth recoveries obtained by this method to the combined gravity/flotation concentrate were 90.2 per cent Au, 83.3 per cent Ag and 80.2 per cent Bi of the ore, respectively. Overall gold, silver and bismuth recoveries were 83.0 per cent Au, 40.5 per cent Ag and 80.2 per cent Bi, respectively. Gold and silver recoveries to the cathode precipitate were 92 per cent Au and 48.6 per cent Ag (per operation). Reagents consumed for flotation were 0.1 kg lead acetate/t ore, 0.4 kg butyl xanthate/t ore, 0.2 kg T-80 frother/t ore, 0.02 kg sodium hexametaphosphate/t ore, 0.15 kg copper sulfate/t ore. Reagents consumption for cyanidation was 0.42 - 0.48 kg NaCN/t ore and 0.2 kg CaO/t ore. It was recommended to deliver bismuth concentrates after hydrometallurgical treatment to a smelter. Overall bismuth recovery including bismuth recovery achieved by pyrometallurgy was 60.0 per cent. However, it was obvious that delivery of bismuth concentrates to a smelter and their commercial treatment would be very expensive due to relatively high mass pull of bismuth concentrates (7.6 per cent of the ore weight). For this reason, thiourea leaching and hydrochloric acid leaching with subsequent cyanidation/CIP were investigated as alternatives to cyanide leaching. These two alternatives were proposed to enable optimal recovery of valuable metals from concentrates on-site. Recoveries obtained by thiourea leaching were 91.2 per cent Au, 90.5 -91.9 per cent Bi and 77.0 - 78.1 per cent Ag. However, that method required considerable capital and operating costs. As an alternative, hydrochloric acid leaching with subsequent cyanidation was investigated. Test results showed improved gold, bismuth and silver recoveries, which were 94 - 95.9 Au per cent, 94 - 96 Bi per cent and 76 - 78 Ag per cent, respectively. Hydrochloric acid consumption was 100 kg/t concentrate or 7.6 kg/t ore. Current efficiency during electrowinning was about eight to 12 per cent. A recommended flow sheet involving hydrochloric acid leaching of concentrates, electrowinning of bismuth from solutions, recycling solutions after electrowinning and cyanidation of hydrochloric acid leaching cakes is described. Overall recoveries achieved by the proposed flow sheet were as follows: 84.8 - 86.5 Au per cent, 75.8 - 76.9 Bi per cent and 63.2 -64.9 Ag per cent. Based on results from these tests, initial data for a bankable feasibility study and plant designing were developed.","container-title":"Australas. Inst. Min. Metall. Publ. Ser.","event-title":"Australasian Institute of Mining and Metallurgy Publication Series","language":"English","note":"journalAbbreviation: Australas. Inst. Min. Metall. Publ. Ser.","page":"245-250","source":"Scopus","title":"A technology of precious metals recovery from gold-bismuth ores","author":[{"family":"Khmelnitskaya","given":"O.D."},{"family":"Beskrovnaya","given":"V.P."}],"issued":{"date-parts":[["2007"]]}},"suppress-author":true}],"schema":"https://github.com/citation-style-language/schema/raw/master/csl-citation.json"}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kern w:val="0"/>
          <w:lang w:val="en-GB"/>
        </w:rPr>
        <w:t>(2007)</w:t>
      </w:r>
      <w:r w:rsidRPr="004F36B1">
        <w:rPr>
          <w:rFonts w:ascii="Arial" w:hAnsi="Arial" w:cs="Arial"/>
        </w:rPr>
        <w:fldChar w:fldCharType="end"/>
      </w:r>
      <w:r w:rsidRPr="004F36B1">
        <w:rPr>
          <w:rFonts w:ascii="Arial" w:hAnsi="Arial" w:cs="Arial"/>
          <w:lang w:val="en-GB"/>
        </w:rPr>
        <w:t xml:space="preserve"> analysed cyanidation tailings and leach residues from Au-Bi deposit with an initial content of 0.08% Bi. The recovery rate was between 75.8% and 76.9% when they were treated using an optimised acid leaching process.</w:t>
      </w:r>
    </w:p>
    <w:p w14:paraId="084E2F77" w14:textId="20E38193" w:rsidR="004F36B1" w:rsidRPr="004F36B1" w:rsidRDefault="004F36B1" w:rsidP="004F36B1">
      <w:pPr>
        <w:spacing w:line="360" w:lineRule="auto"/>
        <w:jc w:val="both"/>
        <w:rPr>
          <w:rFonts w:ascii="Arial" w:hAnsi="Arial" w:cs="Arial"/>
          <w:lang w:val="en-GB"/>
        </w:rPr>
      </w:pPr>
      <w:r w:rsidRPr="004F36B1">
        <w:rPr>
          <w:rFonts w:ascii="Arial" w:hAnsi="Arial" w:cs="Arial"/>
          <w:lang w:val="en-GB"/>
        </w:rPr>
        <w:t>Finally, a large number of studies on the recovery of REE from different secondary resources have been conducted all over the world. For example,</w:t>
      </w:r>
      <w:r w:rsidR="008822D8" w:rsidRPr="008822D8">
        <w:rPr>
          <w:rFonts w:ascii="Arial" w:hAnsi="Arial" w:cs="Arial"/>
          <w:lang w:val="en-GB"/>
        </w:rPr>
        <w:t xml:space="preserve"> Corchado-Albelo and Alagha</w:t>
      </w:r>
      <w:r w:rsidRPr="004F36B1">
        <w:rPr>
          <w:rFonts w:ascii="Arial" w:hAnsi="Arial" w:cs="Arial"/>
          <w:lang w:val="en-GB"/>
        </w:rPr>
        <w:t xml:space="preserve"> </w:t>
      </w:r>
      <w:r w:rsidRPr="004F36B1">
        <w:rPr>
          <w:rFonts w:ascii="Arial" w:hAnsi="Arial" w:cs="Arial"/>
        </w:rPr>
        <w:fldChar w:fldCharType="begin"/>
      </w:r>
      <w:r w:rsidR="008822D8">
        <w:rPr>
          <w:rFonts w:ascii="Arial" w:hAnsi="Arial" w:cs="Arial"/>
          <w:lang w:val="en-GB"/>
        </w:rPr>
        <w:instrText xml:space="preserve"> ADDIN ZOTERO_ITEM CSL_CITATION {"citationID":"a1kf54pqmht","properties":{"unsorted":false,"formattedCitation":"(2023)","plainCitation":"(2023)","noteIndex":0},"citationItems":[{"id":1999,"uris":["http://zotero.org/users/16508355/items/763IYPTL"],"itemData":{"id":1999,"type":"article-journal","abstract":"This study aimed to investigate the potential of enrichment of rare-earth-bearing minerals in historic mine tailing using the froth flotation process. Characterization studies indicated that tailings contained 11,000 ppm of rare earth elements (REEs). The major mineral in the tailings was apatite at ~84%, which was associated with iron oxides (~16%). TESCAN’s integrated mineral analysis (TIMA) showed that monazite was the main REE mineral, and 69% of monazite was locked in apatite grains. Characterization studies suggested that the separation of REEs-bearing apatite from iron oxides is possible using froth flotation, wherein apatite was floated and iron oxides were depressed. Zeta potential experiments were conducted to understand the behavior of the main minerals in the feed when selected depressants of iron oxides were added. Depressants included corn starch, sodium metasilicates, polyacrylamide (PAM), hybrid polyacrylamide (HyPAM), and chitosan. Zeta potential results suggested that chitosan and polyacrylamide-based polymers had the strongest adsorption on magnetite at pH 7 and pH 9, respectively, as indicated by the large shift in the zeta potential of magnetite suspensions. Flotation results were consistent with zeta potential findings and showed that Hy-PAM and chitosan had the best depression efficiency of iron oxides at pH 9 and pH 7, respectively.","container-title":"Minerals","DOI":"10.3390/min13030301","ISSN":"2075-163X","issue":"3","language":"en","license":"http://creativecommons.org/licenses/by/3.0/","note":"number: 3","page":"301","publisher":"Multidisciplinary Digital Publishing Institute","source":"www.mdpi.com","title":"Studies on the Enrichment Feasibility of Rare Earth-Bearing Minerals in Mine Tailings","volume":"13","author":[{"family":"Corchado-Albelo","given":"Jose L."},{"family":"Alagha","given":"Lana"}],"issued":{"date-parts":[["2023",3]]}},"suppress-author":true}],"schema":"https://github.com/citation-style-language/schema/raw/master/csl-citation.json"}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kern w:val="0"/>
          <w:lang w:val="en-GB"/>
        </w:rPr>
        <w:t>(2023)</w:t>
      </w:r>
      <w:r w:rsidRPr="004F36B1">
        <w:rPr>
          <w:rFonts w:ascii="Arial" w:hAnsi="Arial" w:cs="Arial"/>
        </w:rPr>
        <w:fldChar w:fldCharType="end"/>
      </w:r>
      <w:r w:rsidRPr="004F36B1">
        <w:rPr>
          <w:rFonts w:ascii="Arial" w:hAnsi="Arial" w:cs="Arial"/>
          <w:lang w:val="en-GB"/>
        </w:rPr>
        <w:t xml:space="preserve"> analysed residues from Fe oxide processing in U.S. Reynier</w:t>
      </w:r>
      <w:r w:rsidR="008822D8">
        <w:rPr>
          <w:rFonts w:ascii="Arial" w:hAnsi="Arial" w:cs="Arial"/>
          <w:lang w:val="en-GB"/>
        </w:rPr>
        <w:t xml:space="preserve"> et al.</w:t>
      </w:r>
      <w:r w:rsidRPr="004F36B1">
        <w:rPr>
          <w:rFonts w:ascii="Arial" w:hAnsi="Arial" w:cs="Arial"/>
          <w:lang w:val="en-GB"/>
        </w:rPr>
        <w:t xml:space="preserve"> </w:t>
      </w:r>
      <w:r w:rsidRPr="004F36B1">
        <w:rPr>
          <w:rFonts w:ascii="Arial" w:hAnsi="Arial" w:cs="Arial"/>
        </w:rPr>
        <w:fldChar w:fldCharType="begin"/>
      </w:r>
      <w:r w:rsidR="008822D8">
        <w:rPr>
          <w:rFonts w:ascii="Arial" w:hAnsi="Arial" w:cs="Arial"/>
          <w:lang w:val="en-GB"/>
        </w:rPr>
        <w:instrText xml:space="preserve"> ADDIN ZOTERO_ITEM CSL_CITATION {"citationID":"xBX0OOVx","properties":{"formattedCitation":"(2021)","plainCitation":"(2021)","noteIndex":0},"citationItems":[{"id":1959,"uris":["http://zotero.org/users/16508355/items/SNJWUSHY"],"itemData":{"id":1959,"type":"article-journal","abstract":"Tailings from inactive uranium mine sites represent a potential secondary source of rare earth elements (REEs). For this study, two mine tailings (DT and RAT) from restored uranium sites in Ontario, Canada, were used. Bioleaching experiments were conducted with a mix of native sulfur- and iron-oxidizing bacteria to test the solubilization of REEs, U and Th at different temperatures (20, 30 and 40 °C). The selective recovery of REEs from bioleaching solution was evaluated using different ion exchange resins. The mineralogical characterization revealed that DT tailings were mainly composed of quartz, pyrite, gypsum and silicates, whereas RAT tailings were mainly composed of quartz. The maximum solubilization of heavy and light REEs (HREEs and LREEs, respectively), Th and U reached 54%, 6%, 60% and 51% for RAT after 35 days at pH 2, T = 30 °C and pulp density = 10% (w/v). Higher extraction yields were obtained for DT, with 58% of HREEs, 14% of LREEs, 85% of Th and 89% of U solubilized under the same conditions. The use of Lewatit TP272 resin for the recovery of Sc (94%) and U (99%) followed by the Lewatit SP112 resin for the recovery of Th (57%) and REEs (81% LREEs and 65% HREEs) seemed a promising method for the co-extraction of the key elements from the bioleaching solution.","container-title":"Minerals","DOI":"10.3390/min11030302","ISSN":"2075-163X","issue":"3","language":"en","license":"http://creativecommons.org/licenses/by/3.0/","note":"number: 3","page":"302","publisher":"Multidisciplinary Digital Publishing Institute","source":"www.mdpi.com","title":"Bioleaching of Uranium Tailings as Secondary Sources for Rare Earth Elements Production","volume":"11","author":[{"family":"Reynier","given":"Nicolas"},{"family":"Gagné-Turcotte","given":"Roselyne"},{"family":"Coudert","given":"Lucie"},{"family":"Costis","given":"Sophie"},{"family":"Cameron","given":"Rory"},{"family":"Blais","given":"Jean-Francois"}],"issued":{"date-parts":[["2021",3]]}},"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(2021)</w:t>
      </w:r>
      <w:r w:rsidRPr="004F36B1">
        <w:rPr>
          <w:rFonts w:ascii="Arial" w:hAnsi="Arial" w:cs="Arial"/>
        </w:rPr>
        <w:fldChar w:fldCharType="end"/>
      </w:r>
      <w:r w:rsidRPr="004F36B1">
        <w:rPr>
          <w:rFonts w:ascii="Arial" w:hAnsi="Arial" w:cs="Arial"/>
          <w:lang w:val="en-GB"/>
        </w:rPr>
        <w:t xml:space="preserve"> studied tailings from U mines in Canada. Peelman</w:t>
      </w:r>
      <w:r w:rsidR="008822D8">
        <w:rPr>
          <w:rFonts w:ascii="Arial" w:hAnsi="Arial" w:cs="Arial"/>
          <w:lang w:val="en-GB"/>
        </w:rPr>
        <w:t xml:space="preserve"> et al.</w:t>
      </w:r>
      <w:r w:rsidRPr="004F36B1">
        <w:rPr>
          <w:rFonts w:ascii="Arial" w:hAnsi="Arial" w:cs="Arial"/>
          <w:lang w:val="en-GB"/>
        </w:rPr>
        <w:t xml:space="preserve"> </w:t>
      </w:r>
      <w:r w:rsidRPr="004F36B1">
        <w:rPr>
          <w:rFonts w:ascii="Arial" w:hAnsi="Arial" w:cs="Arial"/>
        </w:rPr>
        <w:fldChar w:fldCharType="begin"/>
      </w:r>
      <w:r w:rsidR="008822D8">
        <w:rPr>
          <w:rFonts w:ascii="Arial" w:hAnsi="Arial" w:cs="Arial"/>
          <w:lang w:val="en-GB"/>
        </w:rPr>
        <w:instrText xml:space="preserve"> ADDIN ZOTERO_ITEM CSL_CITATION {"citationID":"HFr0dECu","properties":{"formattedCitation":"(2016)","plainCitation":"(2016)","noteIndex":0},"citationItems":[{"id":1622,"uris":["http://zotero.org/users/16508355/items/E4C6BT26"],"itemData":{"id":1622,"type":"chapter","abstract":"The rare earth elements (REEs) present in the Kiruna iron ore mine tailings are being considered as a new REE resource for the EU. These tailings, after beneficiation, contain approximately 5000 ppm of rare earths, concentrated in apatite and monazite minerals. To economically extract the REEs from these tailings the phosphorous contained within the apatite must also be extracted and the waste production of the process should be minimal. To achieve the extraction of REEs and phosphorous HCl and HNO3 were investigated as possible leaching agents. Based on the results a leaching process using HNO3 is proposed. This process produces H3PO4 from the apatite while simultaneously dissolving the REEs. The resulting leach liquor is then cooled to remove the unwanted Ca as Ca(NO3)2. Analysis of the leach liquor reveals extraction ratios of between 75% and 100% for the heavy REE (e.g. Y, Eu, Dy, …) and below 40% from the light REEs (i.e. Ce, La). Full phosphorous extraction was also achieved.","container-title":"Rare Metal Technology 2016","DOI":"10.1002/9781119274834.ch2","ISBN":"978-1-119-27483-4","language":"en","license":"Copyright © 2016 by The Minerals, Metals &amp; Materials Society","note":"section: 2\n_eprint: https://onlinelibrary.wiley.com/doi/pdf/10.1002/9781119274834.ch2","page":"17-29","publisher":"John Wiley &amp; Sons, Ltd","source":"Wiley Online Library","title":"Hydrometallurgical Extraction of Rare Earth Elements From Low Grade Mine Tailings","URL":"https://onlinelibrary.wiley.com/doi/abs/10.1002/9781119274834.ch2","author":[{"family":"Peelman","given":"S."},{"family":"Sun","given":"Z.h.i."},{"family":"Sietsma","given":"J."},{"family":"Yang","given":"Y."}],"accessed":{"date-parts":[["2025",3,13]]},"issued":{"date-parts":[["2016"]]}},"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(2016)</w:t>
      </w:r>
      <w:r w:rsidRPr="004F36B1">
        <w:rPr>
          <w:rFonts w:ascii="Arial" w:hAnsi="Arial" w:cs="Arial"/>
        </w:rPr>
        <w:fldChar w:fldCharType="end"/>
      </w:r>
      <w:r w:rsidRPr="004F36B1">
        <w:rPr>
          <w:rFonts w:ascii="Arial" w:hAnsi="Arial" w:cs="Arial"/>
          <w:lang w:val="en-GB"/>
        </w:rPr>
        <w:t xml:space="preserve"> investigated residues from an Fe mine in Sweden. Fleming</w:t>
      </w:r>
      <w:r w:rsidR="008822D8">
        <w:rPr>
          <w:rFonts w:ascii="Arial" w:hAnsi="Arial" w:cs="Arial"/>
          <w:lang w:val="en-GB"/>
        </w:rPr>
        <w:t xml:space="preserve"> et al.</w:t>
      </w:r>
      <w:r w:rsidRPr="004F36B1">
        <w:rPr>
          <w:rFonts w:ascii="Arial" w:hAnsi="Arial" w:cs="Arial"/>
          <w:lang w:val="en-GB"/>
        </w:rPr>
        <w:t xml:space="preserve"> </w:t>
      </w:r>
      <w:r w:rsidRPr="004F36B1">
        <w:rPr>
          <w:rFonts w:ascii="Arial" w:hAnsi="Arial" w:cs="Arial"/>
        </w:rPr>
        <w:fldChar w:fldCharType="begin"/>
      </w:r>
      <w:r w:rsidR="008822D8">
        <w:rPr>
          <w:rFonts w:ascii="Arial" w:hAnsi="Arial" w:cs="Arial"/>
          <w:lang w:val="en-GB"/>
        </w:rPr>
        <w:instrText xml:space="preserve"> ADDIN ZOTERO_ITEM CSL_CITATION {"citationID":"OKXzxlV2","properties":{"formattedCitation":"(2021)","plainCitation":"(2021)","noteIndex":0},"citationItems":[{"id":1966,"uris":["http://zotero.org/users/16508355/items/BNEV6FP3"],"itemData":{"id":1966,"type":"article-journal","abstract":"The rare earth elements (REE) include the group of 15 lanthanides, scandium and yttrium and have diverse applications in technological and nuclear areas. The existence of REE in massive solid mining wastes generated in leaching processes of copper minerals in the Atacama region of Chile generates the possibility of creating added value to the treatment of this type of waste and supporting the development of a circular economy, generating a useful by-product in different industries. In order to know the behavior of these elements present in the solid carrier waste, a leaching process was carried out by using two agents separately, corresponding to hydrochloric and nitric acid. The technical feasibility to recover REE from carrier tail was demonstrated, the best leaching agent for these elements being a hydrochloric solution, obtaining a maximum recovery efficiency of 64.5%, for an acid concentration: 3M, temperature: 40°C and (liquid/solid) ratio: 4. Lanthanum and cerium present the best individual recoveries compared to the other REE, with a maximum efficiency for a hydrochloric solution of 75.7% and 70.0%, respectively. The interaction of operational parameters that most influence the REE recovery corresponds to the temperature and the (liquid/solid) ratio. After 4 hours of leaching, REE recovery efficiencies remain practically constant. Acid consumptions correspond to 11 (kg HCl/ton mining tail) and 29 (kg HNO3/ton mining tail). The highest amount recovery ratios of these elements correspond to 0.355 and 0.224 (kg REE/ton mining tail), for hydrochloric and nitric solutions, respectively. These results influence the types of reagents and parameters to be studied in the following stages of the global process.","container-title":"World Journal of Nuclear Science and Technology","DOI":"10.4236/wjnst.2021.111001","issue":"1","language":"en","license":"http://creativecommons.org/licenses/by-nc/4.0/","note":"number: 1","page":"1-16","publisher":"Scientific Research Publishing","source":"www.scirp.org","title":"Recovery of Rare Earth Elements Present in Mining Tails, by Leaching with Nitric and Hydrochloric Solutions","volume":"11","author":[{"family":"Fleming","given":"Peter"},{"family":"Orrego","given":"Pedro"},{"family":"Pinilla","given":"Felipe"}],"issued":{"date-parts":[["2021",1,8]]}},"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(2021)</w:t>
      </w:r>
      <w:r w:rsidRPr="004F36B1">
        <w:rPr>
          <w:rFonts w:ascii="Arial" w:hAnsi="Arial" w:cs="Arial"/>
        </w:rPr>
        <w:fldChar w:fldCharType="end"/>
      </w:r>
      <w:r w:rsidRPr="004F36B1">
        <w:rPr>
          <w:rFonts w:ascii="Arial" w:hAnsi="Arial" w:cs="Arial"/>
          <w:lang w:val="en-GB"/>
        </w:rPr>
        <w:t xml:space="preserve"> analysed residues from Cu leaching processes in Chile. Abaka-Wood</w:t>
      </w:r>
      <w:r w:rsidR="008822D8">
        <w:rPr>
          <w:rFonts w:ascii="Arial" w:hAnsi="Arial" w:cs="Arial"/>
          <w:lang w:val="en-GB"/>
        </w:rPr>
        <w:t xml:space="preserve"> et al.</w:t>
      </w:r>
      <w:r w:rsidRPr="004F36B1">
        <w:rPr>
          <w:rFonts w:ascii="Arial" w:hAnsi="Arial" w:cs="Arial"/>
          <w:lang w:val="en-GB"/>
        </w:rPr>
        <w:t xml:space="preserve"> </w:t>
      </w:r>
      <w:r w:rsidRPr="004F36B1">
        <w:rPr>
          <w:rFonts w:ascii="Arial" w:hAnsi="Arial" w:cs="Arial"/>
        </w:rPr>
        <w:fldChar w:fldCharType="begin"/>
      </w:r>
      <w:r w:rsidR="00152F56">
        <w:rPr>
          <w:rFonts w:ascii="Arial" w:hAnsi="Arial" w:cs="Arial"/>
          <w:lang w:val="en-GB"/>
        </w:rPr>
        <w:instrText xml:space="preserve"> ADDIN ZOTERO_ITEM CSL_CITATION {"citationID":"I2hi3J5I","properties":{"formattedCitation":"(2022)","plainCitation":"(2022)","noteIndex":0},"citationItems":[{"id":1970,"uris":["http://zotero.org/users/16508355/items/BT3VG3E4"],"itemData":{"id":1970,"type":"article-journal","abstract":"The rapid depletion of high-grade rare earth elements (REE) resources implies that future supplies may be augmented with low-grade ores, mining tailings and other unconventional resources to meet cutoff grades and subsequently supply demands. In this work, detailed characterization of tailings from a copper processing plant was carried out to expand the knowledge of their chemical and mineralogical characteristics for REE recovery. The results showed that the REE are mainly mineralized as bastnäsite, monazite, and stetindite, along with uncommon minerals, such as brannerite, stillwellite, and florencite, for which there is limited processing data. In a preliminary effort to recover the REE, the tailings were subjected to gravity, magnetic, and froth flotation separation. Over 90% REE recovery was achieved via froth flotation, whereas magnetic and gravity separation tests recovered up to 86% and 54% REE, respectively. The results from this study suggest that, with systematic optimization studies, REE recovery and upgrade could be enhanced, with significant efforts of minimizing the recovery of key gangue minerals, such as goethite, hematite, and quartz. Overall, the study confirms that the tailings used in this work could be regarded as unconventional REE resources subject to tactical development and optimization of beneficiation methods.","container-title":"Mineral Processing and Extractive Metallurgy Review","DOI":"10.1080/08827508.2021.1920410","ISSN":"0882-7508","issue":"6","note":"_eprint: https://doi.org/10.1080/08827508.2021.1920410","page":"701-715","publisher":"Taylor &amp; Francis","source":"Taylor and Francis+NEJM","title":"The Use of Mining Tailings as Analog of Rare Earth Elements Resources: Part 1 – Characterization and Preliminary Separation","title-short":"The Use of Mining Tailings as Analog of Rare Earth Elements Resources","volume":"43","author":[{"family":"Abaka-Wood","given":"George Blankson"},{"family":"Addai-Mensah","given":"","suffix":"Jonas"},{"family":"Skinner","given":"William","non-dropping-particle":"and"}],"issued":{"date-parts":[["2022",8,18]]}},"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(2022)</w:t>
      </w:r>
      <w:r w:rsidRPr="004F36B1">
        <w:rPr>
          <w:rFonts w:ascii="Arial" w:hAnsi="Arial" w:cs="Arial"/>
        </w:rPr>
        <w:fldChar w:fldCharType="end"/>
      </w:r>
      <w:r w:rsidRPr="00275563">
        <w:rPr>
          <w:rFonts w:ascii="Arial" w:hAnsi="Arial" w:cs="Arial"/>
          <w:lang w:val="en-GB"/>
        </w:rPr>
        <w:t xml:space="preserve"> studied tailings from Cu flotation in Australia</w:t>
      </w:r>
      <w:r w:rsidRPr="004F36B1">
        <w:rPr>
          <w:rFonts w:ascii="Arial" w:hAnsi="Arial" w:cs="Arial"/>
          <w:lang w:val="en-GB"/>
        </w:rPr>
        <w:t>. Echeverry-Vargas</w:t>
      </w:r>
      <w:r w:rsidR="008822D8">
        <w:rPr>
          <w:rFonts w:ascii="Arial" w:hAnsi="Arial" w:cs="Arial"/>
          <w:lang w:val="en-GB"/>
        </w:rPr>
        <w:t xml:space="preserve"> </w:t>
      </w:r>
      <w:r w:rsidR="008822D8" w:rsidRPr="008822D8">
        <w:rPr>
          <w:rFonts w:ascii="Arial" w:hAnsi="Arial" w:cs="Arial"/>
          <w:lang w:val="en-GB"/>
        </w:rPr>
        <w:t>and Ocampo-Carmona</w:t>
      </w:r>
      <w:r w:rsidRPr="004F36B1">
        <w:rPr>
          <w:rFonts w:ascii="Arial" w:hAnsi="Arial" w:cs="Arial"/>
          <w:lang w:val="en-GB"/>
        </w:rPr>
        <w:t xml:space="preserve"> </w:t>
      </w:r>
      <w:r w:rsidRPr="004F36B1">
        <w:rPr>
          <w:rFonts w:ascii="Arial" w:hAnsi="Arial" w:cs="Arial"/>
        </w:rPr>
        <w:fldChar w:fldCharType="begin"/>
      </w:r>
      <w:r w:rsidRPr="004F36B1">
        <w:rPr>
          <w:rFonts w:ascii="Arial" w:hAnsi="Arial" w:cs="Arial"/>
          <w:lang w:val="en-GB"/>
        </w:rPr>
        <w:instrText xml:space="preserve"> ADDIN ZOTERO_ITEM CSL_CITATION {"citationID":"y8uMfrb3","properties":{"formattedCitation":"(2022)","plainCitation":"(2022)","noteIndex":0},"citationItems":[{"id":1739,"uris":["http://zotero.org/users/16508355/items/QBKB2P2J"],"itemData":{"id":1739,"type":"article-journal","abstract":"The growing demand for rare earth elements (REE) driven by their applications in modern technologies has caused the need to search for alternative sources of these elements as their extraction from traditional deposits is limited. A potential source of light rare earth elements (LREE) may be the monazite present in the mining waste generated in the Bagre-Nechí mining district in Colombia due to the processing of sands containing alluvial gold. Consequently, in this research, a systematic evaluation has been carried out for the extraction of (Formula presented.), (Formula presented.), and (Formula presented.) from a leach liquor obtained from monazite present in alluvial gold mining tailings. The leaching process carried out with (Formula presented.) indicated the recovery of approximately 90% of (Formula presented.) and (Formula presented.) and (Formula presented.) of (Formula presented.) ; the solvent extraction tests of these elements showed that increasing the contact time and pH of the leaching liquor positively affects the extraction of lanthanum, cerium, and neodymium, achieving extractions close to 100% with (Formula presented.) and to a lesser extent with (Formula prese</w:instrText>
      </w:r>
      <w:r w:rsidRPr="00275563">
        <w:rPr>
          <w:rFonts w:ascii="Arial" w:hAnsi="Arial" w:cs="Arial"/>
          <w:lang w:val="en-GB"/>
        </w:rPr>
        <w:instrText xml:space="preserve">nted.). McCabe–Thiele diagrams for extraction with (Formula presented.) indicated the requirement of three stages for the extraction of (Formula presented.), (Formula presented.) and (Formula presented.). © 2022 by the authors.","archive":"Scopus","container-title":"Minerals","DOI":"10.3390/min12080948","issue":"8","source":"Scopus","title":"Recovery of Rare Earth Elements from Mining Tailings: A Case Study for Generating Wealth from Waste","title-short":"Recovery of Rare Earth Elements from Mining Tailings","volume":"12","author":[{"family":"Echeverry-Vargas","given":"L."},{"family":"Ocampo-Carmona","given":"L.M."}],"issued":{"date-parts":[["2022"]]}},"suppress-author":true}],"schema":"https://github.com/citation-style-language/schema/raw/master/csl-citation.json"} </w:instrText>
      </w:r>
      <w:r w:rsidRPr="004F36B1">
        <w:rPr>
          <w:rFonts w:ascii="Arial" w:hAnsi="Arial" w:cs="Arial"/>
        </w:rPr>
        <w:fldChar w:fldCharType="separate"/>
      </w:r>
      <w:r w:rsidR="008822D8" w:rsidRPr="008822D8">
        <w:rPr>
          <w:rFonts w:ascii="Arial" w:hAnsi="Arial" w:cs="Arial"/>
          <w:lang w:val="en-GB"/>
        </w:rPr>
        <w:t>(2022)</w:t>
      </w:r>
      <w:r w:rsidRPr="004F36B1">
        <w:rPr>
          <w:rFonts w:ascii="Arial" w:hAnsi="Arial" w:cs="Arial"/>
        </w:rPr>
        <w:fldChar w:fldCharType="end"/>
      </w:r>
      <w:r w:rsidRPr="00275563">
        <w:rPr>
          <w:rFonts w:ascii="Arial" w:hAnsi="Arial" w:cs="Arial"/>
          <w:lang w:val="en-GB"/>
        </w:rPr>
        <w:t xml:space="preserve"> analysed tailings from alluvial Au mining in Colombia. </w:t>
      </w:r>
      <w:r w:rsidRPr="004F36B1">
        <w:rPr>
          <w:rFonts w:ascii="Arial" w:hAnsi="Arial" w:cs="Arial"/>
          <w:lang w:val="en-GB"/>
        </w:rPr>
        <w:t>Together, these studies confirm the high potential for the recovery of REE from EW.</w:t>
      </w:r>
    </w:p>
    <w:p w14:paraId="6777726E" w14:textId="01B31B8D" w:rsidR="00245C86" w:rsidRPr="00245C86" w:rsidRDefault="00245C86" w:rsidP="00245C86">
      <w:pPr>
        <w:pStyle w:val="Didascalia"/>
        <w:keepNext/>
      </w:pPr>
      <w:r>
        <w:t xml:space="preserve">Table </w:t>
      </w:r>
      <w:r w:rsidR="004D0F98">
        <w:t>S</w:t>
      </w:r>
      <w:r w:rsidR="000455E3">
        <w:t>4</w:t>
      </w:r>
      <w:r>
        <w:t xml:space="preserve"> </w:t>
      </w:r>
      <w:r w:rsidRPr="00245C86">
        <w:t>Summary of literature data on the recovery of CRM</w:t>
      </w:r>
      <w:r w:rsidR="00925879">
        <w:t>s</w:t>
      </w:r>
      <w:r w:rsidRPr="00245C86">
        <w:t xml:space="preserve"> from secondary resources, including </w:t>
      </w:r>
      <w:r w:rsidR="00925879">
        <w:t>EW</w:t>
      </w:r>
      <w:r w:rsidRPr="00245C86">
        <w:t>, contaminated soils, and industrial residues, reporting initial concentrations and main recovery outcomes.</w:t>
      </w:r>
    </w:p>
    <w:tbl>
      <w:tblPr>
        <w:tblStyle w:val="Tabellasemplice-1"/>
        <w:tblW w:w="0" w:type="auto"/>
        <w:tblLook w:val="04A0" w:firstRow="1" w:lastRow="0" w:firstColumn="1" w:lastColumn="0" w:noHBand="0" w:noVBand="1"/>
      </w:tblPr>
      <w:tblGrid>
        <w:gridCol w:w="772"/>
        <w:gridCol w:w="2053"/>
        <w:gridCol w:w="2118"/>
        <w:gridCol w:w="2085"/>
        <w:gridCol w:w="2600"/>
      </w:tblGrid>
      <w:tr w:rsidR="004547A5" w:rsidRPr="002F4747" w14:paraId="5639338A" w14:textId="77777777" w:rsidTr="00582A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F1A9DC" w14:textId="77777777" w:rsidR="004547A5" w:rsidRPr="002F4747" w:rsidRDefault="004547A5" w:rsidP="00582AD4">
            <w:pPr>
              <w:jc w:val="center"/>
              <w:rPr>
                <w:b w:val="0"/>
                <w:bCs w:val="0"/>
                <w:lang w:val="en-GB"/>
              </w:rPr>
            </w:pPr>
            <w:r>
              <w:rPr>
                <w:b w:val="0"/>
                <w:bCs w:val="0"/>
                <w:lang w:val="en-GB"/>
              </w:rPr>
              <w:t>CRM</w:t>
            </w:r>
          </w:p>
        </w:tc>
        <w:tc>
          <w:tcPr>
            <w:tcW w:w="0" w:type="auto"/>
            <w:hideMark/>
          </w:tcPr>
          <w:p w14:paraId="7B0E21ED" w14:textId="77777777" w:rsidR="004547A5" w:rsidRPr="002F4747" w:rsidRDefault="004547A5" w:rsidP="00582AD4">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b w:val="0"/>
                <w:bCs w:val="0"/>
                <w:lang w:val="en-GB"/>
              </w:rPr>
              <w:t>references</w:t>
            </w:r>
          </w:p>
        </w:tc>
        <w:tc>
          <w:tcPr>
            <w:tcW w:w="0" w:type="auto"/>
            <w:hideMark/>
          </w:tcPr>
          <w:p w14:paraId="68388C76" w14:textId="77777777" w:rsidR="004547A5" w:rsidRPr="002F4747" w:rsidRDefault="004547A5" w:rsidP="00582AD4">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b w:val="0"/>
                <w:bCs w:val="0"/>
                <w:lang w:val="en-GB"/>
              </w:rPr>
              <w:t>Secondary resource type</w:t>
            </w:r>
          </w:p>
        </w:tc>
        <w:tc>
          <w:tcPr>
            <w:tcW w:w="0" w:type="auto"/>
            <w:hideMark/>
          </w:tcPr>
          <w:p w14:paraId="5C718560" w14:textId="77777777" w:rsidR="004547A5" w:rsidRPr="002F4747" w:rsidRDefault="004547A5" w:rsidP="00582AD4">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2F4747">
              <w:rPr>
                <w:b w:val="0"/>
                <w:bCs w:val="0"/>
                <w:lang w:val="en-GB"/>
              </w:rPr>
              <w:t>Initial co</w:t>
            </w:r>
            <w:r>
              <w:rPr>
                <w:b w:val="0"/>
                <w:bCs w:val="0"/>
                <w:lang w:val="en-GB"/>
              </w:rPr>
              <w:t>ncentration</w:t>
            </w:r>
          </w:p>
        </w:tc>
        <w:tc>
          <w:tcPr>
            <w:tcW w:w="0" w:type="auto"/>
            <w:hideMark/>
          </w:tcPr>
          <w:p w14:paraId="1E2D9852" w14:textId="77777777" w:rsidR="004547A5" w:rsidRPr="002F4747" w:rsidRDefault="004547A5" w:rsidP="00582AD4">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b w:val="0"/>
                <w:bCs w:val="0"/>
                <w:lang w:val="en-GB"/>
              </w:rPr>
              <w:t>Main r</w:t>
            </w:r>
            <w:r w:rsidRPr="002F4747">
              <w:rPr>
                <w:b w:val="0"/>
                <w:bCs w:val="0"/>
                <w:lang w:val="en-GB"/>
              </w:rPr>
              <w:t>esults</w:t>
            </w:r>
          </w:p>
        </w:tc>
      </w:tr>
      <w:tr w:rsidR="004547A5" w:rsidRPr="00BB6CD0" w14:paraId="6FA975FD"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7B2659" w14:textId="77777777" w:rsidR="004547A5" w:rsidRPr="002F4747" w:rsidRDefault="004547A5" w:rsidP="00582AD4">
            <w:pPr>
              <w:rPr>
                <w:b w:val="0"/>
                <w:bCs w:val="0"/>
                <w:lang w:val="en-GB"/>
              </w:rPr>
            </w:pPr>
            <w:r w:rsidRPr="002F4747">
              <w:rPr>
                <w:b w:val="0"/>
                <w:bCs w:val="0"/>
                <w:lang w:val="en-GB"/>
              </w:rPr>
              <w:t>Be</w:t>
            </w:r>
          </w:p>
        </w:tc>
        <w:tc>
          <w:tcPr>
            <w:tcW w:w="0" w:type="auto"/>
            <w:hideMark/>
          </w:tcPr>
          <w:p w14:paraId="6E7B0FC7" w14:textId="5C98899C"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{"citationID":"EYZjfFbQ","properties":{"formattedCitation":"(Lohmeier et al. 2021)","plainCitation":"(Lohmeier et al. 2021)","noteIndex":0},"citationItems":[{"id":1921,"uris":["http://zotero.org/users/16508355/items/IJKFQYBA"],"itemData":{"id":1921,"type":"article-journal","abstract":"Historic tin mining and mineral processing of the Uis pegmatite deposit (Namibia) has resulted in a series of tailings impoundments. In this study, Uis tailings were characterised to establish their suitability for brick manufacturing and reprocessing potential for rare metals (Be, Li, Nb, Ta). Tailings occur on-site as two distinct types (a) fine- to medium-grained sand (d50 = 120 to 420 μm) in dune-like spoil dumps; and (b) fine- to medium-grained sand (Fraction A: d50 = 120 to 410 μm; ~25% of tailings type) and fine-grained silt (Fraction B: d50 = 18 to 83 μm; ~75% of tailings type) in four low-lying dried-out waste impoundment cells. The two tailings types have a similar and homogeneous mineralogical composition, comprising quartz, plagioclase, K-feldspar and mica as well as minor cassiterite, columbite-tantalite and petalite, reflecting the micaceous quartzo-feldspathic composition of the source rocks. The main clay mineral is illite with minor (ferroan) clinochlore, cookeite and kaolinite. Such a mineralogical composition allows contemporary brick fabrication due to illite as the main clay mineral, a large proportion of quartz as a stabilizer and only trace amounts of minerals that could have a detrimental effect (e.g. Fe oxides and pyrite). Consequently, the consistent particle size distribution and homogeneous mineralogical composition allow present-day production of high-quality fired bricks from tailings. To date, the use of Uis tailings for brick manufacturing supports the local economy, aids building development and removes silica-rich mine wastes prone to dust dispersion in a remote part of Namibia. In addition, geochemical analysis of the tailings reveals strongly elevated mean concentrations of rare metals (~2 760 mg/kg Li, ~140 mg/kg Be, ~41 mg/kg Ta, ~55 mg/kg Sn, ~74 mg/kg Nb). Resource estimates suggest the presence of ~25 200 t Li2O, ~1 600 t BeO and significant Nb-Ta-Sn in impoundment cell material and a total resource of ~365 000 t Li2O and ~27 900 t BeO in bulk tailings. Thus, Uis tailings also offer the opportunity for reprocessing and extraction of rare metals.","container-title":"South African Journal of Geology","DOI":"10.25131/sajg.124.0015","ISSN":"1012-0750","issue":"3","journalAbbreviation":"South African Journal of Geology","page":"639-662","source":"Silverchair","title":"Reprocessing potential of pegmatite tailings for rare metal extraction and brick fabrication, Uis, Namibia","volume":"124","author":[{"family":"Lohmeier","given":"S."},{"family":"Lottermoser","given":"B.G."},{"family":"Schirmer","given":"T."},{"family":"Fuchsloch","given":"W."}],"issued":{"date-parts":[["2021",9,1]]}}}],"schema":"https://github.com/citation-style-language/schema/raw/master/csl-citation.json"} </w:instrText>
            </w:r>
            <w:r>
              <w:rPr>
                <w:lang w:val="en-GB"/>
              </w:rPr>
              <w:fldChar w:fldCharType="separate"/>
            </w:r>
            <w:r w:rsidR="008822D8" w:rsidRPr="008822D8">
              <w:rPr>
                <w:rFonts w:ascii="Aptos" w:hAnsi="Aptos"/>
                <w:lang w:val="en-GB"/>
              </w:rPr>
              <w:t>(Lohmeier et al. 2021)</w:t>
            </w:r>
            <w:r>
              <w:rPr>
                <w:lang w:val="en-GB"/>
              </w:rPr>
              <w:fldChar w:fldCharType="end"/>
            </w:r>
          </w:p>
        </w:tc>
        <w:tc>
          <w:tcPr>
            <w:tcW w:w="0" w:type="auto"/>
            <w:hideMark/>
          </w:tcPr>
          <w:p w14:paraId="0219316B" w14:textId="77777777"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Tailings from historic Sn mine</w:t>
            </w:r>
          </w:p>
        </w:tc>
        <w:tc>
          <w:tcPr>
            <w:tcW w:w="0" w:type="auto"/>
            <w:hideMark/>
          </w:tcPr>
          <w:p w14:paraId="1B898D8C" w14:textId="20A202FC"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140</w:t>
            </w:r>
            <w:r w:rsidR="006A759F">
              <w:rPr>
                <w:lang w:val="en-GB"/>
              </w:rPr>
              <w:t>.0</w:t>
            </w:r>
            <w:r w:rsidRPr="002F4747">
              <w:rPr>
                <w:lang w:val="en-GB"/>
              </w:rPr>
              <w:t xml:space="preserve"> mg/kg Be</w:t>
            </w:r>
          </w:p>
        </w:tc>
        <w:tc>
          <w:tcPr>
            <w:tcW w:w="0" w:type="auto"/>
            <w:hideMark/>
          </w:tcPr>
          <w:p w14:paraId="550659A2" w14:textId="77777777"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Potential extraction of 1600 t BeO</w:t>
            </w:r>
          </w:p>
        </w:tc>
      </w:tr>
      <w:tr w:rsidR="004547A5" w:rsidRPr="002F4747" w14:paraId="3CB3AD6E"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53205874" w14:textId="77777777" w:rsidR="004547A5" w:rsidRPr="002F4747" w:rsidRDefault="004547A5" w:rsidP="00582AD4">
            <w:pPr>
              <w:rPr>
                <w:b w:val="0"/>
                <w:bCs w:val="0"/>
                <w:lang w:val="en-GB"/>
              </w:rPr>
            </w:pPr>
          </w:p>
        </w:tc>
        <w:tc>
          <w:tcPr>
            <w:tcW w:w="0" w:type="auto"/>
            <w:hideMark/>
          </w:tcPr>
          <w:p w14:paraId="1AEE4990" w14:textId="1BF056E3"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{"citationID":"d9FUBlOo","properties":{"formattedCitation":"(Li et al. 2025)","plainCitation":"(Li et al. 2025)","noteIndex":0},"citationItems":[{"id":2054,"uris":["http://zotero.org/users/16508355/items/CZ6QKJV8"],"itemData":{"id":2054,"type":"article-journal","abstract":"The generation of beryllium-containing sludge (BS), a hazardous solid waste, has increased with the rapid advancements in the nuclear, weapon, aerospace, and electronic information industries. As a scarce, valuable element as well as the most toxic nonradioactive element, the extraction of beryllium (Be) from BS has significant environmental and economic impacts. The comprehension of Be species in BS is crucial for achieving efficient extraction of Be. In this study, the distribution of Be species in BS was determined for the first time, including four predominant forms: isolated (31.40%), adsorbed (17.00%), encapsulated (&gt;43.15%), and doped (&lt;8.45%). Moreover, the key host phases for Be in BS were identified as amorphous silica and calcium sulfate. Based on the above analysis, the H2SO4-enhanced hydrothermal method was developed to effectively reconstruct the host phases and expose the encapsulated and doped Be species which are usually hard to extract. By optimizing the reaction conditions at 120 °C, a remarkable extraction efficiency of 95.82% for Be was achieved and the Be extraction mechanism was well investigated. Density functional theory (DFT) study revealed that the binding energy between Be species and silica weakened during the H2SO4-enhanced hydrothermal process, which ensured the efficient separation of Be from the residue and prevented its reintegration into the original host phase.","container-title":"Journal of Cleaner Production","DOI":"10.1016/j.jclepro.2025.144667","ISSN":"0959-6526","journalAbbreviation":"Journal of Cleaner Production","page":"144667","source":"ScienceDirect","title":"A new insight into beryllium extraction mechanism from beryllium-containing sludge through key host phase reconstruction and binding energy regulation","volume":"489","author":[{"family":"Li","given":"Li"},{"family":"Gao","given":"Huiqin"},{"family":"Li","given":"Jie"},{"family":"Liu","given":"Weizhen"},{"family":"Li","given":"Yin"},{"family":"Zeng","given":"Zhiyan"},{"family":"Lin","given":"Peng"},{"family":"Yu","given":"Changyong"},{"family":"Ke","given":"Yong"},{"family":"Li","given":"Xiaoqin"},{"family":"Lin","given":"Zhang"},{"family":"Chai","given":"Liyuan"}],"issued":{"date-parts":[["2025",1,15]]}}}],"schema":"https://github.com/citation-style-language/schema/raw/master/csl-citation.json"} </w:instrText>
            </w:r>
            <w:r>
              <w:rPr>
                <w:lang w:val="en-GB"/>
              </w:rPr>
              <w:fldChar w:fldCharType="separate"/>
            </w:r>
            <w:r w:rsidR="008822D8" w:rsidRPr="008822D8">
              <w:rPr>
                <w:rFonts w:ascii="Aptos" w:hAnsi="Aptos"/>
              </w:rPr>
              <w:t>(Li et al. 2025)</w:t>
            </w:r>
            <w:r>
              <w:rPr>
                <w:lang w:val="en-GB"/>
              </w:rPr>
              <w:fldChar w:fldCharType="end"/>
            </w:r>
          </w:p>
        </w:tc>
        <w:tc>
          <w:tcPr>
            <w:tcW w:w="0" w:type="auto"/>
            <w:hideMark/>
          </w:tcPr>
          <w:p w14:paraId="4288D09C" w14:textId="77777777"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Sludge from neutralisation of wastewater (Be smelting plant)</w:t>
            </w:r>
          </w:p>
        </w:tc>
        <w:tc>
          <w:tcPr>
            <w:tcW w:w="0" w:type="auto"/>
            <w:hideMark/>
          </w:tcPr>
          <w:p w14:paraId="15B7CC76" w14:textId="02593A18"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0.1% Be</w:t>
            </w:r>
          </w:p>
        </w:tc>
        <w:tc>
          <w:tcPr>
            <w:tcW w:w="0" w:type="auto"/>
            <w:hideMark/>
          </w:tcPr>
          <w:p w14:paraId="6D8905E2" w14:textId="6C560935"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Extraction efficiency 95.82%</w:t>
            </w:r>
          </w:p>
        </w:tc>
      </w:tr>
      <w:tr w:rsidR="004547A5" w:rsidRPr="00BB6CD0" w14:paraId="0E683E30"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113864" w14:textId="77777777" w:rsidR="004547A5" w:rsidRPr="002F4747" w:rsidRDefault="004547A5" w:rsidP="00582AD4">
            <w:pPr>
              <w:rPr>
                <w:b w:val="0"/>
                <w:bCs w:val="0"/>
                <w:lang w:val="en-GB"/>
              </w:rPr>
            </w:pPr>
            <w:r w:rsidRPr="002F4747">
              <w:rPr>
                <w:b w:val="0"/>
                <w:bCs w:val="0"/>
                <w:lang w:val="en-GB"/>
              </w:rPr>
              <w:t>W</w:t>
            </w:r>
          </w:p>
        </w:tc>
        <w:tc>
          <w:tcPr>
            <w:tcW w:w="0" w:type="auto"/>
            <w:hideMark/>
          </w:tcPr>
          <w:p w14:paraId="33AD2F98" w14:textId="5C7A477B"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{"citationID":"ENepDdNi","properties":{"formattedCitation":"(Clemente et al. 1993)","plainCitation":"(Clemente et al. 1993)","noteIndex":0},"citationItems":[{"id":2107,"uris":["http://zotero.org/users/16508355/items/SG4QCVYB"],"itemData":{"id":2107,"type":"article-journal","abstract":"This paper describes the development of a new process route for ultrafine wolframite recovery, to enable the efficient reprocessing of historical mine tailings as well as current plant slimes tailings from the Beralt Tin and Wolfram operations at Minas da Panasqueira in Portugal. Much of the wolframite in these tailings is below 25 microns in size and is associated with a complex mixture of other minerals including zinc, copper and other sulphides, tourmaline, siderite, ferromagnetic and other strongly magnetic material. The paper reports on flotation, magnetic separation and gravity concentration testwork, undertaken at both laboratory and pilot scale on the historical mine tailings and on the current slimes tailings of the plant. Froth flotation of the Panasqueira wolframite has been investigated over a number of years with very inconsistent results. This work highlighed further inconsistencies between the current tailings (which floated) and the old dam tailings (which did not). High intensity magnetic separation (at low to moderate fields) could not recover the finest wolframite and could not achieve the differential needed between the wolframite and siderite and the other strongly magnetic minerals present. At higher fields, there was a substantial recovery of the magnetic silicates and consequently poor weight rejection. Gravity separation testwork centred on the Multi-Gravity Separator with some work also being carried out using the Kelsey jig and Duplex separators. Results indicated that a three stage process with intermediate sulphide flotation could potentially produce a wolframite concentrate of 50% to 55 % WO3, at a reasonable recovery. Concentrate cleaning options were logistically very difficult to investigate, one tonne of dam material only yielding a few kilogrammes of concentrate for testwork. In order to provide a through investigation, the limited testwork was backed up by extensive computer simulation. Computer simulation also played an integral part in developing the overall process flowsheet and in optimising this flowsheet to maximise recoveries.","container-title":"Minerals Engineering","DOI":"10.1016/0892-6875(93)90057-T","ISSN":"0892-6875","issue":"8","journalAbbreviation":"Minerals Engineering","page":"831-839","source":"ScienceDirect","title":"Reprocessing slimes tailings from a tungsten mine","volume":"6","author":[{"family":"Clemente","given":"D."},{"family":"Newling","given":"P."},{"family":"Botelho de Sousa","given":"A."},{"family":"LeJeune","given":"G."},{"family":"Barber","given":"S. P."},{"family":"Tucker","given":"P."}],"issued":{"date-parts":[["1993",8,1]]}}}],"schema":"https://github.com/citation-style-language/schema/raw/master/csl-citation.json"} </w:instrText>
            </w:r>
            <w:r>
              <w:rPr>
                <w:lang w:val="en-GB"/>
              </w:rPr>
              <w:fldChar w:fldCharType="separate"/>
            </w:r>
            <w:r w:rsidR="008822D8" w:rsidRPr="008822D8">
              <w:rPr>
                <w:rFonts w:ascii="Aptos" w:hAnsi="Aptos"/>
                <w:lang w:val="en-GB"/>
              </w:rPr>
              <w:t>(Clemente et al. 1993)</w:t>
            </w:r>
            <w:r>
              <w:rPr>
                <w:lang w:val="en-GB"/>
              </w:rPr>
              <w:fldChar w:fldCharType="end"/>
            </w:r>
          </w:p>
        </w:tc>
        <w:tc>
          <w:tcPr>
            <w:tcW w:w="0" w:type="auto"/>
            <w:hideMark/>
          </w:tcPr>
          <w:p w14:paraId="160796D7" w14:textId="77777777"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W mine tailings</w:t>
            </w:r>
          </w:p>
        </w:tc>
        <w:tc>
          <w:tcPr>
            <w:tcW w:w="0" w:type="auto"/>
            <w:hideMark/>
          </w:tcPr>
          <w:p w14:paraId="3C32678F" w14:textId="77777777"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w:t>
            </w:r>
          </w:p>
        </w:tc>
        <w:tc>
          <w:tcPr>
            <w:tcW w:w="0" w:type="auto"/>
            <w:hideMark/>
          </w:tcPr>
          <w:p w14:paraId="5F1A48D0" w14:textId="51FADED9"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Concentrates with 50–55% WO₃, reasonable recovery</w:t>
            </w:r>
          </w:p>
        </w:tc>
      </w:tr>
      <w:tr w:rsidR="004547A5" w:rsidRPr="002F4747" w14:paraId="0EB5FEA2"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50267D1F" w14:textId="77777777" w:rsidR="004547A5" w:rsidRPr="002F4747" w:rsidRDefault="004547A5" w:rsidP="00582AD4">
            <w:pPr>
              <w:rPr>
                <w:b w:val="0"/>
                <w:bCs w:val="0"/>
                <w:lang w:val="en-GB"/>
              </w:rPr>
            </w:pPr>
          </w:p>
        </w:tc>
        <w:tc>
          <w:tcPr>
            <w:tcW w:w="0" w:type="auto"/>
            <w:hideMark/>
          </w:tcPr>
          <w:p w14:paraId="6F9AE540" w14:textId="7EBED388"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{"citationID":"2hpyXX8i","properties":{"formattedCitation":"(Han et al. 2025)","plainCitation":"(Han et al. 2025)","noteIndex":0},"citationItems":[{"id":2096,"uris":["http://zotero.org/users/16508355/items/BM9RGTG2"],"itemData":{"id":2096,"type":"article-journal","abstract":"The understanding of tungsten (W) mineral weathering and mobilization in nature remains limited due to W being a transition element with a wide range of oxidation states, which enables it to form a variety of complex chemical compounds. This study examined W mining waste at the abandoned Wolfram Camp mine in North Queensland, Australia, to address this gap. The mineralogical analysis showed the W tailings primarily consisted of silicates, including quartz, illite/mica, plagioclase, and K-Feldspar, with low WO3 content. Static acid mine drainage (AMD) tests indicated most tailings were non-acid forming, while groundwater samples exhibited acidification, with pH ranging from 3.8 to 5.2. The reprocessing trials using gravity separation and bioleaching demonstrated promising results, suggesting both techniques could effectively recover resource and decontaminate the mining waste. The gravity separation reprocessing test has successfully recovered 48.4% W from the tailings, with the resulting W concentrate achieving a 21.6% WO3 grade. On the other hand, the bioleaching reprocessing exhibited a remarkable 44-fold enrichment of W from the tailings, with 2.2% W in the AMD sediment. Synchrotron-based XFM/μ-XANES imaging analysis revealed significant wolframite weathering in reprocessed W concentrates. This study proposed a comprehensive approach, integrating environmental remediation and resource recovery technologies, to repurpose abandoned W mining waste. Passive treatment appears to be an economical option for remediating abandoned W mine sites. The findings provide valuable insights for sustainable W mining waste management and the rehabilitation of the abandoned Wolfram Camp W mine site.","container-title":"Separation and Purification Technology","DOI":"10.1016/j.seppur.2024.129009","ISSN":"1383-5866","journalAbbreviation":"Separation and Purification Technology","page":"129009","source":"ScienceDirect","title":"Characterization, potential valuable metals recovery and remediation of historic wolframite mining waste","volume":"354","author":[{"family":"Han","given":"Zhengdong"},{"family":"Edraki","given":"Mansour"},{"family":"Golev","given":"Artem"}],"issued":{"date-parts":[["2025",2,19]]}}}],"schema":"https://github.com/citation-style-language/schema/raw/master/csl-citation.json"} </w:instrText>
            </w:r>
            <w:r>
              <w:rPr>
                <w:lang w:val="en-GB"/>
              </w:rPr>
              <w:fldChar w:fldCharType="separate"/>
            </w:r>
            <w:r w:rsidR="008822D8" w:rsidRPr="008822D8">
              <w:rPr>
                <w:rFonts w:ascii="Aptos" w:hAnsi="Aptos"/>
              </w:rPr>
              <w:t>(Han et al. 2025)</w:t>
            </w:r>
            <w:r>
              <w:rPr>
                <w:lang w:val="en-GB"/>
              </w:rPr>
              <w:fldChar w:fldCharType="end"/>
            </w:r>
          </w:p>
        </w:tc>
        <w:tc>
          <w:tcPr>
            <w:tcW w:w="0" w:type="auto"/>
            <w:hideMark/>
          </w:tcPr>
          <w:p w14:paraId="2459C409" w14:textId="1076CA02"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t>Extractive waste</w:t>
            </w:r>
          </w:p>
        </w:tc>
        <w:tc>
          <w:tcPr>
            <w:tcW w:w="0" w:type="auto"/>
            <w:hideMark/>
          </w:tcPr>
          <w:p w14:paraId="22C24372" w14:textId="00672739"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0.</w:t>
            </w:r>
            <w:r w:rsidR="006A759F">
              <w:rPr>
                <w:lang w:val="en-GB"/>
              </w:rPr>
              <w:t>1</w:t>
            </w:r>
            <w:r w:rsidRPr="002F4747">
              <w:rPr>
                <w:lang w:val="en-GB"/>
              </w:rPr>
              <w:t>% WO₃</w:t>
            </w:r>
          </w:p>
        </w:tc>
        <w:tc>
          <w:tcPr>
            <w:tcW w:w="0" w:type="auto"/>
            <w:hideMark/>
          </w:tcPr>
          <w:p w14:paraId="158E49E8" w14:textId="168987F6"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W recovery</w:t>
            </w:r>
          </w:p>
        </w:tc>
      </w:tr>
      <w:tr w:rsidR="004547A5" w:rsidRPr="002F4747" w14:paraId="0CA75924"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F64CEA" w14:textId="2A894E31" w:rsidR="004547A5" w:rsidRPr="002F4747" w:rsidRDefault="004547A5" w:rsidP="00582AD4">
            <w:pPr>
              <w:rPr>
                <w:b w:val="0"/>
                <w:bCs w:val="0"/>
                <w:lang w:val="en-GB"/>
              </w:rPr>
            </w:pPr>
            <w:r>
              <w:rPr>
                <w:b w:val="0"/>
                <w:bCs w:val="0"/>
                <w:lang w:val="en-GB"/>
              </w:rPr>
              <w:lastRenderedPageBreak/>
              <w:t>W/As</w:t>
            </w:r>
          </w:p>
        </w:tc>
        <w:tc>
          <w:tcPr>
            <w:tcW w:w="0" w:type="auto"/>
            <w:hideMark/>
          </w:tcPr>
          <w:p w14:paraId="61F19276" w14:textId="1D3ACD35"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{"citationID":"JKOizGf3","properties":{"formattedCitation":"(Figueiredo et al. 2019)","plainCitation":"(Figueiredo et al. 2019)","noteIndex":0},"citationItems":[{"id":2088,"uris":["http://zotero.org/users/16508355/items/5VVQ2P7M"],"itemData":{"id":2088,"type":"article-journal","abstract":"The present work was developed in the scope of ERA-MIN/0007/2015 REMinE project, aiming recover of valuable metals through reprocessing of abandoned mine waste deposits. Cabeço do Pião site, the Portuguese case study in this project, is an old tailings disposal whose property was transferred from Panasqueira Mine to the Municipality of Fundão. The material deposited in the dam constitutes a risk to the environment, in particular to Zézere’s river that flows close to the bottom of the tailings pile and is a relevant contributor for the supply of drinking water. The study area was sampled at two different depths according to a regular grid. About fifty samples were collected and analyzed by X-ray fluorescence. The multivariate analysis of the chemical and the particle size data, allowed to establish mineralogical associations, proving to be a useful planning tool in a future selective re-mining of the tailings pile. Information extracted from the results of the principal component analysis was corroborated by the results of the geostatistical techniques applied to the analytical data.","container-title":"Minerals Engineering","DOI":"10.1016/j.mineng.2018.12.016","ISSN":"0892-6875","journalAbbreviation":"Minerals Engineering","page":"1-9","source":"ScienceDirect","title":"Bi-level depth assessment of an abandoned tailings dam aiming its reprocessing for recovery of valuable metals","volume":"133","author":[{"family":"Figueiredo","given":"Janine"},{"family":"Vila","given":"M. Cristina"},{"family":"Góis","given":"Joaquim"},{"family":"Biju","given":"Bárbara Pavani"},{"family":"Futuro","given":"Aurora"},{"family":"Martins","given":"Diogo"},{"family":"Dinis","given":"M. Lurdes"},{"family":"Fiúza","given":"António"}],"issued":{"date-parts":[["2019",3,15]]}}}],"schema":"https://github.com/citation-style-language/schema/raw/master/csl-citation.json"} </w:instrText>
            </w:r>
            <w:r>
              <w:rPr>
                <w:lang w:val="en-GB"/>
              </w:rPr>
              <w:fldChar w:fldCharType="separate"/>
            </w:r>
            <w:r w:rsidR="008822D8" w:rsidRPr="008822D8">
              <w:rPr>
                <w:rFonts w:ascii="Aptos" w:hAnsi="Aptos"/>
              </w:rPr>
              <w:t>(Figueiredo et al. 2019)</w:t>
            </w:r>
            <w:r>
              <w:rPr>
                <w:lang w:val="en-GB"/>
              </w:rPr>
              <w:fldChar w:fldCharType="end"/>
            </w:r>
          </w:p>
        </w:tc>
        <w:tc>
          <w:tcPr>
            <w:tcW w:w="0" w:type="auto"/>
            <w:hideMark/>
          </w:tcPr>
          <w:p w14:paraId="0B8C909D" w14:textId="77777777"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W tailings dam</w:t>
            </w:r>
          </w:p>
        </w:tc>
        <w:tc>
          <w:tcPr>
            <w:tcW w:w="0" w:type="auto"/>
            <w:hideMark/>
          </w:tcPr>
          <w:p w14:paraId="2A947F0C" w14:textId="72F67D99"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0.</w:t>
            </w:r>
            <w:r w:rsidR="006A759F">
              <w:rPr>
                <w:lang w:val="en-GB"/>
              </w:rPr>
              <w:t xml:space="preserve">8 </w:t>
            </w:r>
            <w:r w:rsidRPr="002F4747">
              <w:rPr>
                <w:lang w:val="en-GB"/>
              </w:rPr>
              <w:t>% W, 13.5% As</w:t>
            </w:r>
          </w:p>
        </w:tc>
        <w:tc>
          <w:tcPr>
            <w:tcW w:w="0" w:type="auto"/>
            <w:hideMark/>
          </w:tcPr>
          <w:p w14:paraId="6D5FBB75" w14:textId="746FDA90"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Considered technically feasible</w:t>
            </w:r>
          </w:p>
        </w:tc>
      </w:tr>
      <w:tr w:rsidR="004547A5" w:rsidRPr="002F4747" w14:paraId="2B4C4B0E"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0B136145" w14:textId="77777777" w:rsidR="004547A5" w:rsidRPr="002F4747" w:rsidRDefault="004547A5" w:rsidP="00582AD4">
            <w:pPr>
              <w:rPr>
                <w:b w:val="0"/>
                <w:bCs w:val="0"/>
                <w:lang w:val="en-GB"/>
              </w:rPr>
            </w:pPr>
            <w:r w:rsidRPr="002F4747">
              <w:rPr>
                <w:b w:val="0"/>
                <w:bCs w:val="0"/>
                <w:lang w:val="en-GB"/>
              </w:rPr>
              <w:t>As</w:t>
            </w:r>
          </w:p>
        </w:tc>
        <w:tc>
          <w:tcPr>
            <w:tcW w:w="0" w:type="auto"/>
            <w:hideMark/>
          </w:tcPr>
          <w:p w14:paraId="01874779" w14:textId="193FB34C"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{"citationID":"UkwyqItq","properties":{"formattedCitation":"(Choi et al. 2016)","plainCitation":"(Choi et al. 2016)","noteIndex":0},"citationItems":[{"id":2103,"uris":["http://zotero.org/users/16508355/items/4DMIM5NR"],"itemData":{"id":2103,"type":"article-journal","abstract":"In this study, a flotation process is proposed for separating the arsenic-bearing minerals to recycle the soil surrounding the Janghang refinery in South Korea, which contains a high level of arsenic. To maximize the arsenic recovery, several experimental parameters were systematically investigated. X-ray diffraction revealed that the contaminated soil was mainly composed of arsenopyrite (FeAsS), arsenic trioxide (As4O6), arsenic pentoxide (As2O5), and quartz (SiO2). Flotation experiments with various concentrations of potassium amyl xanthate (PAX) showed that arsenic recovery increased with increasing PAX concentration. The addition of activators (Na2S, CuSO4, Na2S+CuSO4) in pulp pH greatly increased the arsenic recovery. In addition, oil agglomerate flotation was conducted to enhance the arsenic recovery by improving the separation of fine particles. The results showed that arsenic recovery increased with increasing nonpolar oil concentration. Based on the results obtained from the optimization tests, a flotation process by which the arsenic-contaminated soils can be recycled was successfully designed.","container-title":"Chemical Engineering Journal","DOI":"10.1016/j.cej.2015.09.105","ISSN":"1385-8947","journalAbbreviation":"Chemical Engineering Journal","page":"207-217","source":"ScienceDirect","title":"Arsenic removal from contaminated soils for recycling via oil agglomerate flotation","volume":"285","author":[{"family":"Choi","given":"Junhyun"},{"family":"Lee","given":"Eunseong"},{"family":"Choi","given":"Siyoung Q."},{"family":"Lee","given":"Seungwoo"},{"family":"Han","given":"Yosep"},{"family":"Kim","given":"Hyunjung"}],"issued":{"date-parts":[["2016",2,1]]}}}],"schema":"https://github.com/citation-style-language/schema/raw/master/csl-citation.json"} </w:instrText>
            </w:r>
            <w:r>
              <w:rPr>
                <w:lang w:val="en-GB"/>
              </w:rPr>
              <w:fldChar w:fldCharType="separate"/>
            </w:r>
            <w:r w:rsidR="008822D8" w:rsidRPr="008822D8">
              <w:rPr>
                <w:rFonts w:ascii="Aptos" w:hAnsi="Aptos"/>
              </w:rPr>
              <w:t>(Choi et al. 2016)</w:t>
            </w:r>
            <w:r>
              <w:rPr>
                <w:lang w:val="en-GB"/>
              </w:rPr>
              <w:fldChar w:fldCharType="end"/>
            </w:r>
          </w:p>
        </w:tc>
        <w:tc>
          <w:tcPr>
            <w:tcW w:w="0" w:type="auto"/>
            <w:hideMark/>
          </w:tcPr>
          <w:p w14:paraId="3DCD914C" w14:textId="77777777"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Contaminated soil (industrial area)</w:t>
            </w:r>
          </w:p>
        </w:tc>
        <w:tc>
          <w:tcPr>
            <w:tcW w:w="0" w:type="auto"/>
            <w:hideMark/>
          </w:tcPr>
          <w:p w14:paraId="124BEE20" w14:textId="77777777"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332.47 mg/kg As</w:t>
            </w:r>
          </w:p>
        </w:tc>
        <w:tc>
          <w:tcPr>
            <w:tcW w:w="0" w:type="auto"/>
            <w:hideMark/>
          </w:tcPr>
          <w:p w14:paraId="07859907" w14:textId="18F6B2EE"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&gt;97% Recovery efficiency</w:t>
            </w:r>
          </w:p>
        </w:tc>
      </w:tr>
      <w:tr w:rsidR="004547A5" w:rsidRPr="002F4747" w14:paraId="49172B52"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E823B1" w14:textId="5A467CFF" w:rsidR="004547A5" w:rsidRPr="002F4747" w:rsidRDefault="004547A5" w:rsidP="00582AD4">
            <w:pPr>
              <w:rPr>
                <w:b w:val="0"/>
                <w:bCs w:val="0"/>
                <w:lang w:val="en-GB"/>
              </w:rPr>
            </w:pPr>
            <w:r>
              <w:rPr>
                <w:b w:val="0"/>
                <w:bCs w:val="0"/>
                <w:lang w:val="en-GB"/>
              </w:rPr>
              <w:t>As/Sb</w:t>
            </w:r>
          </w:p>
        </w:tc>
        <w:tc>
          <w:tcPr>
            <w:tcW w:w="0" w:type="auto"/>
            <w:hideMark/>
          </w:tcPr>
          <w:p w14:paraId="6CADFB57" w14:textId="73568FF3"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{"citationID":"5HTIRe5f","properties":{"formattedCitation":"(Lemos et al. 2023)","plainCitation":"(Lemos et al. 2023)","noteIndex":0},"citationItems":[{"id":1735,"uris":["http://zotero.org/users/16508355/items/ZZBNNKKM"],"itemData":{"id":1735,"type":"article-journal","abstract":"From the colonial era to modern times, gold mining has played a crucial role in shaping Brazil’s economy, culture, and landscape, particularly in the Iron Quadrangle region. Therefore, resulting waste has accumulated in tailings structures, either from deactivated circuits or plants still in production. The present study reveals the potential assessed based on a set of metallurgical tests, assuming specific scenarios depending on the occurrence modes of interesting economic elements. For Au, calcination, leaching, and flotation are promising techniques to recover this element. Tests indicated that toxic elements such as Sb and As could be effectively reused in the form of glass. The generation of other products from dry cleaning techniques was not effective but promising since there was an enrichment of elements with Au, Fe, Al, and K in specific fractions. © 2023 by the authors.","archive":"Scopus","container-title":"Minerals","DOI":"10.3390/min13070863","issue":"7","source":"Scopus","title":"Adding Value to Mine Waste through Recovery Au, Sb, and As: The Case of Auriferous Tailings in the Iron Quadrangle, Brazil","title-short":"Adding Value to Mine Waste through Recovery Au, Sb, and As","volume":"13","author":[{"family":"Lemos","given":"M.G."},{"family":"Valente","given":"T.M."},{"family":"Marinho Reis","given":"A.P."},{"family":"Ferreira Fonseca","given":"R.M."},{"family":"Guabiroba","given":"F."},{"family":"Mata Filho","given":"J.G.","non-dropping-particle":"da"},{"family":"Magalhães","given":"M.F."},{"family":"Delbem","given":"I.D."},{"family":"Rebelo Diório","given":"G."}],"issued":{"date-parts":[["2023"]]}}}],"schema":"https://github.com/citation-style-language/schema/raw/master/csl-citation.json"} </w:instrText>
            </w:r>
            <w:r>
              <w:rPr>
                <w:lang w:val="en-GB"/>
              </w:rPr>
              <w:fldChar w:fldCharType="separate"/>
            </w:r>
            <w:r w:rsidR="008822D8" w:rsidRPr="008822D8">
              <w:rPr>
                <w:rFonts w:ascii="Aptos" w:hAnsi="Aptos"/>
              </w:rPr>
              <w:t>(Lemos et al. 2023)</w:t>
            </w:r>
            <w:r>
              <w:rPr>
                <w:lang w:val="en-GB"/>
              </w:rPr>
              <w:fldChar w:fldCharType="end"/>
            </w:r>
          </w:p>
        </w:tc>
        <w:tc>
          <w:tcPr>
            <w:tcW w:w="0" w:type="auto"/>
            <w:hideMark/>
          </w:tcPr>
          <w:p w14:paraId="699021BA" w14:textId="10C57FE9"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Au tailings</w:t>
            </w:r>
          </w:p>
        </w:tc>
        <w:tc>
          <w:tcPr>
            <w:tcW w:w="0" w:type="auto"/>
            <w:hideMark/>
          </w:tcPr>
          <w:p w14:paraId="596AD6C7" w14:textId="47801421"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0.</w:t>
            </w:r>
            <w:r w:rsidR="006A759F">
              <w:rPr>
                <w:lang w:val="en-GB"/>
              </w:rPr>
              <w:t>8</w:t>
            </w:r>
            <w:r w:rsidRPr="002F4747">
              <w:rPr>
                <w:lang w:val="en-GB"/>
              </w:rPr>
              <w:t>% As, 0.08% Sb</w:t>
            </w:r>
          </w:p>
        </w:tc>
        <w:tc>
          <w:tcPr>
            <w:tcW w:w="0" w:type="auto"/>
            <w:hideMark/>
          </w:tcPr>
          <w:p w14:paraId="0F72FB16" w14:textId="2BED105D"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Recovery as glass product</w:t>
            </w:r>
          </w:p>
        </w:tc>
      </w:tr>
      <w:tr w:rsidR="004547A5" w:rsidRPr="00BB6CD0" w14:paraId="239BA67B"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18E5C8B3" w14:textId="25FE88F1" w:rsidR="004547A5" w:rsidRPr="002F4747" w:rsidRDefault="004547A5" w:rsidP="00582AD4">
            <w:pPr>
              <w:rPr>
                <w:b w:val="0"/>
                <w:bCs w:val="0"/>
                <w:lang w:val="en-GB"/>
              </w:rPr>
            </w:pPr>
            <w:r w:rsidRPr="002F4747">
              <w:rPr>
                <w:b w:val="0"/>
                <w:bCs w:val="0"/>
                <w:lang w:val="en-GB"/>
              </w:rPr>
              <w:t>Sb/Bi</w:t>
            </w:r>
          </w:p>
        </w:tc>
        <w:tc>
          <w:tcPr>
            <w:tcW w:w="0" w:type="auto"/>
            <w:hideMark/>
          </w:tcPr>
          <w:p w14:paraId="425141AF" w14:textId="109F1C3C"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{"citationID":"QMpy1Ftq","properties":{"formattedCitation":"(Radu et al. 2024)","plainCitation":"(Radu et al. 2024)","noteIndex":0},"citationItems":[{"id":2077,"uris":["http://zotero.org/users/16508355/items/3EYZ7379"],"itemData":{"id":2077,"type":"article-journal","abstract":"Several EU initiatives focused on renewable energy, sustainable infrastructure and green transport require a sustainable supply of a wide range of raw materials. The increase in the population and, implicitly, the increasing demand for necessary resources led to accelerated degradation of the environment, a pressing issue which the contemporary world faces. The mining activities produced huge amounts of waste, which may now become a potential secondary raw materials source that offer the potential to extract critical mineral elements of current interest. This study is intended as a historical literature data processing combined with recent analyses according to modern test methods to confirm the presence of selected critical raw materials (CRMs). The aim of the work was an integrated approach to identify the presence of Ga, In, Ge, Bi, Co and Te in ore, ore concentrates, tailing ponds and ore dumps from some Romanian historical mining regions: Apuseni Mountains (5 deposits) and the northern part of the Eastern Carpathians (Baia Mare area 2 deposits and Fundu Moldovei area 1 deposit). The consulted literature data highlighted that the tailing ponds and dumps from Romania contain a noticeable quantity of secondary resources of critical elements, respectively, an average of 2172 mg/kg Bi, 1737 mg/kg Co, 691 mg/kg Ga, 667 mg/kg In, 74 mg/kg Ge and 108 mg/kg Te in ore and 1331 mg/kg Ga, 1093 mg/kg Co, 180 mg/kg Bi, 72 mg/kg In and 35 mg/kg Ge in tailings. The overall statistics for the 2008–2018 period show a decrease in the amount of hazardous waste produced by the extractive industry in Romania. The older literature data (from about 50 years ago) for the investigated deposits was confirmed by the laboratory analysis of selected CRMs from several samples collected from known former and current mining activities. Furthermore, the optical microscopy investigations coupled with modern electronic microscopy and quantitative and semi-quantitative techniques have provided further details regarding the sample nature and constituents. High levels of Bi (35,490 mg/kg) and Sb (15,930 mg/kg) were determined in samples from Băița Bihor and Coranda-Hondol ore deposits (Apuseni Mountains), and the presence of some rare elements such as Te was also detected. The recovery of critical elements present in the mining waste significantly contributes to the transition to a circular economy that is essential for the development of a sustainable and resource-efficient economy. This study enables future research focused on the recovery of critical elements present in the mining waste, with benefits for the environment, economy and society. © The Author(s), under exclusive licence to Springer-Verlag GmbH Germany, part of Springer Nature 2023.","container-title":"Environmental Science and Pollution Research","DOI":"10.1007/s11356-023-26536-x","ISSN":"0944-1344","issue":"28","journalAbbreviation":"Environ. Sci. Pollut. Res.","language":"English","page":"40592-40608","publisher":"Springer","source":"Scopus","title":"New data regarding the identification of critical raw materials recoverable from raw, processed and the waste mining industry materials from Romania","volume":"31","author":[{"family":"Radu","given":"Violeta-Monica"},{"family":"Dinca","given":"George"},{"family":"Ivanov","given":"Alexandru-Anton"},{"family":"Szabo","given":"Robert"},{"family":"Cetean","given":"Valentina Maria"}],"issued":{"date-parts":[["2024"]]}}}],"schema":"https://github.com/citation-style-language/schema/raw/master/csl-citation.json"} </w:instrText>
            </w:r>
            <w:r>
              <w:rPr>
                <w:lang w:val="en-GB"/>
              </w:rPr>
              <w:fldChar w:fldCharType="separate"/>
            </w:r>
            <w:r w:rsidR="008822D8" w:rsidRPr="008822D8">
              <w:rPr>
                <w:rFonts w:ascii="Aptos" w:hAnsi="Aptos"/>
                <w:lang w:val="en-GB"/>
              </w:rPr>
              <w:t>(Radu et al. 2024)</w:t>
            </w:r>
            <w:r>
              <w:rPr>
                <w:lang w:val="en-GB"/>
              </w:rPr>
              <w:fldChar w:fldCharType="end"/>
            </w:r>
          </w:p>
        </w:tc>
        <w:tc>
          <w:tcPr>
            <w:tcW w:w="0" w:type="auto"/>
            <w:hideMark/>
          </w:tcPr>
          <w:p w14:paraId="4251BB6E" w14:textId="18E466B0"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Tailings and WR from polymetallic historical mines</w:t>
            </w:r>
          </w:p>
        </w:tc>
        <w:tc>
          <w:tcPr>
            <w:tcW w:w="0" w:type="auto"/>
            <w:hideMark/>
          </w:tcPr>
          <w:p w14:paraId="5490312B" w14:textId="6DDE0341"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Up to 180</w:t>
            </w:r>
            <w:r w:rsidR="006A759F">
              <w:rPr>
                <w:lang w:val="en-GB"/>
              </w:rPr>
              <w:t>.0</w:t>
            </w:r>
            <w:r w:rsidRPr="002F4747">
              <w:rPr>
                <w:lang w:val="en-GB"/>
              </w:rPr>
              <w:t xml:space="preserve"> mg/kg Bi, 4534</w:t>
            </w:r>
            <w:r w:rsidR="006A759F">
              <w:rPr>
                <w:lang w:val="en-GB"/>
              </w:rPr>
              <w:t>.0</w:t>
            </w:r>
            <w:r w:rsidRPr="002F4747">
              <w:rPr>
                <w:lang w:val="en-GB"/>
              </w:rPr>
              <w:t xml:space="preserve"> mg/kg Sb</w:t>
            </w:r>
          </w:p>
        </w:tc>
        <w:tc>
          <w:tcPr>
            <w:tcW w:w="0" w:type="auto"/>
            <w:hideMark/>
          </w:tcPr>
          <w:p w14:paraId="37C88B7A" w14:textId="3E68392C"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Occurrence of Bi and Sb as potential resources</w:t>
            </w:r>
          </w:p>
        </w:tc>
      </w:tr>
      <w:tr w:rsidR="004547A5" w:rsidRPr="00BB6CD0" w14:paraId="4349024F"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4E8A63" w14:textId="4E1FD07C" w:rsidR="004547A5" w:rsidRPr="002F4747" w:rsidRDefault="004547A5" w:rsidP="00582AD4">
            <w:pPr>
              <w:rPr>
                <w:b w:val="0"/>
                <w:bCs w:val="0"/>
                <w:lang w:val="en-GB"/>
              </w:rPr>
            </w:pPr>
            <w:r>
              <w:rPr>
                <w:b w:val="0"/>
                <w:bCs w:val="0"/>
                <w:lang w:val="en-GB"/>
              </w:rPr>
              <w:t>Bi</w:t>
            </w:r>
          </w:p>
        </w:tc>
        <w:tc>
          <w:tcPr>
            <w:tcW w:w="0" w:type="auto"/>
            <w:hideMark/>
          </w:tcPr>
          <w:p w14:paraId="511FB94D" w14:textId="35688396"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{"citationID":"IPMOF2lR","properties":{"formattedCitation":"(Khmelnitskaya and Beskrovnaya 2007)","plainCitation":"(Khmelnitskaya and Beskrovnaya 2007)","noteIndex":0},"citationItems":[{"id":2083,"uris":["http://zotero.org/users/16508355/items/V282IPVS"],"itemData":{"id":2083,"type":"paper-conference","abstract":"Tests for the development of a metals recovery technology from samples of a Russian gold-bismuth deposit were carried out. Gold, silver and bismuth assay reported 5.6 g/t, 3.0 g/t and 0.08 per cent, respectively. Two flow sheet options were pilot plant tested:1. gravity/cyanidation of gravity tailings with subsequent flotation of cyanidation/carbon-in-pulp (CIP) tailings, and 2. gravity/flotation concentration with cyanidation/CIP of concentrates. Option 1 results showed lower gold, silver and bismuth recoveries (81.3 per cent Au, 55 per cent Ag and 74.0 per cent Bi) due to low flotation efficiency for cyanidation tailings. Therefore, a flow sheet involving gravity/flotation concentration to produce bismuth-gold concentrates (0.8 per cent Bi) with subsequent cyanidation/CIP was recommended. Gold, silver and bismuth recoveries obtained by this method to the combined gravity/flotation concentrate were 90.2 per cent Au, 83.3 per cent Ag and 80.2 per cent Bi of the ore, respectively. Overall gold, silver and bismuth recoveries were 83.0 per cent Au, 40.5 per cent Ag and 80.2 per cent Bi, respectively. Gold and silver recoveries to the cathode precipitate were 92 per cent Au and 48.6 per cent Ag (per operation). Reagents consumed for flotation were 0.1 kg lead acetate/t ore, 0.4 kg butyl xanthate/t ore, 0.2 kg T-80 frother/t ore, 0.02 kg sodium hexametaphosphate/t ore, 0.15 kg copper sulfate/t ore. Reagents consumption for cyanidation was 0.42 - 0.48 kg NaCN/t ore and 0.2 kg CaO/t ore. It was recommended to deliver bismuth concentrates after hydrometallurgical treatment to a smelter. Overall bismuth recovery including bismuth recovery achieved by pyrometallurgy was 60.0 per cent. However, it was obvious that delivery of bismuth concentrates to a smelter and their commercial treatment would be very expensive due to relatively high mass pull of bismuth concentrates (7.6 per cent of the ore weight). For this reason, thiourea leaching and hydrochloric acid leaching with subsequent cyanidation/CIP were investigated as alternatives to cyanide leaching. These two alternatives were proposed to enable optimal recovery of valuable metals from concentrates on-site. Recoveries obtained by thiourea leaching were 91.2 per cent Au, 90.5 -91.9 per cent Bi and 77.0 - 78.1 per cent Ag. However, that method required considerable capital and operating costs. As an alternative, hydrochloric acid leaching with subsequent cyanidation was investigated. Test results showed improved gold, bismuth and silver recoveries, which were 94 - 95.9 Au per cent, 94 - 96 Bi per cent and 76 - 78 Ag per cent, respectively. Hydrochloric acid consumption was 100 kg/t concentrate or 7.6 kg/t ore. Current efficiency during electrowinning was about eight to 12 per cent. A recommended flow sheet involving hydrochloric acid leaching of concentrates, electrowinning of bismuth from solutions, recycling solutions after electrowinning and cyanidation of hydrochloric acid leaching cakes is described. Overall recoveries achieved by the proposed flow sheet were as follows: 84.8 - 86.5 Au per cent, 75.8 - 76.9 Bi per cent and 63.2 -64.9 Ag per cent. Based on results from these tests, initial data for a bankable feasibility study and plant designing were developed.","container-title":"Australas. Inst. Min. Metall. Publ. Ser.","event-title":"Australasian Institute of Mining and Metallurgy Publication Series","language":"English","note":"journalAbbreviation: Australas. Inst. Min. Metall. Publ. Ser.","page":"245-250","source":"Scopus","title":"A technology of precious metals recovery from gold-bismuth ores","author":[{"family":"Khmelnitskaya","given":"O.D."},{"family":"Beskrovnaya","given":"V.P."}],"issued":{"date-parts":[["2007"]]}}}],"schema":"https://github.com/citation-style-language/schema/raw/master/csl-citation.json"} </w:instrText>
            </w:r>
            <w:r>
              <w:rPr>
                <w:lang w:val="en-GB"/>
              </w:rPr>
              <w:fldChar w:fldCharType="separate"/>
            </w:r>
            <w:r w:rsidR="008822D8" w:rsidRPr="008822D8">
              <w:rPr>
                <w:rFonts w:ascii="Aptos" w:hAnsi="Aptos"/>
                <w:lang w:val="en-GB"/>
              </w:rPr>
              <w:t>(Khmelnitskaya and Beskrovnaya 2007)</w:t>
            </w:r>
            <w:r>
              <w:rPr>
                <w:lang w:val="en-GB"/>
              </w:rPr>
              <w:fldChar w:fldCharType="end"/>
            </w:r>
          </w:p>
        </w:tc>
        <w:tc>
          <w:tcPr>
            <w:tcW w:w="0" w:type="auto"/>
            <w:hideMark/>
          </w:tcPr>
          <w:p w14:paraId="4914A7CC" w14:textId="4C98D155"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Cyanidation tailings and leach residues from Au-Bi deposit</w:t>
            </w:r>
          </w:p>
        </w:tc>
        <w:tc>
          <w:tcPr>
            <w:tcW w:w="0" w:type="auto"/>
            <w:hideMark/>
          </w:tcPr>
          <w:p w14:paraId="38761B5F" w14:textId="5ABBE9FF"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0.</w:t>
            </w:r>
            <w:r w:rsidR="006A759F">
              <w:rPr>
                <w:lang w:val="en-GB"/>
              </w:rPr>
              <w:t>1</w:t>
            </w:r>
            <w:r w:rsidRPr="002F4747">
              <w:rPr>
                <w:lang w:val="en-GB"/>
              </w:rPr>
              <w:t>% Bi</w:t>
            </w:r>
          </w:p>
        </w:tc>
        <w:tc>
          <w:tcPr>
            <w:tcW w:w="0" w:type="auto"/>
            <w:hideMark/>
          </w:tcPr>
          <w:p w14:paraId="22056038" w14:textId="3D04A5CC"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Bi recovery 75.8–76.9%</w:t>
            </w:r>
          </w:p>
        </w:tc>
      </w:tr>
      <w:tr w:rsidR="004547A5" w:rsidRPr="00BB6CD0" w14:paraId="7AF8E0DD"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62EA72DA" w14:textId="59CBF06D" w:rsidR="004547A5" w:rsidRPr="002F4747" w:rsidRDefault="004547A5" w:rsidP="00582AD4">
            <w:pPr>
              <w:rPr>
                <w:b w:val="0"/>
                <w:bCs w:val="0"/>
                <w:lang w:val="en-GB"/>
              </w:rPr>
            </w:pPr>
            <w:r w:rsidRPr="002F4747">
              <w:rPr>
                <w:b w:val="0"/>
                <w:bCs w:val="0"/>
                <w:lang w:val="en-GB"/>
              </w:rPr>
              <w:t>REE</w:t>
            </w:r>
          </w:p>
        </w:tc>
        <w:tc>
          <w:tcPr>
            <w:tcW w:w="0" w:type="auto"/>
            <w:hideMark/>
          </w:tcPr>
          <w:p w14:paraId="57451373" w14:textId="48D72E59"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152F56">
              <w:rPr>
                <w:lang w:val="en-GB"/>
              </w:rPr>
              <w:instrText xml:space="preserve"> ADDIN ZOTERO_ITEM CSL_CITATION {"citationID":"oaK8oDqv","properties":{"formattedCitation":"(Abaka-Wood et al. 2022)","plainCitation":"(Abaka-Wood et al. 2022)","noteIndex":0},"citationItems":[{"id":1970,"uris":["http://zotero.org/users/16508355/items/BT3VG3E4"],"itemData":{"id":1970,"type":"article-journal","abstract":"The rapid depletion of high-grade rare earth elements (REE) resources implies that future supplies may be augmented with low-grade ores, mining tailings and other unconventional resources to meet cutoff grades and subsequently supply demands. In this work, detailed characterization of tailings from a copper processing plant was carried out to expand the knowledge of their chemical and mineralogical characteristics for REE recovery. The results showed that the REE are mainly mineralized as bastnäsite, monazite, and stetindite, along with uncommon minerals, such as brannerite, stillwellite, and florencite, for which there is limited processing data. In a preliminary effort to recover the REE, the tailings were subjected to gravity, magnetic, and froth flotation separation. Over 90% REE recovery was achieved via froth flotation, whereas magnetic and gravity separation tests recovered up to 86% and 54% REE, respectively. The results from this study suggest that, with systematic optimization studies, REE recovery and upgrade could be enhanced, with significant efforts of minimizing the recovery of key gangue minerals, such as goethite, hematite, and quartz. Overall, the study confirms that the tailings used in this work could be regarded as unconventional REE resources subject to tactical development and optimization of beneficiation methods.","container-title":"Mineral Processing and Extractive Metallurgy Review","DOI":"10.1080/08827508.2021.1920410","ISSN":"0882-7508","issue":"6","note":"_eprint: https://doi.org/10.1080/08827508.2021.1920410","page":"701-715","publisher":"Taylor &amp; Francis","source":"Taylor and Francis+NEJM","title":"The Use of Mining Tailings as Analog of Rare Earth Elements Resources: Part 1 – Characterization and Preliminary Separation","title-short":"The Use of Mining Tailings as Analog of Rare Earth Elements Resources","volume":"43","author":[{"family":"Abaka-Wood","given":"George Blankson"},{"family":"Addai-Mensah","given":"","suffix":"Jonas"},{"family":"Skinner","given":"William","non-dropping-particle":"and"}],"issued":{"date-parts":[["2022",8,18]]}}}],"schema":"https://github.com/citation-style-language/schema/raw/master/csl-citation.json"} </w:instrText>
            </w:r>
            <w:r>
              <w:rPr>
                <w:lang w:val="en-GB"/>
              </w:rPr>
              <w:fldChar w:fldCharType="separate"/>
            </w:r>
            <w:r w:rsidR="008822D8" w:rsidRPr="008822D8">
              <w:rPr>
                <w:rFonts w:ascii="Aptos" w:hAnsi="Aptos"/>
              </w:rPr>
              <w:t>(Abaka-Wood et al. 2022)</w:t>
            </w:r>
            <w:r>
              <w:rPr>
                <w:lang w:val="en-GB"/>
              </w:rPr>
              <w:fldChar w:fldCharType="end"/>
            </w:r>
          </w:p>
        </w:tc>
        <w:tc>
          <w:tcPr>
            <w:tcW w:w="0" w:type="auto"/>
            <w:hideMark/>
          </w:tcPr>
          <w:p w14:paraId="1007FF18" w14:textId="6CC7F887"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Cu mine tailings</w:t>
            </w:r>
          </w:p>
        </w:tc>
        <w:tc>
          <w:tcPr>
            <w:tcW w:w="0" w:type="auto"/>
            <w:hideMark/>
          </w:tcPr>
          <w:p w14:paraId="1DD1E6CE" w14:textId="00072D51"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4375</w:t>
            </w:r>
            <w:r w:rsidR="006A759F">
              <w:rPr>
                <w:lang w:val="en-GB"/>
              </w:rPr>
              <w:t>.0</w:t>
            </w:r>
            <w:r w:rsidRPr="002F4747">
              <w:rPr>
                <w:lang w:val="en-GB"/>
              </w:rPr>
              <w:t xml:space="preserve"> ppm TREE</w:t>
            </w:r>
          </w:p>
        </w:tc>
        <w:tc>
          <w:tcPr>
            <w:tcW w:w="0" w:type="auto"/>
            <w:hideMark/>
          </w:tcPr>
          <w:p w14:paraId="6EC0F160" w14:textId="174A7E52"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Froth Flotation: &gt;90% REE recovery; Magnetic Separation: up to 86%; Gravity separation (tabling): up to 54%</w:t>
            </w:r>
          </w:p>
        </w:tc>
      </w:tr>
      <w:tr w:rsidR="004547A5" w:rsidRPr="00907480" w14:paraId="31B09874"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D77B31" w14:textId="1FDCBED9" w:rsidR="004547A5" w:rsidRPr="002F4747" w:rsidRDefault="004547A5" w:rsidP="00582AD4">
            <w:pPr>
              <w:rPr>
                <w:b w:val="0"/>
                <w:bCs w:val="0"/>
                <w:lang w:val="en-GB"/>
              </w:rPr>
            </w:pPr>
          </w:p>
        </w:tc>
        <w:tc>
          <w:tcPr>
            <w:tcW w:w="0" w:type="auto"/>
            <w:hideMark/>
          </w:tcPr>
          <w:p w14:paraId="3D9DD8D9" w14:textId="6970F3A8"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{"citationID":"tPAAVeHl","properties":{"formattedCitation":"(Peelman et al. 2016)","plainCitation":"(Peelman et al. 2016)","noteIndex":0},"citationItems":[{"id":1622,"uris":["http://zotero.org/users/16508355/items/E4C6BT26"],"itemData":{"id":1622,"type":"chapter","abstract":"The rare earth elements (REEs) present in the Kiruna iron ore mine tailings are being considered as a new REE resource for the EU. These tailings, after beneficiation, contain approximately 5000 ppm of rare earths, concentrated in apatite and monazite minerals. To economically extract the REEs from these tailings the phosphorous contained within the apatite must also be extracted and the waste production of the process should be minimal. To achieve the extraction of REEs and phosphorous HCl and HNO3 were investigated as possible leaching agents. Based on the results a leaching process using HNO3 is proposed. This process produces H3PO4 from the apatite while simultaneously dissolving the REEs. The resulting leach liquor is then cooled to remove the unwanted Ca as Ca(NO3)2. Analysis of the leach liquor reveals extraction ratios of between 75% and 100% for the heavy REE (e.g. Y, Eu, Dy, …) and below 40% from the light REEs (i.e. Ce, La). Full phosphorous extraction was also achieved.","container-title":"Rare Metal Technology 2016","DOI":"10.1002/9781119274834.ch2","ISBN":"978-1-119-27483-4","language":"en","license":"Copyright © 2016 by The Minerals, Metals &amp; Materials Society","note":"section: 2\n_eprint: https://onlinelibrary.wiley.com/doi/pdf/10.1002/9781119274834.ch2","page":"17-29","publisher":"John Wiley &amp; Sons, Ltd","source":"Wiley Online Library","title":"Hydrometallurgical Extraction of Rare Earth Elements From Low Grade Mine Tailings","URL":"https://onlinelibrary.wiley.com/doi/abs/10.1002/9781119274834.ch2","author":[{"family":"Peelman","given":"S."},{"family":"Sun","given":"Z.h.i."},{"family":"Sietsma","given":"J."},{"family":"Yang","given":"Y."}],"accessed":{"date-parts":[["2025",3,13]]},"issued":{"date-parts":[["2016"]]}}}],"schema":"https://github.com/citation-style-language/schema/raw/master/csl-citation.json"} </w:instrText>
            </w:r>
            <w:r>
              <w:rPr>
                <w:lang w:val="en-GB"/>
              </w:rPr>
              <w:fldChar w:fldCharType="separate"/>
            </w:r>
            <w:r w:rsidR="008822D8" w:rsidRPr="008822D8">
              <w:rPr>
                <w:rFonts w:ascii="Aptos" w:hAnsi="Aptos"/>
              </w:rPr>
              <w:t>(Peelman et al. 2016)</w:t>
            </w:r>
            <w:r>
              <w:rPr>
                <w:lang w:val="en-GB"/>
              </w:rPr>
              <w:fldChar w:fldCharType="end"/>
            </w:r>
          </w:p>
        </w:tc>
        <w:tc>
          <w:tcPr>
            <w:tcW w:w="0" w:type="auto"/>
            <w:hideMark/>
          </w:tcPr>
          <w:p w14:paraId="6B94D2B3" w14:textId="59943242"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Fe mine tailings</w:t>
            </w:r>
          </w:p>
        </w:tc>
        <w:tc>
          <w:tcPr>
            <w:tcW w:w="0" w:type="auto"/>
            <w:hideMark/>
          </w:tcPr>
          <w:p w14:paraId="4763FD03" w14:textId="074684A1"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5000</w:t>
            </w:r>
            <w:r w:rsidR="006A759F">
              <w:rPr>
                <w:lang w:val="en-GB"/>
              </w:rPr>
              <w:t>.0</w:t>
            </w:r>
            <w:r w:rsidRPr="002F4747">
              <w:rPr>
                <w:lang w:val="en-GB"/>
              </w:rPr>
              <w:t xml:space="preserve"> ppm TREE</w:t>
            </w:r>
          </w:p>
        </w:tc>
        <w:tc>
          <w:tcPr>
            <w:tcW w:w="0" w:type="auto"/>
            <w:hideMark/>
          </w:tcPr>
          <w:p w14:paraId="08C61216" w14:textId="1047845E"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HREE recovery 75–100%</w:t>
            </w:r>
          </w:p>
        </w:tc>
      </w:tr>
      <w:tr w:rsidR="004547A5" w:rsidRPr="002F4747" w14:paraId="001694F3"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5ED57866" w14:textId="77777777" w:rsidR="004547A5" w:rsidRPr="002F4747" w:rsidRDefault="004547A5" w:rsidP="00582AD4">
            <w:pPr>
              <w:rPr>
                <w:b w:val="0"/>
                <w:bCs w:val="0"/>
                <w:lang w:val="en-GB"/>
              </w:rPr>
            </w:pPr>
          </w:p>
        </w:tc>
        <w:tc>
          <w:tcPr>
            <w:tcW w:w="0" w:type="auto"/>
            <w:hideMark/>
          </w:tcPr>
          <w:p w14:paraId="3E78CE3A" w14:textId="09A2BB0B"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{"citationID":"ZLjYDK6r","properties":{"formattedCitation":"(Reynier et al. 2021)","plainCitation":"(Reynier et al. 2021)","noteIndex":0},"citationItems":[{"id":1959,"uris":["http://zotero.org/users/16508355/items/SNJWUSHY"],"itemData":{"id":1959,"type":"article-journal","abstract":"Tailings from inactive uranium mine sites represent a potential secondary source of rare earth elements (REEs). For this study, two mine tailings (DT and RAT) from restored uranium sites in Ontario, Canada, were used. Bioleaching experiments were conducted with a mix of native sulfur- and iron-oxidizing bacteria to test the solubilization of REEs, U and Th at different temperatures (20, 30 and 40 °C). The selective recovery of REEs from bioleaching solution was evaluated using different ion exchange resins. The mineralogical characterization revealed that DT tailings were mainly composed of quartz, pyrite, gypsum and silicates, whereas RAT tailings were mainly composed of quartz. The maximum solubilization of heavy and light REEs (HREEs and LREEs, respectively), Th and U reached 54%, 6%, 60% and 51% for RAT after 35 days at pH 2, T = 30 °C and pulp density = 10% (w/v). Higher extraction yields were obtained for DT, with 58% of HREEs, 14% of LREEs, 85% of Th and 89% of U solubilized under the same conditions. The use of Lewatit TP272 resin for the recovery of Sc (94%) and U (99%) followed by the Lewatit SP112 resin for the recovery of Th (57%) and REEs (81% LREEs and 65% HREEs) seemed a promising method for the co-extraction of the key elements from the bioleaching solution.","container-title":"Minerals","DOI":"10.3390/min11030302","ISSN":"2075-163X","issue":"3","language":"en","license":"http://creativecommons.org/licenses/by/3.0/","note":"number: 3","page":"302","publisher":"Multidisciplinary Digital Publishing Institute","source":"www.mdpi.com","title":"Bioleaching of Uranium Tailings as Secondary Sources for Rare Earth Elements Production","volume":"11","author":[{"family":"Reynier","given":"Nicolas"},{"family":"Gagné-Turcotte","given":"Roselyne"},{"family":"Coudert","given":"Lucie"},{"family":"Costis","given":"Sophie"},{"family":"Cameron","given":"Rory"},{"family":"Blais","given":"Jean-Francois"}],"issued":{"date-parts":[["2021",3]]}}}],"schema":"https://github.com/citation-style-language/schema/raw/master/csl-citation.json"} </w:instrText>
            </w:r>
            <w:r>
              <w:rPr>
                <w:lang w:val="en-GB"/>
              </w:rPr>
              <w:fldChar w:fldCharType="separate"/>
            </w:r>
            <w:r w:rsidR="008822D8" w:rsidRPr="008822D8">
              <w:rPr>
                <w:rFonts w:ascii="Aptos" w:hAnsi="Aptos"/>
              </w:rPr>
              <w:t>(Reynier et al. 2021)</w:t>
            </w:r>
            <w:r>
              <w:rPr>
                <w:lang w:val="en-GB"/>
              </w:rPr>
              <w:fldChar w:fldCharType="end"/>
            </w:r>
          </w:p>
        </w:tc>
        <w:tc>
          <w:tcPr>
            <w:tcW w:w="0" w:type="auto"/>
            <w:hideMark/>
          </w:tcPr>
          <w:p w14:paraId="3B8C537F" w14:textId="368C3984"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 xml:space="preserve">U mine tailings </w:t>
            </w:r>
          </w:p>
        </w:tc>
        <w:tc>
          <w:tcPr>
            <w:tcW w:w="0" w:type="auto"/>
            <w:hideMark/>
          </w:tcPr>
          <w:p w14:paraId="116C1378" w14:textId="02A6F27E"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1330</w:t>
            </w:r>
            <w:r w:rsidR="006A759F">
              <w:rPr>
                <w:lang w:val="en-GB"/>
              </w:rPr>
              <w:t>.0</w:t>
            </w:r>
            <w:r w:rsidRPr="002F4747">
              <w:rPr>
                <w:lang w:val="en-GB"/>
              </w:rPr>
              <w:t xml:space="preserve"> ppm TREE</w:t>
            </w:r>
          </w:p>
        </w:tc>
        <w:tc>
          <w:tcPr>
            <w:tcW w:w="0" w:type="auto"/>
            <w:hideMark/>
          </w:tcPr>
          <w:p w14:paraId="295013DC" w14:textId="151E41C0"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Recovery: LREE 81%, HREE 65%</w:t>
            </w:r>
          </w:p>
        </w:tc>
      </w:tr>
      <w:tr w:rsidR="004547A5" w:rsidRPr="00BB6CD0" w14:paraId="1452E5E4"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5CE053" w14:textId="77777777" w:rsidR="004547A5" w:rsidRPr="002F4747" w:rsidRDefault="004547A5" w:rsidP="00582AD4">
            <w:pPr>
              <w:rPr>
                <w:b w:val="0"/>
                <w:bCs w:val="0"/>
                <w:lang w:val="en-GB"/>
              </w:rPr>
            </w:pPr>
          </w:p>
        </w:tc>
        <w:tc>
          <w:tcPr>
            <w:tcW w:w="0" w:type="auto"/>
            <w:hideMark/>
          </w:tcPr>
          <w:p w14:paraId="6F16DD3E" w14:textId="06258E2B" w:rsidR="004547A5" w:rsidRPr="007C17D2" w:rsidRDefault="004547A5" w:rsidP="00582AD4">
            <w:pPr>
              <w:cnfStyle w:val="000000100000" w:firstRow="0" w:lastRow="0" w:firstColumn="0" w:lastColumn="0" w:oddVBand="0" w:evenVBand="0" w:oddHBand="1" w:evenHBand="0" w:firstRowFirstColumn="0" w:firstRowLastColumn="0" w:lastRowFirstColumn="0" w:lastRowLastColumn="0"/>
              <w:rPr>
                <w:lang w:val="es-CO"/>
              </w:rPr>
            </w:pPr>
            <w:r>
              <w:rPr>
                <w:lang w:val="en-GB"/>
              </w:rPr>
              <w:fldChar w:fldCharType="begin"/>
            </w:r>
            <w:r w:rsidR="008822D8">
              <w:rPr>
                <w:lang w:val="es-CO"/>
              </w:rPr>
              <w:instrText xml:space="preserve"> ADDIN ZOTERO_ITEM CSL_CITATION {"citationID":"UJAnrkNI","properties":{"formattedCitation":"(Echeverry-Vargas and Ocampo-Carmona 2022)","plainCitation":"(Echeverry-Vargas and Ocampo-Carmona 2022)","noteIndex":0},"citationItems":[{"id":1739,"uris":["http://zotero.org/users/16508355/items/QBKB2P2J"],"itemData":{"id":1739,"type":"article-journal","abstract":"The growing demand for rare earth elements (REE) driven by their applications in modern technologies has caused the need to search for alternative sources of these elements as their extraction from traditional deposits is limited. A potential source of light rare earth elements (LREE) may be the monazite present in the mining waste generated in the Bagre-Nechí mining district in Colombia due to the processing of sands containing alluvial gold. Consequently, in this research, a systematic evaluation has been carried out for the extraction of (Formula presented.), (Formula presented.), and (Formula presented.) from a leach liquor obtained from monazite present in alluvial gold mining tailings. The leaching process carried out with (Formula presented.) indicated the recovery of approximately 90% of (Formula presented.) and (Formula presented.) and (Formula presented.) of (Formula presented.) ; the solvent extraction tests of these elements showed that increasing the contact time and pH of the leaching liquor positively affects the extraction of lanthanum, cerium, and neodymium, achieving extractions close to 100% with (Formula presented.) and to a lesser extent with (Formula presented.). McCabe–Thiele diagrams for extraction with (Formula presented.) indicated the requirement of three stages for the extraction of (Formula presented.), (Formula presented.) and (Formula presented.). © 2022 by the authors.","archive":"Scopus","container-title":"Minerals","DOI":"10.3390/min12080948","issue":"8","source":"Scopus","title":"Recovery of Rare Earth Elements from Mining Tailings: A Case Study for Generating Wealth from Waste","title-short":"Recovery of Rare Earth Elements from Mining Tailings","volume":"12","author":[{"family":"Echeverry-Vargas","given":"L."},{"family":"Ocampo-Carmona","given":"L.M."}],"issued":{"date-parts":[["2022"]]}}}],"schema":"https://github.com/citation-style-language/schema/raw/master/csl-citation.json"} </w:instrText>
            </w:r>
            <w:r>
              <w:rPr>
                <w:lang w:val="en-GB"/>
              </w:rPr>
              <w:fldChar w:fldCharType="separate"/>
            </w:r>
            <w:r w:rsidR="008822D8" w:rsidRPr="008822D8">
              <w:rPr>
                <w:rFonts w:ascii="Aptos" w:hAnsi="Aptos"/>
                <w:lang w:val="es-CO"/>
              </w:rPr>
              <w:t>(Echeverry-Vargas and Ocampo-Carmona 2022)</w:t>
            </w:r>
            <w:r>
              <w:rPr>
                <w:lang w:val="en-GB"/>
              </w:rPr>
              <w:fldChar w:fldCharType="end"/>
            </w:r>
          </w:p>
        </w:tc>
        <w:tc>
          <w:tcPr>
            <w:tcW w:w="0" w:type="auto"/>
            <w:hideMark/>
          </w:tcPr>
          <w:p w14:paraId="5B327C32" w14:textId="62BD1171"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Alluvial Au tailings</w:t>
            </w:r>
          </w:p>
        </w:tc>
        <w:tc>
          <w:tcPr>
            <w:tcW w:w="0" w:type="auto"/>
            <w:hideMark/>
          </w:tcPr>
          <w:p w14:paraId="3AD380ED" w14:textId="2DB56639" w:rsidR="004547A5" w:rsidRPr="007C17D2" w:rsidRDefault="004547A5" w:rsidP="00582AD4">
            <w:pPr>
              <w:cnfStyle w:val="000000100000" w:firstRow="0" w:lastRow="0" w:firstColumn="0" w:lastColumn="0" w:oddVBand="0" w:evenVBand="0" w:oddHBand="1" w:evenHBand="0" w:firstRowFirstColumn="0" w:firstRowLastColumn="0" w:lastRowFirstColumn="0" w:lastRowLastColumn="0"/>
            </w:pPr>
            <w:r w:rsidRPr="00AD23AA">
              <w:t>Monazite concentrate: Ce 21.3 wt%, La 9.7 wt%, Nd 8.7 wt%</w:t>
            </w:r>
          </w:p>
        </w:tc>
        <w:tc>
          <w:tcPr>
            <w:tcW w:w="0" w:type="auto"/>
            <w:hideMark/>
          </w:tcPr>
          <w:p w14:paraId="7E8D7874" w14:textId="459C143E"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100% extraction yield for La, Ce, Nd</w:t>
            </w:r>
          </w:p>
        </w:tc>
      </w:tr>
      <w:tr w:rsidR="004547A5" w:rsidRPr="00BB6CD0" w14:paraId="51BE4734" w14:textId="77777777" w:rsidTr="00582AD4">
        <w:tc>
          <w:tcPr>
            <w:cnfStyle w:val="001000000000" w:firstRow="0" w:lastRow="0" w:firstColumn="1" w:lastColumn="0" w:oddVBand="0" w:evenVBand="0" w:oddHBand="0" w:evenHBand="0" w:firstRowFirstColumn="0" w:firstRowLastColumn="0" w:lastRowFirstColumn="0" w:lastRowLastColumn="0"/>
            <w:tcW w:w="0" w:type="auto"/>
            <w:hideMark/>
          </w:tcPr>
          <w:p w14:paraId="4B4A1719" w14:textId="77777777" w:rsidR="004547A5" w:rsidRPr="002F4747" w:rsidRDefault="004547A5" w:rsidP="00582AD4">
            <w:pPr>
              <w:rPr>
                <w:b w:val="0"/>
                <w:bCs w:val="0"/>
                <w:lang w:val="en-GB"/>
              </w:rPr>
            </w:pPr>
          </w:p>
        </w:tc>
        <w:tc>
          <w:tcPr>
            <w:tcW w:w="0" w:type="auto"/>
            <w:hideMark/>
          </w:tcPr>
          <w:p w14:paraId="7464E78E" w14:textId="32D1852A"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s-CO"/>
              </w:rPr>
            </w:pPr>
            <w:r>
              <w:rPr>
                <w:lang w:val="en-GB"/>
              </w:rPr>
              <w:fldChar w:fldCharType="begin"/>
            </w:r>
            <w:r w:rsidR="008822D8">
              <w:rPr>
                <w:lang w:val="en-GB"/>
              </w:rPr>
              <w:instrText xml:space="preserve"> ADDIN ZOTERO_ITEM CSL_CITATION {"citationID":"YKPIRYqh","properties":{"formattedCitation":"(Corchado-Albelo and Alagha 2023)","plainCitation":"(Corchado-Albelo and Alagha 2023)","noteIndex":0},"citationItems":[{"id":1999,"uris":["http://zotero.org/users/16508355/items/763IYPTL"],"itemData":{"id":1999,"type":"article-journal","abstract":"This study aimed to investigate the potential of enrichment of rare-earth-bearing minerals in historic mine tailing using the froth flotation process. Characterization studies indicated that tailings contained 11,000 ppm of rare earth elements (REEs). The major mineral in the tailings was apatite at ~84%, which was associated with iron oxides (~16%). TESCAN’s integrated mineral analysis (TIMA) showed that monazite was the main REE mineral, and 69% of monazite was locked in apatite grains. Characterization studies suggested that the separation of REEs-bearing apatite from iron oxides is possible using froth flotation, wherein apatite was floated and iron oxides were depressed. Zeta potential experiments were conducted to understand the behavior of the main minerals in the feed when selected depressants of iron oxides were added. Depressants included corn starch, sodium metasilicates, polyacrylamide (PAM), hybrid polyacrylamide (HyPAM), and chitosan. Zeta potential results suggested that chitosan and polyacrylamide-based polymers had the strongest adsorption on magnetite at pH 7 and pH 9, respectively, as indicated by the large shift in the zeta potential of magnetite suspensions. Flotation results were consistent with zeta potential findings and showed that Hy-PAM and chitosan had the best depression efficiency of iron oxides at pH 9 and pH 7, respectively.","container-title":"Minerals","DOI":"10.3390/min13030301","ISSN":"2075-163X","issue":"3","language":"en","license":"http://creativecommons.org/licenses/by/3.0/","note":"number: 3","page":"301","publisher":"Multidisciplinary Digital Publishing Institute","source":"www.mdpi.com","title":"Studies on the Enrichment Feasibility of Rare Earth-Bearing Minerals in Mine Tailings","volume":"13","author":[{"family":"Corchado-Albelo","given":"Jose L."},{"family":"Alagha","given":"Lana"}],"issued":{"date-parts":[["2023",3]]}}}],"schema":"https://github.com/citation-style-language/schema/raw/master/csl-citation.json"} </w:instrText>
            </w:r>
            <w:r>
              <w:rPr>
                <w:lang w:val="en-GB"/>
              </w:rPr>
              <w:fldChar w:fldCharType="separate"/>
            </w:r>
            <w:r w:rsidR="008822D8" w:rsidRPr="008822D8">
              <w:rPr>
                <w:rFonts w:ascii="Aptos" w:hAnsi="Aptos"/>
              </w:rPr>
              <w:t>(Corchado-Albelo and Alagha 2023)</w:t>
            </w:r>
            <w:r>
              <w:rPr>
                <w:lang w:val="en-GB"/>
              </w:rPr>
              <w:fldChar w:fldCharType="end"/>
            </w:r>
          </w:p>
        </w:tc>
        <w:tc>
          <w:tcPr>
            <w:tcW w:w="0" w:type="auto"/>
            <w:hideMark/>
          </w:tcPr>
          <w:p w14:paraId="5E142BBE" w14:textId="0546D046"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 xml:space="preserve">Fe oxide processing residues </w:t>
            </w:r>
          </w:p>
        </w:tc>
        <w:tc>
          <w:tcPr>
            <w:tcW w:w="0" w:type="auto"/>
            <w:hideMark/>
          </w:tcPr>
          <w:p w14:paraId="46DF0D49" w14:textId="7AF3D084" w:rsidR="004547A5" w:rsidRPr="00AD23AA" w:rsidRDefault="004547A5" w:rsidP="00582AD4">
            <w:pPr>
              <w:cnfStyle w:val="000000000000" w:firstRow="0" w:lastRow="0" w:firstColumn="0" w:lastColumn="0" w:oddVBand="0" w:evenVBand="0" w:oddHBand="0" w:evenHBand="0" w:firstRowFirstColumn="0" w:firstRowLastColumn="0" w:lastRowFirstColumn="0" w:lastRowLastColumn="0"/>
            </w:pPr>
            <w:r w:rsidRPr="002F4747">
              <w:rPr>
                <w:lang w:val="en-GB"/>
              </w:rPr>
              <w:t>11</w:t>
            </w:r>
            <w:r w:rsidR="006A759F">
              <w:rPr>
                <w:lang w:val="en-GB"/>
              </w:rPr>
              <w:t xml:space="preserve"> </w:t>
            </w:r>
            <w:r w:rsidRPr="002F4747">
              <w:rPr>
                <w:lang w:val="en-GB"/>
              </w:rPr>
              <w:t>000</w:t>
            </w:r>
            <w:r w:rsidR="006A759F">
              <w:rPr>
                <w:lang w:val="en-GB"/>
              </w:rPr>
              <w:t>.0</w:t>
            </w:r>
            <w:r w:rsidRPr="002F4747">
              <w:rPr>
                <w:lang w:val="en-GB"/>
              </w:rPr>
              <w:t xml:space="preserve"> ppm TREE</w:t>
            </w:r>
          </w:p>
        </w:tc>
        <w:tc>
          <w:tcPr>
            <w:tcW w:w="0" w:type="auto"/>
            <w:hideMark/>
          </w:tcPr>
          <w:p w14:paraId="00FF0061" w14:textId="3CE30AAC" w:rsidR="004547A5" w:rsidRPr="002F4747" w:rsidRDefault="004547A5" w:rsidP="00582AD4">
            <w:pPr>
              <w:cnfStyle w:val="000000000000" w:firstRow="0" w:lastRow="0" w:firstColumn="0" w:lastColumn="0" w:oddVBand="0" w:evenVBand="0" w:oddHBand="0" w:evenHBand="0" w:firstRowFirstColumn="0" w:firstRowLastColumn="0" w:lastRowFirstColumn="0" w:lastRowLastColumn="0"/>
              <w:rPr>
                <w:lang w:val="en-GB"/>
              </w:rPr>
            </w:pPr>
            <w:r w:rsidRPr="002F4747">
              <w:rPr>
                <w:lang w:val="en-GB"/>
              </w:rPr>
              <w:t xml:space="preserve">P₂O₅ recovery </w:t>
            </w:r>
            <w:r>
              <w:rPr>
                <w:lang w:val="en-GB"/>
              </w:rPr>
              <w:t xml:space="preserve">and </w:t>
            </w:r>
            <w:r w:rsidRPr="002F4747">
              <w:rPr>
                <w:lang w:val="en-GB"/>
              </w:rPr>
              <w:t>indirect enrichment of REE</w:t>
            </w:r>
          </w:p>
        </w:tc>
      </w:tr>
      <w:tr w:rsidR="004547A5" w:rsidRPr="00907480" w14:paraId="3F782F56" w14:textId="77777777" w:rsidTr="00582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BE780D" w14:textId="77777777" w:rsidR="004547A5" w:rsidRPr="002F4747" w:rsidRDefault="004547A5" w:rsidP="00582AD4">
            <w:pPr>
              <w:rPr>
                <w:b w:val="0"/>
                <w:bCs w:val="0"/>
                <w:lang w:val="en-GB"/>
              </w:rPr>
            </w:pPr>
          </w:p>
        </w:tc>
        <w:tc>
          <w:tcPr>
            <w:tcW w:w="0" w:type="auto"/>
            <w:hideMark/>
          </w:tcPr>
          <w:p w14:paraId="251047B7" w14:textId="34679B09"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Pr>
                <w:lang w:val="en-GB"/>
              </w:rPr>
              <w:fldChar w:fldCharType="begin"/>
            </w:r>
            <w:r w:rsidR="008822D8">
              <w:rPr>
                <w:lang w:val="en-GB"/>
              </w:rPr>
              <w:instrText xml:space="preserve"> ADDIN ZOTERO_ITEM CSL_CITATION {"citationID":"5uxkKErD","properties":{"formattedCitation":"(Fleming et al. 2021)","plainCitation":"(Fleming et al. 2021)","noteIndex":0},"citationItems":[{"id":1966,"uris":["http://zotero.org/users/16508355/items/BNEV6FP3"],"itemData":{"id":1966,"type":"article-journal","abstract":"The rare earth elements (REE) include the group of 15 lanthanides, scandium and yttrium and have diverse applications in technological and nuclear areas. The existence of REE in massive solid mining wastes generated in leaching processes of copper minerals in the Atacama region of Chile generates the possibility of creating added value to the treatment of this type of waste and supporting the development of a circular economy, generating a useful by-product in different industries. In order to know the behavior of these elements present in the solid carrier waste, a leaching process was carried out by using two agents separately, corresponding to hydrochloric and nitric acid. The technical feasibility to recover REE from carrier tail was demonstrated, the best leaching agent for these elements being a hydrochloric solution, obtaining a maximum recovery efficiency of 64.5%, for an acid concentration: 3M, temperature: 40°C and (liquid/solid) ratio: 4. Lanthanum and cerium present the best individual recoveries compared to the other REE, with a maximum efficiency for a hydrochloric solution of 75.7% and 70.0%, respectively. The interaction of operational parameters that most influence the REE recovery corresponds to the temperature and the (liquid/solid) ratio. After 4 hours of leaching, REE recovery efficiencies remain practically constant. Acid consumptions correspond to 11 (kg HCl/ton mining tail) and 29 (kg HNO3/ton mining tail). The highest amount recovery ratios of these elements correspond to 0.355 and 0.224 (kg REE/ton mining tail), for hydrochloric and nitric solutions, respectively. These results influence the types of reagents and parameters to be studied in the following stages of the global process.","container-title":"World Journal of Nuclear Science and Technology","DOI":"10.4236/wjnst.2021.111001","issue":"1","language":"en","license":"http://creativecommons.org/licenses/by-nc/4.0/","note":"number: 1","page":"1-16","publisher":"Scientific Research Publishing","source":"www.scirp.org","title":"Recovery of Rare Earth Elements Present in Mining Tails, by Leaching with Nitric and Hydrochloric Solutions","volume":"11","author":[{"family":"Fleming","given":"Peter"},{"family":"Orrego","given":"Pedro"},{"family":"Pinilla","given":"Felipe"}],"issued":{"date-parts":[["2021",1,8]]}}}],"schema":"https://github.com/citation-style-language/schema/raw/master/csl-citation.json"} </w:instrText>
            </w:r>
            <w:r>
              <w:rPr>
                <w:lang w:val="en-GB"/>
              </w:rPr>
              <w:fldChar w:fldCharType="separate"/>
            </w:r>
            <w:r w:rsidR="008822D8" w:rsidRPr="008822D8">
              <w:rPr>
                <w:rFonts w:ascii="Aptos" w:hAnsi="Aptos"/>
              </w:rPr>
              <w:t>(Fleming et al. 2021)</w:t>
            </w:r>
            <w:r>
              <w:rPr>
                <w:lang w:val="en-GB"/>
              </w:rPr>
              <w:fldChar w:fldCharType="end"/>
            </w:r>
          </w:p>
        </w:tc>
        <w:tc>
          <w:tcPr>
            <w:tcW w:w="0" w:type="auto"/>
            <w:hideMark/>
          </w:tcPr>
          <w:p w14:paraId="7C9C0BC5" w14:textId="00D6CB18"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 xml:space="preserve">Cu leaching residues </w:t>
            </w:r>
          </w:p>
        </w:tc>
        <w:tc>
          <w:tcPr>
            <w:tcW w:w="0" w:type="auto"/>
            <w:hideMark/>
          </w:tcPr>
          <w:p w14:paraId="097C9209" w14:textId="6CE8D65B"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579.8 ppm TREE</w:t>
            </w:r>
          </w:p>
        </w:tc>
        <w:tc>
          <w:tcPr>
            <w:tcW w:w="0" w:type="auto"/>
            <w:hideMark/>
          </w:tcPr>
          <w:p w14:paraId="5D487332" w14:textId="1ABDA324" w:rsidR="004547A5" w:rsidRPr="002F4747" w:rsidRDefault="004547A5" w:rsidP="00582AD4">
            <w:pPr>
              <w:cnfStyle w:val="000000100000" w:firstRow="0" w:lastRow="0" w:firstColumn="0" w:lastColumn="0" w:oddVBand="0" w:evenVBand="0" w:oddHBand="1" w:evenHBand="0" w:firstRowFirstColumn="0" w:firstRowLastColumn="0" w:lastRowFirstColumn="0" w:lastRowLastColumn="0"/>
              <w:rPr>
                <w:lang w:val="en-GB"/>
              </w:rPr>
            </w:pPr>
            <w:r w:rsidRPr="002F4747">
              <w:rPr>
                <w:lang w:val="en-GB"/>
              </w:rPr>
              <w:t>Max efficiency 64.5% total REE</w:t>
            </w:r>
          </w:p>
        </w:tc>
      </w:tr>
    </w:tbl>
    <w:p w14:paraId="21476AF4" w14:textId="334321D5" w:rsidR="00AE1420" w:rsidRDefault="00AE1420" w:rsidP="00AE1420">
      <w:pPr>
        <w:pStyle w:val="Bibliografia"/>
        <w:rPr>
          <w:lang w:val="en-GB"/>
        </w:rPr>
      </w:pPr>
    </w:p>
    <w:p w14:paraId="5186FED3" w14:textId="3EC009F6" w:rsidR="0004612D" w:rsidRPr="0004612D" w:rsidRDefault="008A5B2C" w:rsidP="0004612D">
      <w:pPr>
        <w:spacing w:line="360" w:lineRule="auto"/>
        <w:jc w:val="both"/>
        <w:rPr>
          <w:rFonts w:ascii="Arial" w:hAnsi="Arial" w:cs="Arial"/>
          <w:lang w:val="en-GB"/>
        </w:rPr>
      </w:pPr>
      <w:r w:rsidRPr="008A5B2C">
        <w:rPr>
          <w:rFonts w:ascii="Arial" w:hAnsi="Arial" w:cs="Arial"/>
          <w:lang w:val="en-GB"/>
        </w:rPr>
        <w:t>Examples of the concurrent recovery of As Sb, Bi, and W from different types of mining and processing residues have been reported in the literature</w:t>
      </w:r>
      <w:r>
        <w:rPr>
          <w:rFonts w:ascii="Arial" w:hAnsi="Arial" w:cs="Arial"/>
          <w:lang w:val="en-GB"/>
        </w:rPr>
        <w:t xml:space="preserve">. </w:t>
      </w:r>
      <w:r w:rsidR="0004612D" w:rsidRPr="0004612D">
        <w:rPr>
          <w:rFonts w:ascii="Arial" w:hAnsi="Arial" w:cs="Arial"/>
          <w:lang w:val="en-GB"/>
        </w:rPr>
        <w:t xml:space="preserve">The most important method of producing As is as a by-product of other metallurgical operations </w:t>
      </w:r>
      <w:r w:rsidR="0004612D">
        <w:rPr>
          <w:rFonts w:ascii="Arial" w:hAnsi="Arial" w:cs="Arial"/>
        </w:rPr>
        <w:fldChar w:fldCharType="begin"/>
      </w:r>
      <w:r w:rsidR="00152F56">
        <w:rPr>
          <w:rFonts w:ascii="Arial" w:hAnsi="Arial" w:cs="Arial"/>
          <w:lang w:val="en-GB"/>
        </w:rPr>
        <w:instrText xml:space="preserve"> ADDIN ZOTERO_ITEM CSL_CITATION {"citationID":"dzVpUqNU","properties":{"formattedCitation":"(European Commission: Directorate-General for Internal Market et al. 2020; USGS 2021)","plainCitation":"(European Commission: Directorate-General for Internal Market et al. 2020; USGS 2021)","dontUpdate":true,"noteIndex":0},"citationItems":[{"id":"AQcbQrib/2yMlUFRx","uris":["http://zotero.org/users/16508355/items/I3PMQHEV"],"itemData":{"id":2227,"type":"book","DOI":"10.2873/11619","publisher":"Publications Office of the European Union","title":"Study on the EU's list of critical raw materials (2020) – Final report","URL":"https://scrreen.eu/wp-content/uploads/2024/01/SCRREEN2_factsheets_ARSENIC_update2.pdf","author":[{"family":"European Commission: Directorate-General for Internal Market","given":"Industry","suffix":"Entrepreneurship and SMEs"},{"family":"Blengini","given":"G. A."},{"family":"El Latunussa","given":"C."},{"family":"Eynard","given":"U."},{"family":"Torres De Matos","given":"C."},{"family":"Wittmer","given":"D."},{"family":"Georgitzikis","given":"K."},{"family":"Pavel","given":"C."},{"family":"Carrara","given":"S."},{"family":"Mancini","given":"L."},{"family":"Unguru","given":"M."},{"family":"Blagoeva","given":"D."},{"family":"Mathieux","given":"F."},{"family":"Pennington","given":"D."}],"issued":{"date-parts":[["2020"]]}}},{"id":2240,"uris":["http://zotero.org/users/16508355/items/T7LECUS9"],"itemData":{"id":2240,"type":"report","archive":"USGS Publications Warehouse","collection-title":"Mineral Commodity Summaries","DOI":"10.3133/mcs2021","genre":"Report","language":"English","page":"24-25","publisher-place":"Reston, VA","title":"Mineral commodity summaries 2021","URL":"https://pubs.usgs.gov/publication/mcs2021","author":[{"family":"USGS","given":""}],"issued":{"date-parts":[["2021"]]}}}],"schema":"https://github.com/citation-style-language/schema/raw/master/csl-citation.json"} </w:instrText>
      </w:r>
      <w:r w:rsidR="0004612D">
        <w:rPr>
          <w:rFonts w:ascii="Arial" w:hAnsi="Arial" w:cs="Arial"/>
        </w:rPr>
        <w:fldChar w:fldCharType="separate"/>
      </w:r>
      <w:r w:rsidR="008822D8" w:rsidRPr="008822D8">
        <w:rPr>
          <w:rFonts w:ascii="Arial" w:hAnsi="Arial" w:cs="Arial"/>
          <w:lang w:val="en-GB"/>
        </w:rPr>
        <w:t>(European Commission 2020; USGS 2021)</w:t>
      </w:r>
      <w:r w:rsidR="0004612D">
        <w:rPr>
          <w:rFonts w:ascii="Arial" w:hAnsi="Arial" w:cs="Arial"/>
        </w:rPr>
        <w:fldChar w:fldCharType="end"/>
      </w:r>
      <w:r w:rsidR="0004612D" w:rsidRPr="0004612D">
        <w:rPr>
          <w:rFonts w:ascii="Arial" w:hAnsi="Arial" w:cs="Arial"/>
          <w:lang w:val="en-GB"/>
        </w:rPr>
        <w:t xml:space="preserve">. Concurrently, elements such as Be, Bi, Sb, W and REEs occur at concentrations lower than those typically considered economically viable, even in secondary deposits. Nevertheless, their presence in EW is significant and provides opportunities for their potential recovery as associated CRMs. In pyrometallurgical Sb processing, the As contained in the ores is removed during oxidation, volatilisation and reduction smelting. Crude Sb is then refined using either sodium carbonate or sodium hydroxide, which removes the As and produces arsenic-alkali residues (AAR) </w:t>
      </w:r>
      <w:r w:rsidR="0004612D">
        <w:rPr>
          <w:rFonts w:ascii="Arial" w:hAnsi="Arial" w:cs="Arial"/>
        </w:rPr>
        <w:fldChar w:fldCharType="begin"/>
      </w:r>
      <w:r w:rsidR="008822D8">
        <w:rPr>
          <w:rFonts w:ascii="Arial" w:hAnsi="Arial" w:cs="Arial"/>
          <w:lang w:val="en-GB"/>
        </w:rPr>
        <w:instrText xml:space="preserve"> ADDIN ZOTERO_ITEM CSL_CITATION {"citationID":"Jm3gG19E","properties":{"formattedCitation":"(Guo et al. 2014; Dembele et al. 2022)","plainCitation":"(Guo et al. 2014; Dembele et al. 2022)","noteIndex":0},"citationItems":[{"id":2210,"uris":["http://zotero.org/users/16508355/items/IKPS5CZH"],"itemData":{"id":2210,"type":"article-journal","abstract":"Developed economies such as the USA and European Union (EU) have classified antimony as a critical raw material. China leads the global antimony production (67% on an average from 2015 to 2019) followed by Russia and Tajikistan. Antimony has been applied in the industry (plastics, etc.) and new/emerging technologies (cell panels, infrared, etc.) where antimony trioxide (Sb2O3) is its most produced and used compound. With technological advances, recent trends indicate a growing demand for this metal; however, with the on-going production rate, antimony is anticipated to become one of the scarcest metals by 2050. Several minerals of antimony exist; nevertheless, stibnite (Sb2S3) is the primary mineral. Extractive metallurgical routes such as pyro and hydro-metallurgy have found industrial applications for stibnite processing; however, bio-hydrometallurgy is slowly gaining momentum. In this piece of review, the world-wide scenario of antimony production, recent market trends along with the common and current research advances related to applications of antimony in emerging technologies is presented. Comprehensive details along with the recent advances related to stibnite processing through the aforementioned extractive metallurgy routes, their technological improvements and antimony purification/recovery methods from leach solutions are also discussed. Furthermore, the future perspectives in terms of research and industrial needs are discussed and summarized.","container-title":"Minerals Engineering","DOI":"10.1016/j.mineng.2021.107304","ISSN":"0892-6875","journalAbbreviation":"Minerals Engineering","page":"107304","source":"ScienceDirect","title":"Technological trends, emerging applications and metallurgical strategies in antimony recovery from stibnite","volume":"175","author":[{"family":"Dembele","given":"Seydou"},{"family":"Akcil","given":"Ata"},{"family":"Panda","given":"Sandeep"}],"issued":{"date-parts":[["2022",1,1]]}}},{"id":2228,"uris":["http://zotero.org/users/16508355/items/SNX3VK96"],"itemData":{"id":2228,"type":"article-journal","abstract":"A large amount of solid waste has been produced by the antimony smelting process in the “World Capital of Antimony”, Xikuangshan area in China. This study comprehensively investigated the physical and chemical characteristics of the various solid wastes, as well as the leaching behavior of the solid wastes, which included water-quenched slag, arsenic-alkali residue, desulfurized slag and blast furnace dust. These four types of waste were enriched in a variety of heavy metals and metalloids and more specifically with As and Sb levels up to 8.6×104 and 3.16×105mg/kg, respectively, in arsenic-alkali residue. For desulfurized slag and water-quenched slag, the leaching concentration of Sb significantly exceeded the acceptable limits during the leaching tests using the toxicity characteristic leaching procedure and the synthetic precipitation leaching procedure. In addition, As leaching in arsenic-alkali residue was extraordinarily hazardous, being three orders of magnitude higher than the regulatory level of As. According to the results of the extraction tests, all the tested wastes were classified as hazardous waste.","container-title":"Journal of Environmental Sciences","DOI":"10.1016/j.jes.2014.05.022","ISSN":"1001-0742","issue":"7","journalAbbreviation":"Journal of Environmental Sciences","page":"1549-1556","source":"ScienceDirect","title":"Antimony smelting process generating solid wastes and dust: Characterization and leaching behaviors","title-short":"Antimony smelting process generating solid wastes and dust","volume":"26","author":[{"family":"Guo","given":"Xuejun"},{"family":"Wang","given":"Kunpeng"},{"family":"He","given":"Mengchang"},{"family":"Liu","given":"Ziwei"},{"family":"Yang","given":"Hailin"},{"family":"Li","given":"Sisi"}],"issued":{"date-parts":[["2014",7,1]]}}}],"schema":"https://github.com/citation-style-language/schema/raw/master/csl-citation.json"} </w:instrText>
      </w:r>
      <w:r w:rsidR="0004612D">
        <w:rPr>
          <w:rFonts w:ascii="Arial" w:hAnsi="Arial" w:cs="Arial"/>
        </w:rPr>
        <w:fldChar w:fldCharType="separate"/>
      </w:r>
      <w:r w:rsidR="008822D8" w:rsidRPr="008822D8">
        <w:rPr>
          <w:rFonts w:ascii="Arial" w:hAnsi="Arial" w:cs="Arial"/>
          <w:lang w:val="en-GB"/>
        </w:rPr>
        <w:t>(Guo et al. 2014; Dembele et al. 2022)</w:t>
      </w:r>
      <w:r w:rsidR="0004612D">
        <w:rPr>
          <w:rFonts w:ascii="Arial" w:hAnsi="Arial" w:cs="Arial"/>
        </w:rPr>
        <w:fldChar w:fldCharType="end"/>
      </w:r>
      <w:r w:rsidR="0004612D" w:rsidRPr="0004612D">
        <w:rPr>
          <w:rFonts w:ascii="Arial" w:hAnsi="Arial" w:cs="Arial"/>
          <w:lang w:val="en-GB"/>
        </w:rPr>
        <w:t xml:space="preserve">. AAR can be treated to recover As via thermal reduction. For this process, sodium arsenate is heated with charcoal powder under optimised conditions (800 °C for 60 minutes with 12% charcoal), resulting in the volatilisation of up to 99.84% of As in its elemental form (As⁰) </w:t>
      </w:r>
      <w:r w:rsidR="0004612D">
        <w:rPr>
          <w:rFonts w:ascii="Arial" w:hAnsi="Arial" w:cs="Arial"/>
        </w:rPr>
        <w:fldChar w:fldCharType="begin"/>
      </w:r>
      <w:r w:rsidR="008822D8">
        <w:rPr>
          <w:rFonts w:ascii="Arial" w:hAnsi="Arial" w:cs="Arial"/>
          <w:lang w:val="en-GB"/>
        </w:rPr>
        <w:instrText xml:space="preserve"> ADDIN ZOTERO_ITEM CSL_CITATION {"citationID":"hwCQ7BQW","properties":{"formattedCitation":"(Yang et al. 2018)","plainCitation":"(Yang et al. 2018)","noteIndex":0},"citationItems":[{"id":2207,"uris":["http://zotero.org/users/16508355/items/FWCU76FU"],"itemData":{"id":2207,"type":"article-journal","abstract":"The current paper explored the directly reductive decomposition of waste sodium arsenate by roasting it with charcoal powder to volatilize less toxic As0 and to simultaneously obtain sodium salts with potential commercial value, serving the purpose of developing a more sustainable route to deal with the environmental issues faced by the antimony production industry in China. The process was firstly evaluated by thermogravimetric (TG) analysis and thermochemical calculations. The effects of N2 flow rate, roasting temperature, dosage of charcoal powder, and roasting time were then investigated. The results showed that the arsenic extraction could reach 99.84% under optimal conditions. The roasting residue, containing arsenic as low as 0.0598%, was a promising source for the production of Na2CO3 as expected. In addition, X-ray diffraction (XRD), scanning electron micrograph (SEM), and X-ray photoelectron spectroscopy (XPS) were conducted to reveal the roasting mechanism and formation of metal arsenic was thereby confirmed.","container-title":"Metals","DOI":"10.3390/met8070542","ISSN":"2075-4701","issue":"7","language":"en","license":"http://creativecommons.org/licenses/by/3.0/","page":"542","publisher":"Multidisciplinary Digital Publishing Institute","source":"www.mdpi.com","title":"Extraction of Metal Arsenic from Waste Sodium Arsenate by Roasting with Charcoal Powder","volume":"8","author":[{"family":"Yang","given":"Kang"},{"family":"Qin","given":"Wenqing"},{"family":"Liu","given":"Wei"}],"issued":{"date-parts":[["2018",7]]}}}],"schema":"https://github.com/citation-style-language/schema/raw/master/csl-citation.json"} </w:instrText>
      </w:r>
      <w:r w:rsidR="0004612D">
        <w:rPr>
          <w:rFonts w:ascii="Arial" w:hAnsi="Arial" w:cs="Arial"/>
        </w:rPr>
        <w:fldChar w:fldCharType="separate"/>
      </w:r>
      <w:r w:rsidR="008822D8" w:rsidRPr="008822D8">
        <w:rPr>
          <w:rFonts w:ascii="Arial" w:hAnsi="Arial" w:cs="Arial"/>
          <w:lang w:val="en-GB"/>
        </w:rPr>
        <w:t>(Yang et al. 2018)</w:t>
      </w:r>
      <w:r w:rsidR="0004612D">
        <w:rPr>
          <w:rFonts w:ascii="Arial" w:hAnsi="Arial" w:cs="Arial"/>
        </w:rPr>
        <w:fldChar w:fldCharType="end"/>
      </w:r>
      <w:r w:rsidR="0004612D" w:rsidRPr="0004612D">
        <w:rPr>
          <w:rFonts w:ascii="Arial" w:hAnsi="Arial" w:cs="Arial"/>
          <w:lang w:val="en-GB"/>
        </w:rPr>
        <w:t>. Another process involved two-step alkali recovery using CO</w:t>
      </w:r>
      <w:r w:rsidR="0004612D" w:rsidRPr="0004612D">
        <w:rPr>
          <w:rFonts w:ascii="Cambria Math" w:hAnsi="Cambria Math" w:cs="Cambria Math"/>
          <w:lang w:val="en-GB"/>
        </w:rPr>
        <w:t>₂</w:t>
      </w:r>
      <w:r w:rsidR="0004612D" w:rsidRPr="0004612D">
        <w:rPr>
          <w:rFonts w:ascii="Arial" w:hAnsi="Arial" w:cs="Arial"/>
          <w:lang w:val="en-GB"/>
        </w:rPr>
        <w:t xml:space="preserve">, followed by deep </w:t>
      </w:r>
      <w:r w:rsidR="0004612D" w:rsidRPr="0004612D">
        <w:rPr>
          <w:rFonts w:ascii="Arial" w:hAnsi="Arial" w:cs="Arial"/>
          <w:lang w:val="en-GB"/>
        </w:rPr>
        <w:lastRenderedPageBreak/>
        <w:t>alkali removal with H</w:t>
      </w:r>
      <w:r w:rsidR="0004612D" w:rsidRPr="0004612D">
        <w:rPr>
          <w:rFonts w:ascii="Cambria Math" w:hAnsi="Cambria Math" w:cs="Cambria Math"/>
          <w:lang w:val="en-GB"/>
        </w:rPr>
        <w:t>₂</w:t>
      </w:r>
      <w:r w:rsidR="0004612D" w:rsidRPr="0004612D">
        <w:rPr>
          <w:rFonts w:ascii="Arial" w:hAnsi="Arial" w:cs="Arial"/>
          <w:lang w:val="en-GB"/>
        </w:rPr>
        <w:t>SO</w:t>
      </w:r>
      <w:r w:rsidR="0004612D" w:rsidRPr="0004612D">
        <w:rPr>
          <w:rFonts w:ascii="Cambria Math" w:hAnsi="Cambria Math" w:cs="Cambria Math"/>
          <w:lang w:val="en-GB"/>
        </w:rPr>
        <w:t>₄</w:t>
      </w:r>
      <w:r w:rsidR="0004612D" w:rsidRPr="0004612D">
        <w:rPr>
          <w:rFonts w:ascii="Arial" w:hAnsi="Arial" w:cs="Arial"/>
          <w:lang w:val="en-GB"/>
        </w:rPr>
        <w:t>, reduction of As(V) with SO</w:t>
      </w:r>
      <w:r w:rsidR="0004612D" w:rsidRPr="0004612D">
        <w:rPr>
          <w:rFonts w:ascii="Cambria Math" w:hAnsi="Cambria Math" w:cs="Cambria Math"/>
          <w:lang w:val="en-GB"/>
        </w:rPr>
        <w:t>₂</w:t>
      </w:r>
      <w:r w:rsidR="0004612D" w:rsidRPr="0004612D">
        <w:rPr>
          <w:rFonts w:ascii="Arial" w:hAnsi="Arial" w:cs="Arial"/>
          <w:lang w:val="en-GB"/>
        </w:rPr>
        <w:t>, and subsequent evaporation and concentration achieving As recovery of 80.6% as As</w:t>
      </w:r>
      <w:r w:rsidR="0004612D" w:rsidRPr="0004612D">
        <w:rPr>
          <w:rFonts w:ascii="Cambria Math" w:hAnsi="Cambria Math" w:cs="Cambria Math"/>
          <w:lang w:val="en-GB"/>
        </w:rPr>
        <w:t>₂</w:t>
      </w:r>
      <w:r w:rsidR="0004612D" w:rsidRPr="0004612D">
        <w:rPr>
          <w:rFonts w:ascii="Arial" w:hAnsi="Arial" w:cs="Arial"/>
          <w:lang w:val="en-GB"/>
        </w:rPr>
        <w:t xml:space="preserve">O </w:t>
      </w:r>
      <w:r w:rsidR="0004612D">
        <w:rPr>
          <w:rFonts w:ascii="Arial" w:hAnsi="Arial" w:cs="Arial"/>
        </w:rPr>
        <w:fldChar w:fldCharType="begin"/>
      </w:r>
      <w:r w:rsidR="008822D8">
        <w:rPr>
          <w:rFonts w:ascii="Arial" w:hAnsi="Arial" w:cs="Arial"/>
          <w:lang w:val="en-GB"/>
        </w:rPr>
        <w:instrText xml:space="preserve"> ADDIN ZOTERO_ITEM CSL_CITATION {"citationID":"4gRz3LeU","properties":{"formattedCitation":"(Long et al. 2020)","plainCitation":"(Long et al. 2020)","noteIndex":0},"citationItems":[{"id":2196,"uris":["http://zotero.org/users/16508355/items/LXAMR6KM"],"itemData":{"id":2196,"type":"article-journal","abstract":"For the comprehensive utilization of antimony smelting arsenic-alkali residue, there are some problems such as the incomplete separation and low recoveries of arsenic and alkali, and the formation of arsenic-alkali mixed salts with secondary pollution. In order to solve these problems, the leaching solution of arsenic-alkali residue (arsenic-alkali solution) was used as a raw material in this study, and a novel process of twice alkali recovery with CO2, deep alkali removal with H2SO4, As(V) reduction with SO2 and evaporation concentration to recover arsenic was proposed to dispose of the arsenic-alkali solution. The total recovery of alkali was 87.8% by twice alkali recovery from the arsenic-alkali solution. After washing and thermal decomposition of crude NaHCO3, the obtained Na2CO3 product can be used as the reagent of arsenic removal in the refining process of crude antimony. In the process of deep alkali removal, compared with the direct treatment, the consumption of H2SO4 after twice alkali recovery was markedly reduced from the arsenic-alkali solution, and also no mirabilite was precipitated. The total recovery of arsenic was 80.6% in the process of arsenic recovery, and the purity of As2O3 in arsenic trioxide product reached 95.2% after washing, which meets the third grade standard of arsenic trioxide (GB 26721–2011). This process realizes the efficient separation and recovery of arsenic and alkali from the arsenic-alkali solution, and also no arsenic-alkali mixed salts are produced.","container-title":"Minerals Engineering","DOI":"10.1016/j.mineng.2020.106379","ISSN":"0892-6875","journalAbbreviation":"Minerals Engineering","page":"106379","source":"ScienceDirect","title":"Separation and recovery of arsenic and alkali products during the treatment of antimony smelting residues","volume":"153","author":[{"family":"Long","given":"Hua"},{"family":"Zheng","given":"Ya-jie"},{"family":"Peng","given":"Ying-lin"},{"family":"Jin","given":"Gui-zhong"},{"family":"Deng","given":"Wei-hua"},{"family":"Zhang","given":"Shou-chun"},{"family":"He","given":"Han-bing"}],"issued":{"date-parts":[["2020",7,1]]}}}],"schema":"https://github.com/citation-style-language/schema/raw/master/csl-citation.json"} </w:instrText>
      </w:r>
      <w:r w:rsidR="0004612D">
        <w:rPr>
          <w:rFonts w:ascii="Arial" w:hAnsi="Arial" w:cs="Arial"/>
        </w:rPr>
        <w:fldChar w:fldCharType="separate"/>
      </w:r>
      <w:r w:rsidR="008822D8" w:rsidRPr="008822D8">
        <w:rPr>
          <w:rFonts w:ascii="Arial" w:hAnsi="Arial" w:cs="Arial"/>
          <w:lang w:val="en-GB"/>
        </w:rPr>
        <w:t>(Long et al. 2020)</w:t>
      </w:r>
      <w:r w:rsidR="0004612D">
        <w:rPr>
          <w:rFonts w:ascii="Arial" w:hAnsi="Arial" w:cs="Arial"/>
        </w:rPr>
        <w:fldChar w:fldCharType="end"/>
      </w:r>
      <w:r w:rsidR="0004612D" w:rsidRPr="0004612D">
        <w:rPr>
          <w:rFonts w:ascii="Arial" w:hAnsi="Arial" w:cs="Arial"/>
          <w:lang w:val="en-GB"/>
        </w:rPr>
        <w:t xml:space="preserve">. </w:t>
      </w:r>
    </w:p>
    <w:p w14:paraId="42EACAB4" w14:textId="6B926FAB" w:rsidR="0004612D" w:rsidRPr="0004612D" w:rsidRDefault="0004612D" w:rsidP="0004612D">
      <w:pPr>
        <w:spacing w:line="360" w:lineRule="auto"/>
        <w:jc w:val="both"/>
        <w:rPr>
          <w:rFonts w:ascii="Arial" w:hAnsi="Arial" w:cs="Arial"/>
          <w:lang w:val="en-GB"/>
        </w:rPr>
      </w:pPr>
      <w:r w:rsidRPr="0004612D">
        <w:rPr>
          <w:rFonts w:ascii="Arial" w:hAnsi="Arial" w:cs="Arial"/>
          <w:lang w:val="en-GB"/>
        </w:rPr>
        <w:t xml:space="preserve">From a mineral processing perspective, Sb ore beneficiation typically involves crushing, grinding, classification and flotation. This generates tailings containing stibnite, pyrite and minor amounts of arsenopyrite, as well as gangue minerals such as quartz and muscovite </w:t>
      </w:r>
      <w:r>
        <w:rPr>
          <w:rFonts w:ascii="Arial" w:hAnsi="Arial" w:cs="Arial"/>
        </w:rPr>
        <w:fldChar w:fldCharType="begin"/>
      </w:r>
      <w:r w:rsidR="008822D8">
        <w:rPr>
          <w:rFonts w:ascii="Arial" w:hAnsi="Arial" w:cs="Arial"/>
          <w:lang w:val="en-GB"/>
        </w:rPr>
        <w:instrText xml:space="preserve"> ADDIN ZOTERO_ITEM CSL_CITATION {"citationID":"VNzZHCfW","properties":{"formattedCitation":"(Multani et al. 2016)","plainCitation":"(Multani et al. 2016)","noteIndex":0},"citationItems":[{"id":2204,"uris":["http://zotero.org/users/16508355/items/JBQGVLFU"],"itemData":{"id":2204,"type":"article-journal","abstract":"Antimony (Sb) is an impurity element that is increasingly encountered in the mineral processing/metallurgical industries of gold, copper and lead. Its occurrence in metallurgical feedstocks is in the form of various antimony minerals with stibnite, Sb2S3, being the most important one. During processing antimony is mobilized reporting to waste solid tailings or effluent streams. This becomes a matter of concern since antimony is similar to arsenic in many respects, both sharing similar chemical properties as well as toxicity and thus have negative environmental implications, especially in the context of industrial effluents and their treatment. This review summarizes the available literature on antimony in the environment and its removal with emphasis on effluent treatment. Antimony speciation as well as oxidation was presented at various conditions (pH, Eh, temperature, and concentration) to provide a basis of its aqueous behavior, an important foundation for industrial effluent treatment. For immobilizing antimony in the environment via precipitation from effluents several mineral candidates were identified of which schafarzikite, FeSb2O4, and tripuhyite, FeSbO4, were proposed as very attractive due to their very low antimony solubility (&lt;1mgL−1).","container-title":"Hydrometallurgy","DOI":"10.1016/j.hydromet.2016.06.014","ISSN":"0304-386X","journalAbbreviation":"Hydrometallurgy","page":"141-153","source":"ScienceDirect","title":"Antimony in the metallurgical industry: A review of its chemistry and environmental stabilization options","title-short":"Antimony in the metallurgical industry","volume":"164","author":[{"family":"Multani","given":"Ravinder S."},{"family":"Feldmann","given":"Thomas"},{"family":"Demopoulos","given":"George P."}],"issued":{"date-parts":[["2016",9,1]]}}}],"schema":"https://github.com/citation-style-language/schema/raw/master/csl-citation.json"} </w:instrText>
      </w:r>
      <w:r>
        <w:rPr>
          <w:rFonts w:ascii="Arial" w:hAnsi="Arial" w:cs="Arial"/>
        </w:rPr>
        <w:fldChar w:fldCharType="separate"/>
      </w:r>
      <w:r w:rsidR="008822D8" w:rsidRPr="008822D8">
        <w:rPr>
          <w:rFonts w:ascii="Arial" w:hAnsi="Arial" w:cs="Arial"/>
          <w:lang w:val="en-GB"/>
        </w:rPr>
        <w:t>(Multani et al. 2016)</w:t>
      </w:r>
      <w:r>
        <w:rPr>
          <w:rFonts w:ascii="Arial" w:hAnsi="Arial" w:cs="Arial"/>
        </w:rPr>
        <w:fldChar w:fldCharType="end"/>
      </w:r>
      <w:r w:rsidRPr="0004612D">
        <w:rPr>
          <w:rFonts w:ascii="Arial" w:hAnsi="Arial" w:cs="Arial"/>
          <w:lang w:val="en-GB"/>
        </w:rPr>
        <w:t>. Stibnite flotation tailings can be processed using hydrometallurgical methods involving acidic leaching with HCl and NaNO</w:t>
      </w:r>
      <w:r w:rsidRPr="0004612D">
        <w:rPr>
          <w:rFonts w:ascii="Cambria Math" w:hAnsi="Cambria Math" w:cs="Cambria Math"/>
          <w:lang w:val="en-GB"/>
        </w:rPr>
        <w:t>₃</w:t>
      </w:r>
      <w:r w:rsidRPr="0004612D">
        <w:rPr>
          <w:rFonts w:ascii="Arial" w:hAnsi="Arial" w:cs="Arial"/>
          <w:lang w:val="en-GB"/>
        </w:rPr>
        <w:t xml:space="preserve"> as oxidising agents to selectively dissolve Sb and As </w:t>
      </w:r>
      <w:r>
        <w:rPr>
          <w:rFonts w:ascii="Arial" w:hAnsi="Arial" w:cs="Arial"/>
        </w:rPr>
        <w:fldChar w:fldCharType="begin"/>
      </w:r>
      <w:r w:rsidR="008822D8">
        <w:rPr>
          <w:rFonts w:ascii="Arial" w:hAnsi="Arial" w:cs="Arial"/>
          <w:lang w:val="en-GB"/>
        </w:rPr>
        <w:instrText xml:space="preserve"> ADDIN ZOTERO_ITEM CSL_CITATION {"citationID":"3mh2WjM3","properties":{"formattedCitation":"(Dembele et al. 2024)","plainCitation":"(Dembele et al. 2024)","noteIndex":0},"citationItems":[{"id":1963,"uris":["http://zotero.org/users/16508355/items/LWY6IBVM"],"itemData":{"id":1963,"type":"article-journal","abstract":"The supply of metals is increasingly challenged by high demand for raw materials and the depletion of high-grade ore deposits. In addition, the management of tailings from metal processing remains a persistent problem in the mining sector. This study aims to characterize stibnite tailings and develop a hydrometallurgical process for the recovery of antimony, arsenic, and iron and the removal of sulfide minerals from these tailings. The main minerals identified were stibnite, pyrite, and a small amount of arsenopyrite, together with associated gangue minerals such as quartz and muscovite. Optimum conditions were set as follows: 4.4 M HCl, 0.5 M NaNO3, 25 % pulp density, 70 °C temperature, and 1-hour leach time. Under these conditions, flask leaching tests achieved remarkable leaching efficiencies of 99.88 % for Sb, 99.90 % for As, and 99.95 % for Fe. Bench scale experiments (1L reactor) showed high leaching efficiencies of 99.70 % for Sb, 97.50 % for As, and 97.00 % for Fe. Finally, leaching efficiencies of 98.30 % for Sb, 92.00 % for As, and 98.00 % for Fe were successfully achieved in semi-pilot tests (10 L reactor).","container-title":"Minerals Engineering","DOI":"10.1016/j.mineng.2024.108883","ISSN":"0892-6875","journalAbbreviation":"Minerals Engineering","page":"108883","source":"ScienceDirect","title":"Investigation of the characteristics of stibnite (Sb2S3) flotation tailings and extraction of critical metals (Sb and As): Optimization and scale-up","title-short":"Investigation of the characteristics of stibnite (Sb2S3) flotation tailings and extraction of critical metals (Sb and As)","volume":"216","author":[{"family":"Dembele","given":"Seydou"},{"family":"Akcil","given":"Ata"},{"family":"Panda","given":"Sandeep"}],"issued":{"date-parts":[["2024",9,15]]}}}],"schema":"https://github.com/citation-style-language/schema/raw/master/csl-citation.json"} </w:instrText>
      </w:r>
      <w:r>
        <w:rPr>
          <w:rFonts w:ascii="Arial" w:hAnsi="Arial" w:cs="Arial"/>
        </w:rPr>
        <w:fldChar w:fldCharType="separate"/>
      </w:r>
      <w:r w:rsidR="008822D8" w:rsidRPr="008822D8">
        <w:rPr>
          <w:rFonts w:ascii="Arial" w:hAnsi="Arial" w:cs="Arial"/>
          <w:lang w:val="en-GB"/>
        </w:rPr>
        <w:t>(Dembele et al. 2024)</w:t>
      </w:r>
      <w:r>
        <w:rPr>
          <w:rFonts w:ascii="Arial" w:hAnsi="Arial" w:cs="Arial"/>
        </w:rPr>
        <w:fldChar w:fldCharType="end"/>
      </w:r>
      <w:r w:rsidRPr="0004612D">
        <w:rPr>
          <w:rFonts w:ascii="Arial" w:hAnsi="Arial" w:cs="Arial"/>
          <w:lang w:val="en-GB"/>
        </w:rPr>
        <w:t>. Optimised conditions (4.4 M HCl, 0.5 M NaNO</w:t>
      </w:r>
      <w:r w:rsidRPr="0004612D">
        <w:rPr>
          <w:rFonts w:ascii="Cambria Math" w:hAnsi="Cambria Math" w:cs="Cambria Math"/>
          <w:lang w:val="en-GB"/>
        </w:rPr>
        <w:t>₃</w:t>
      </w:r>
      <w:r w:rsidRPr="0004612D">
        <w:rPr>
          <w:rFonts w:ascii="Arial" w:hAnsi="Arial" w:cs="Arial"/>
          <w:lang w:val="en-GB"/>
        </w:rPr>
        <w:t>, 25% pulp density, 70 °C and 1 h leaching) achieve high extraction efficiencies of 98.3% for Sb and 92% for As.</w:t>
      </w:r>
    </w:p>
    <w:p w14:paraId="446F445D" w14:textId="31D31ABA" w:rsidR="0004612D" w:rsidRPr="0004612D" w:rsidRDefault="0004612D" w:rsidP="0004612D">
      <w:pPr>
        <w:spacing w:line="360" w:lineRule="auto"/>
        <w:jc w:val="both"/>
        <w:rPr>
          <w:rFonts w:ascii="Arial" w:hAnsi="Arial" w:cs="Arial"/>
          <w:lang w:val="en-GB"/>
        </w:rPr>
      </w:pPr>
      <w:r w:rsidRPr="0004612D">
        <w:rPr>
          <w:rFonts w:ascii="Arial" w:hAnsi="Arial" w:cs="Arial"/>
          <w:lang w:val="en-GB"/>
        </w:rPr>
        <w:t xml:space="preserve">Cu processing waste, such as anode slimes and flue dust, contains As, Sb and Bi reflecting their common occurrence in Cu ores </w:t>
      </w:r>
      <w:r>
        <w:rPr>
          <w:rFonts w:ascii="Arial" w:hAnsi="Arial" w:cs="Arial"/>
        </w:rPr>
        <w:fldChar w:fldCharType="begin"/>
      </w:r>
      <w:r w:rsidR="008822D8">
        <w:rPr>
          <w:rFonts w:ascii="Arial" w:hAnsi="Arial" w:cs="Arial"/>
          <w:lang w:val="en-GB"/>
        </w:rPr>
        <w:instrText xml:space="preserve"> ADDIN ZOTERO_ITEM CSL_CITATION {"citationID":"SowqJPVG","properties":{"formattedCitation":"(Dupont et al. 2016)","plainCitation":"(Dupont et al. 2016)","noteIndex":0},"citationItems":[{"id":2231,"uris":["http://zotero.org/users/16508355/items/TAXHMRDA"],"itemData":{"id":2231,"type":"article-journal","abstract":"Antimony has become an increasingly critical element in recent years, due to a surge in industrial demand and the Chinese domination of primary production. Antimony is produced from stibnite ore (Sb2O3) which is processed into antimony metal and antimony oxide (Sb2O3). The industrial importance of antimony is mainly derived from its use as flame retardant in plastics, coatings, and electronics, but also as decolourizing agent in glass, alloys in lead-acid batteries, and catalysts for the production of PET polymers. In 2014, the European Commission highlighted antimony in its critical raw materials report, as the element with the largest expected supply–demand gap over the period 2015–2020. This has sparked efforts to find secondary sources of antimony either through the recycling of end-of-life products or by recovering antimony from industrial process residues. Valuable residues are obtained by processing of gold, copper, and lead ores with high contents of antimony. Most of these residues are currently discarded or stockpiled, causing environmental concerns. There is a clear need to move to a more circular economy, where waste is considered as a resource and zero-waste valorization schemes become the norm, especially for rare elements such as antimony. This paper gives a critical overview of the existing attempts to recover antimony from secondary sources. The paper also discusses the possibility of waste valorization schemes to guarantee a more sustainable life cycle for antimony.","container-title":"Journal of Sustainable Metallurgy","DOI":"10.1007/s40831-016-0043-y","ISSN":"2199-3831","issue":"1","journalAbbreviation":"J. Sustain. Metall.","language":"en","page":"79-103","source":"Springer Link","title":"Antimony Recovery from End-of-Life Products and Industrial Process Residues: A Critical Review","title-short":"Antimony Recovery from End-of-Life Products and Industrial Process Residues","volume":"2","author":[{"family":"Dupont","given":"David"},{"family":"Arnout","given":"Sander"},{"family":"Jones","given":"Peter Tom"},{"family":"Binnemans","given":"Koen"}],"issued":{"date-parts":[["2016",3,1]]}}}],"schema":"https://github.com/citation-style-language/schema/raw/master/csl-citation.json"} </w:instrText>
      </w:r>
      <w:r>
        <w:rPr>
          <w:rFonts w:ascii="Arial" w:hAnsi="Arial" w:cs="Arial"/>
        </w:rPr>
        <w:fldChar w:fldCharType="separate"/>
      </w:r>
      <w:r w:rsidR="008822D8" w:rsidRPr="008822D8">
        <w:rPr>
          <w:rFonts w:ascii="Arial" w:hAnsi="Arial" w:cs="Arial"/>
          <w:lang w:val="en-GB"/>
        </w:rPr>
        <w:t>(Dupont et al. 2016)</w:t>
      </w:r>
      <w:r>
        <w:rPr>
          <w:rFonts w:ascii="Arial" w:hAnsi="Arial" w:cs="Arial"/>
        </w:rPr>
        <w:fldChar w:fldCharType="end"/>
      </w:r>
      <w:r w:rsidRPr="0004612D">
        <w:rPr>
          <w:rFonts w:ascii="Arial" w:hAnsi="Arial" w:cs="Arial"/>
          <w:lang w:val="en-GB"/>
        </w:rPr>
        <w:t xml:space="preserve">. However, Cu produced via pyrometallurgical processes often requires electrorefining, as As, Sb, and Bi negatively affect product quality. Ion exchange (IX) using amino-phosphonic resins (AMPIX) is widely applied industrially for the selective removal of impurities </w:t>
      </w:r>
      <w:r>
        <w:rPr>
          <w:rFonts w:ascii="Arial" w:hAnsi="Arial" w:cs="Arial"/>
        </w:rPr>
        <w:fldChar w:fldCharType="begin"/>
      </w:r>
      <w:r w:rsidR="008822D8">
        <w:rPr>
          <w:rFonts w:ascii="Arial" w:hAnsi="Arial" w:cs="Arial"/>
          <w:lang w:val="en-GB"/>
        </w:rPr>
        <w:instrText xml:space="preserve"> ADDIN ZOTERO_ITEM CSL_CITATION {"citationID":"dyy0AkaS","properties":{"formattedCitation":"(Navarro and Alguacil 2002)","plainCitation":"(Navarro and Alguacil 2002)","noteIndex":0},"citationItems":[{"id":2233,"uris":["http://zotero.org/users/16508355/items/GSML6DIG"],"itemData":{"id":2233,"type":"article-journal","abstract":"Removal of arsenic, antimony and bismuth impurities from copper electrolytes is a primary target in copper electrorefineries. The present work investigates the possibilities of carbon adsorption technology in the removal of arsenic and antimony from a real Chilean electrolyte. Various variables which affect the metal adsorption/desorption operations are studied.","container-title":"Hydrometallurgy","DOI":"10.1016/S0304-386X(02)00108-1","ISSN":"0304-386X","issue":"1","journalAbbreviation":"Hydrometallurgy","page":"101-105","source":"ScienceDirect","title":"Adsorption of antimony and arsenic from a copper electrorefining solution onto activated carbon","volume":"66","author":[{"family":"Navarro","given":"P."},{"family":"Alguacil","given":"F. J."}],"issued":{"date-parts":[["2002",10,1]]}}}],"schema":"https://github.com/citation-style-language/schema/raw/master/csl-citation.json"} </w:instrText>
      </w:r>
      <w:r>
        <w:rPr>
          <w:rFonts w:ascii="Arial" w:hAnsi="Arial" w:cs="Arial"/>
        </w:rPr>
        <w:fldChar w:fldCharType="separate"/>
      </w:r>
      <w:r w:rsidR="008822D8" w:rsidRPr="008822D8">
        <w:rPr>
          <w:rFonts w:ascii="Arial" w:hAnsi="Arial" w:cs="Arial"/>
          <w:lang w:val="en-GB"/>
        </w:rPr>
        <w:t>(Navarro and Alguacil 2002)</w:t>
      </w:r>
      <w:r>
        <w:rPr>
          <w:rFonts w:ascii="Arial" w:hAnsi="Arial" w:cs="Arial"/>
        </w:rPr>
        <w:fldChar w:fldCharType="end"/>
      </w:r>
      <w:r w:rsidRPr="0004612D">
        <w:rPr>
          <w:rFonts w:ascii="Arial" w:hAnsi="Arial" w:cs="Arial"/>
          <w:lang w:val="en-GB"/>
        </w:rPr>
        <w:t>.</w:t>
      </w:r>
    </w:p>
    <w:p w14:paraId="7B9E8FFA" w14:textId="50FC4D83" w:rsidR="0004612D" w:rsidRPr="0004612D" w:rsidRDefault="0004612D" w:rsidP="0004612D">
      <w:pPr>
        <w:spacing w:line="360" w:lineRule="auto"/>
        <w:jc w:val="both"/>
        <w:rPr>
          <w:rFonts w:ascii="Arial" w:hAnsi="Arial" w:cs="Arial"/>
          <w:lang w:val="en-GB"/>
        </w:rPr>
      </w:pPr>
      <w:r w:rsidRPr="0004612D">
        <w:rPr>
          <w:rFonts w:ascii="Arial" w:hAnsi="Arial" w:cs="Arial"/>
          <w:lang w:val="en-GB"/>
        </w:rPr>
        <w:t>The effluent generated during the regeneration of AMPIX resins can be processed using selective precipitation to recover Sb and Bi. However, prior reduction of As(V) is necessary to prevent the formation of SbAsO</w:t>
      </w:r>
      <w:r w:rsidRPr="0004612D">
        <w:rPr>
          <w:rFonts w:ascii="Cambria Math" w:hAnsi="Cambria Math" w:cs="Cambria Math"/>
          <w:lang w:val="en-GB"/>
        </w:rPr>
        <w:t>₄</w:t>
      </w:r>
      <w:r w:rsidRPr="0004612D">
        <w:rPr>
          <w:rFonts w:ascii="Arial" w:hAnsi="Arial" w:cs="Arial"/>
          <w:lang w:val="en-GB"/>
        </w:rPr>
        <w:t xml:space="preserve"> and BiAsO</w:t>
      </w:r>
      <w:r w:rsidRPr="0004612D">
        <w:rPr>
          <w:rFonts w:ascii="Cambria Math" w:hAnsi="Cambria Math" w:cs="Cambria Math"/>
          <w:lang w:val="en-GB"/>
        </w:rPr>
        <w:t>₄</w:t>
      </w:r>
      <w:r w:rsidRPr="0004612D">
        <w:rPr>
          <w:rFonts w:ascii="Arial" w:hAnsi="Arial" w:cs="Arial"/>
          <w:lang w:val="en-GB"/>
        </w:rPr>
        <w:t>. Reducing agents such as SO</w:t>
      </w:r>
      <w:r w:rsidRPr="0004612D">
        <w:rPr>
          <w:rFonts w:ascii="Cambria Math" w:hAnsi="Cambria Math" w:cs="Cambria Math"/>
          <w:lang w:val="en-GB"/>
        </w:rPr>
        <w:t>₂</w:t>
      </w:r>
      <w:r w:rsidRPr="0004612D">
        <w:rPr>
          <w:rFonts w:ascii="Arial" w:hAnsi="Arial" w:cs="Arial"/>
          <w:lang w:val="en-GB"/>
        </w:rPr>
        <w:t xml:space="preserve"> or NaHSO</w:t>
      </w:r>
      <w:r w:rsidRPr="0004612D">
        <w:rPr>
          <w:rFonts w:ascii="Cambria Math" w:hAnsi="Cambria Math" w:cs="Cambria Math"/>
          <w:lang w:val="en-GB"/>
        </w:rPr>
        <w:t>₃</w:t>
      </w:r>
      <w:r w:rsidRPr="0004612D">
        <w:rPr>
          <w:rFonts w:ascii="Arial" w:hAnsi="Arial" w:cs="Arial"/>
          <w:lang w:val="en-GB"/>
        </w:rPr>
        <w:t xml:space="preserve"> effectively convert As(V) to As(III), which remains in solution. The eluate is then treated adding Fe</w:t>
      </w:r>
      <w:r w:rsidRPr="0004612D">
        <w:rPr>
          <w:rFonts w:ascii="Cambria Math" w:hAnsi="Cambria Math" w:cs="Cambria Math"/>
          <w:lang w:val="en-GB"/>
        </w:rPr>
        <w:t>₂</w:t>
      </w:r>
      <w:r w:rsidRPr="0004612D">
        <w:rPr>
          <w:rFonts w:ascii="Arial" w:hAnsi="Arial" w:cs="Arial"/>
          <w:lang w:val="en-GB"/>
        </w:rPr>
        <w:t>(SO</w:t>
      </w:r>
      <w:r w:rsidRPr="0004612D">
        <w:rPr>
          <w:rFonts w:ascii="Cambria Math" w:hAnsi="Cambria Math" w:cs="Cambria Math"/>
          <w:lang w:val="en-GB"/>
        </w:rPr>
        <w:t>₄</w:t>
      </w:r>
      <w:r w:rsidRPr="0004612D">
        <w:rPr>
          <w:rFonts w:ascii="Arial" w:hAnsi="Arial" w:cs="Arial"/>
          <w:lang w:val="en-GB"/>
        </w:rPr>
        <w:t>)</w:t>
      </w:r>
      <w:r w:rsidRPr="0004612D">
        <w:rPr>
          <w:rFonts w:ascii="Cambria Math" w:hAnsi="Cambria Math" w:cs="Cambria Math"/>
          <w:lang w:val="en-GB"/>
        </w:rPr>
        <w:t>₃</w:t>
      </w:r>
      <w:r w:rsidRPr="0004612D">
        <w:rPr>
          <w:rFonts w:ascii="Arial" w:hAnsi="Arial" w:cs="Arial"/>
          <w:lang w:val="en-GB"/>
        </w:rPr>
        <w:t>, which stabilises the As as scorodite. Sb and Bi are then selectively precipitated through neutralisation with NaOH (5 M), producing Sb oxychloride (Sb</w:t>
      </w:r>
      <w:r w:rsidRPr="0004612D">
        <w:rPr>
          <w:rFonts w:ascii="Cambria Math" w:hAnsi="Cambria Math" w:cs="Cambria Math"/>
          <w:lang w:val="en-GB"/>
        </w:rPr>
        <w:t>₄</w:t>
      </w:r>
      <w:r w:rsidRPr="0004612D">
        <w:rPr>
          <w:rFonts w:ascii="Arial" w:hAnsi="Arial" w:cs="Arial"/>
          <w:lang w:val="en-GB"/>
        </w:rPr>
        <w:t>O</w:t>
      </w:r>
      <w:r w:rsidRPr="0004612D">
        <w:rPr>
          <w:rFonts w:ascii="Cambria Math" w:hAnsi="Cambria Math" w:cs="Cambria Math"/>
          <w:lang w:val="en-GB"/>
        </w:rPr>
        <w:t>₅</w:t>
      </w:r>
      <w:r w:rsidRPr="0004612D">
        <w:rPr>
          <w:rFonts w:ascii="Arial" w:hAnsi="Arial" w:cs="Arial"/>
          <w:lang w:val="en-GB"/>
        </w:rPr>
        <w:t>Cl</w:t>
      </w:r>
      <w:r w:rsidRPr="0004612D">
        <w:rPr>
          <w:rFonts w:ascii="Cambria Math" w:hAnsi="Cambria Math" w:cs="Cambria Math"/>
          <w:lang w:val="en-GB"/>
        </w:rPr>
        <w:t>₂)</w:t>
      </w:r>
      <w:r w:rsidRPr="0004612D">
        <w:rPr>
          <w:rFonts w:ascii="Arial" w:hAnsi="Arial" w:cs="Arial"/>
          <w:lang w:val="en-GB"/>
        </w:rPr>
        <w:t xml:space="preserve">, and Bi oxychloride (BiOCl) </w:t>
      </w:r>
      <w:r>
        <w:rPr>
          <w:rFonts w:ascii="Arial" w:hAnsi="Arial" w:cs="Arial"/>
        </w:rPr>
        <w:fldChar w:fldCharType="begin"/>
      </w:r>
      <w:r w:rsidR="008822D8">
        <w:rPr>
          <w:rFonts w:ascii="Arial" w:hAnsi="Arial" w:cs="Arial"/>
          <w:lang w:val="en-GB"/>
        </w:rPr>
        <w:instrText xml:space="preserve"> ADDIN ZOTERO_ITEM CSL_CITATION {"citationID":"OQhkiEgf","properties":{"formattedCitation":"(Luo et al. 2023)","plainCitation":"(Luo et al. 2023)","noteIndex":0},"citationItems":[{"id":2174,"uris":["http://zotero.org/users/16508355/items/A3SVD52V"],"itemData":{"id":2174,"type":"article-journal","abstract":"The copper pyrometallurgical industry faces the precipitation of un-soluble slimes containing bismuth, arsenic and antimony that can reduce copper purity. Ion-exchange resins are used to treat the electrolyte to avoid their precipitation. After resin saturation, a regeneration stage with 17%(w/w) hydrochloric acid containing antimony and bismuth (e.g. up to 10 g/L) is currently limed. In this work, a selective precipitation process was developed to recover both elements as pure as possible from the eluate, considering that also high contents of As(V) are present. Results showed that during the precipitation process, As(V) forms insoluble antimony-arsenates. Therefore, the eluate was pre-treated to reduce As(V) and Sb(V) using SO2(g) or NaHSO3(s). In this case, it was possible to obtain sequentially antimony oxychloride (Sb4O5Cl2, purity&gt; 93%) and bismuth oxychloride (BiOCl, purity&gt; 95%) under appropriate pH control using sodium hydroxide, sodium bicarbonate and/or sodium carbonate. The use of calcium hydroxide and calcium carbonate resulted in the precipitation of calcium sulphates (CaSO4:H2O(s) and CaSO4:2H2O(s)), which reduced the by-products purity.","container-title":"Journal of Cleaner Production","DOI":"10.1016/j.jclepro.2023.137902","ISSN":"0959-6526","journalAbbreviation":"Journal of Cleaner Production","page":"137902","source":"ScienceDirect","title":"Recovery of antimony and bismuth from arsenic-containing waste streams from the copper electrorefining circuit: An example of promoting critical metals circularity from secondary resources","title-short":"Recovery of antimony and bismuth from arsenic-containing waste streams from the copper electrorefining circuit","volume":"415","author":[{"family":"Luo","given":"D."},{"family":"Fernández de Labastida","given":"M."},{"family":"Cortina","given":"J. L."},{"family":"Lopez","given":"J."}],"issued":{"date-parts":[["2023",8,20]]}}}],"schema":"https://github.com/citation-style-language/schema/raw/master/csl-citation.json"} </w:instrText>
      </w:r>
      <w:r>
        <w:rPr>
          <w:rFonts w:ascii="Arial" w:hAnsi="Arial" w:cs="Arial"/>
        </w:rPr>
        <w:fldChar w:fldCharType="separate"/>
      </w:r>
      <w:r w:rsidR="008822D8" w:rsidRPr="008822D8">
        <w:rPr>
          <w:rFonts w:ascii="Arial" w:hAnsi="Arial" w:cs="Arial"/>
          <w:lang w:val="en-GB"/>
        </w:rPr>
        <w:t>(Luo et al. 2023)</w:t>
      </w:r>
      <w:r>
        <w:rPr>
          <w:rFonts w:ascii="Arial" w:hAnsi="Arial" w:cs="Arial"/>
        </w:rPr>
        <w:fldChar w:fldCharType="end"/>
      </w:r>
      <w:r w:rsidRPr="0004612D">
        <w:rPr>
          <w:rFonts w:ascii="Arial" w:hAnsi="Arial" w:cs="Arial"/>
          <w:lang w:val="en-GB"/>
        </w:rPr>
        <w:t>.</w:t>
      </w:r>
    </w:p>
    <w:p w14:paraId="0D06751E" w14:textId="2734015A" w:rsidR="0004612D" w:rsidRDefault="0004612D" w:rsidP="0004612D">
      <w:pPr>
        <w:spacing w:line="360" w:lineRule="auto"/>
        <w:jc w:val="both"/>
        <w:rPr>
          <w:rFonts w:ascii="Arial" w:hAnsi="Arial" w:cs="Arial"/>
          <w:lang w:val="en-GB"/>
        </w:rPr>
      </w:pPr>
      <w:r w:rsidRPr="0004612D">
        <w:rPr>
          <w:rFonts w:ascii="Arial" w:hAnsi="Arial" w:cs="Arial"/>
          <w:lang w:val="en-GB"/>
        </w:rPr>
        <w:t>As-rich sludge from flue gas purification in Cu smelting can also be treated via desulfurisation–leaching–hydrolysis processes. First, the solid waste is desulfurised at 95 °C with kerosene. Then, chloride leaching is performed with H</w:t>
      </w:r>
      <w:r w:rsidRPr="0004612D">
        <w:rPr>
          <w:rFonts w:ascii="Cambria Math" w:hAnsi="Cambria Math" w:cs="Cambria Math"/>
          <w:lang w:val="en-GB"/>
        </w:rPr>
        <w:t>₂</w:t>
      </w:r>
      <w:r w:rsidRPr="0004612D">
        <w:rPr>
          <w:rFonts w:ascii="Arial" w:hAnsi="Arial" w:cs="Arial"/>
          <w:lang w:val="en-GB"/>
        </w:rPr>
        <w:t>SO</w:t>
      </w:r>
      <w:r w:rsidRPr="0004612D">
        <w:rPr>
          <w:rFonts w:ascii="Cambria Math" w:hAnsi="Cambria Math" w:cs="Cambria Math"/>
          <w:lang w:val="en-GB"/>
        </w:rPr>
        <w:t>₄</w:t>
      </w:r>
      <w:r w:rsidRPr="0004612D">
        <w:rPr>
          <w:rFonts w:ascii="Arial" w:hAnsi="Arial" w:cs="Arial"/>
          <w:lang w:val="en-GB"/>
        </w:rPr>
        <w:t xml:space="preserve"> and NaCl. Finally, controlled pH hydrolysis is used to precipitate Bi and Sb as oxychlorides (BiOCl and SbOCl) </w:t>
      </w:r>
      <w:r>
        <w:rPr>
          <w:rFonts w:ascii="Arial" w:hAnsi="Arial" w:cs="Arial"/>
        </w:rPr>
        <w:fldChar w:fldCharType="begin"/>
      </w:r>
      <w:r w:rsidR="008822D8">
        <w:rPr>
          <w:rFonts w:ascii="Arial" w:hAnsi="Arial" w:cs="Arial"/>
          <w:lang w:val="en-GB"/>
        </w:rPr>
        <w:instrText xml:space="preserve"> ADDIN ZOTERO_ITEM CSL_CITATION {"citationID":"t9JOwLkH","properties":{"formattedCitation":"(Zhang et al. 2012)","plainCitation":"(Zhang et al. 2012)","noteIndex":0},"citationItems":[{"id":2158,"uris":["http://zotero.org/users/16508355/items/92J6NRLU"],"itemData":{"id":2158,"type":"article-journal","abstract":"The leaching behavior of metals from a pressure-leaching slag was investigated using a desulphurization-leaching-hydrolysis process for the recovery of bismuth and antimony. Various parameters were studied, including the amount of acid added, temperature, time, addition of NaCl and solid-liquid ratio in the leaching process. The experimental results show that the contents of bismuth and antimony are mostly enriched in the process of kerosene desulphurization. More than 98% Sb and 96% Bi are extracted under the determined conditions. In the process of hydrolysis, the precipitation rates of bismuth and antimony are 97.80% and 94.59%, respectively. Under the optimum experimental conditions, the recovery rate of bismuth and antimony can be up to 95.80% and 90.80%, respectively.","container-title":"Rare Metals","DOI":"10.1007/s12598-012-0471-1","ISSN":"1867-7185","issue":"1","journalAbbreviation":"Rare Metals","language":"en","page":"102-106","source":"Springer Link","title":"Recovery of bismuth and antimony metals from pressure-leaching slag","volume":"31","author":[{"family":"Zhang","given":"Bao"},{"family":"Li","given":"Qian"},{"family":"Shen","given":"Wenqian"},{"family":"Min","given":"Xiaobo"}],"issued":{"date-parts":[["2012",2,1]]}}}],"schema":"https://github.com/citation-style-language/schema/raw/master/csl-citation.json"} </w:instrText>
      </w:r>
      <w:r>
        <w:rPr>
          <w:rFonts w:ascii="Arial" w:hAnsi="Arial" w:cs="Arial"/>
        </w:rPr>
        <w:fldChar w:fldCharType="separate"/>
      </w:r>
      <w:r w:rsidR="008822D8" w:rsidRPr="008822D8">
        <w:rPr>
          <w:rFonts w:ascii="Arial" w:hAnsi="Arial" w:cs="Arial"/>
          <w:lang w:val="en-GB"/>
        </w:rPr>
        <w:t>(Zhang et al. 2012)</w:t>
      </w:r>
      <w:r>
        <w:rPr>
          <w:rFonts w:ascii="Arial" w:hAnsi="Arial" w:cs="Arial"/>
        </w:rPr>
        <w:fldChar w:fldCharType="end"/>
      </w:r>
      <w:r w:rsidRPr="0004612D">
        <w:rPr>
          <w:rFonts w:ascii="Arial" w:hAnsi="Arial" w:cs="Arial"/>
          <w:lang w:val="en-GB"/>
        </w:rPr>
        <w:t>.</w:t>
      </w:r>
      <w:r w:rsidR="004766D1">
        <w:rPr>
          <w:rFonts w:ascii="Arial" w:hAnsi="Arial" w:cs="Arial"/>
          <w:lang w:val="en-GB"/>
        </w:rPr>
        <w:t xml:space="preserve"> </w:t>
      </w:r>
    </w:p>
    <w:p w14:paraId="1811914E" w14:textId="79C0A412" w:rsidR="002E10C8" w:rsidRPr="0004612D" w:rsidRDefault="002E10C8" w:rsidP="002E10C8">
      <w:pPr>
        <w:spacing w:line="360" w:lineRule="auto"/>
        <w:jc w:val="both"/>
        <w:rPr>
          <w:rFonts w:ascii="Arial" w:hAnsi="Arial" w:cs="Arial"/>
          <w:lang w:val="en-GB"/>
        </w:rPr>
      </w:pPr>
      <w:r>
        <w:rPr>
          <w:rFonts w:ascii="Arial" w:hAnsi="Arial" w:cs="Arial"/>
          <w:lang w:val="en-GB"/>
        </w:rPr>
        <w:t xml:space="preserve">Cu </w:t>
      </w:r>
      <w:r w:rsidRPr="004766D1">
        <w:rPr>
          <w:rFonts w:ascii="Arial" w:hAnsi="Arial" w:cs="Arial"/>
          <w:lang w:val="en-GB"/>
        </w:rPr>
        <w:t xml:space="preserve">smelter electrostatic precipitator dust is processed through pilot-scale continuous hydrometallurgical leaching and selective precipitation to recover </w:t>
      </w:r>
      <w:r w:rsidRPr="006A759F">
        <w:rPr>
          <w:rFonts w:ascii="Arial" w:hAnsi="Arial" w:cs="Arial"/>
          <w:lang w:val="en-GB"/>
        </w:rPr>
        <w:t>99% of the Bi as a 68–77%</w:t>
      </w:r>
      <w:r w:rsidRPr="004766D1">
        <w:rPr>
          <w:rFonts w:ascii="Arial" w:hAnsi="Arial" w:cs="Arial"/>
          <w:lang w:val="en-GB"/>
        </w:rPr>
        <w:t xml:space="preserve"> pure oxychloride (BiOCl) precipitate, while concurrently generating </w:t>
      </w:r>
      <w:r>
        <w:rPr>
          <w:rFonts w:ascii="Arial" w:hAnsi="Arial" w:cs="Arial"/>
          <w:lang w:val="en-GB"/>
        </w:rPr>
        <w:t xml:space="preserve">Pb </w:t>
      </w:r>
      <w:r w:rsidRPr="004766D1">
        <w:rPr>
          <w:rFonts w:ascii="Arial" w:hAnsi="Arial" w:cs="Arial"/>
          <w:lang w:val="en-GB"/>
        </w:rPr>
        <w:t xml:space="preserve">concentrates for secondary smelting and stabilized </w:t>
      </w:r>
      <w:r>
        <w:rPr>
          <w:rFonts w:ascii="Arial" w:hAnsi="Arial" w:cs="Arial"/>
          <w:lang w:val="en-GB"/>
        </w:rPr>
        <w:t>As</w:t>
      </w:r>
      <w:r w:rsidRPr="004766D1">
        <w:rPr>
          <w:rFonts w:ascii="Arial" w:hAnsi="Arial" w:cs="Arial"/>
          <w:lang w:val="en-GB"/>
        </w:rPr>
        <w:t xml:space="preserve"> fractions </w:t>
      </w:r>
      <w:r>
        <w:rPr>
          <w:rFonts w:ascii="Arial" w:hAnsi="Arial" w:cs="Arial"/>
          <w:lang w:val="en-GB"/>
        </w:rPr>
        <w:fldChar w:fldCharType="begin"/>
      </w:r>
      <w:r w:rsidR="00152F56">
        <w:rPr>
          <w:rFonts w:ascii="Arial" w:hAnsi="Arial" w:cs="Arial"/>
          <w:lang w:val="en-GB"/>
        </w:rPr>
        <w:instrText xml:space="preserve"> ADDIN ZOTERO_ITEM CSL_CITATION {"citationID":"a1cgat09ske","properties":{"unsorted":false,"formattedCitation":"(C\\uc0\\u243{}rdoba et al. 2026)","plainCitation":"(Córdoba et al. 2026)","noteIndex":0},"citationItems":[{"id":3582,"uris":["http://zotero.org/users/16508355/items/DCUQWCIZ"],"itemData":{"id":3582,"type":"article-journal","abstract":"The recovery of critical raw materials (CRMs) from metallurgical residues is increasingly recognised as a key strategy for enhancing resource efficiency and supply security. However, most existing studies focus on either laboratory-scale process development or isolated techno-economic or environmental assessments, and rarely combine experimental validation under industrially relevant conditions with integrated evaluation of economic, environmental, and strategic dimensions, particularly for complex residues such as copper smelter dust. This study presents a pilot-scale continuous-flow hydrometallurgical process for the recovery of bismuth (Bi), arsenic (As), and lead (Pb) from metallurgical residues. The process achieved near-complete Bi recovery (99%), production of 68–77% pure BiOCl, stabilised As fractions, and Pb concentrates suitable for secondary smelting. Mass, water, and reagent flow analysis enabled integrated techno-economic assessment (TEA) and life cycle assessment (LCA) for industrial scale-up evaluation. The novelty of this work lies in the coupling of pilot-scale experimental validation with integrated TEA–LCA and strategic metal value assessment within a unified framework, enabling direct linkage between process performance, economic viability, and environmental impacts. Three operational scenarios were evaluated (165–1240 t yr−1), showing that economic and strategic benefits increase more rapidly than environmental burdens. Sensitivity analysis confirmed robustness under variations in metal prices and cost parameters. The full industrial-scale scenario is identified as optimal, balancing recovery efficiency, profitability, and environmental performance. This study provides a transferable framework for the design and assessment of sustainable CRM recovery processes from complex metallurgical residues.","container-title":"Cleaner Engineering and Technology","DOI":"10.1016/j.clet.2026.101226","ISSN":"2666-7908","journalAbbreviation":"Cleaner Engineering and Technology","page":"101226","source":"ScienceDirect","title":"Addressing sustainability trade-offs in critical raw material recovery from metallurgical residues: An integrated environmental–economic–strategic framework","title-short":"Addressing sustainability trade-offs in critical raw material recovery from metallurgical residues","volume":"32","author":[{"family":"Córdoba","given":"Patricia"},{"family":"Mayor","given":"Laura"},{"family":"Espí","given":"Jose Jorge"},{"family":"Licon","given":"Edxon"}],"issued":{"date-parts":[["2026",6,1]]}}}],"schema":"https://github.com/citation-style-language/schema/raw/master/csl-citation.json"} </w:instrText>
      </w:r>
      <w:r>
        <w:rPr>
          <w:rFonts w:ascii="Arial" w:hAnsi="Arial" w:cs="Arial"/>
          <w:lang w:val="en-GB"/>
        </w:rPr>
        <w:fldChar w:fldCharType="separate"/>
      </w:r>
      <w:r w:rsidR="00152F56" w:rsidRPr="00BB6CD0">
        <w:rPr>
          <w:rFonts w:ascii="Arial" w:hAnsi="Arial" w:cs="Arial"/>
          <w:kern w:val="0"/>
          <w:lang w:val="en-GB"/>
        </w:rPr>
        <w:t>(Córdoba et al. 2026)</w:t>
      </w:r>
      <w:r>
        <w:rPr>
          <w:rFonts w:ascii="Arial" w:hAnsi="Arial" w:cs="Arial"/>
          <w:lang w:val="en-GB"/>
        </w:rPr>
        <w:fldChar w:fldCharType="end"/>
      </w:r>
      <w:r>
        <w:rPr>
          <w:rFonts w:ascii="Arial" w:hAnsi="Arial" w:cs="Arial"/>
          <w:lang w:val="en-GB"/>
        </w:rPr>
        <w:t>.</w:t>
      </w:r>
    </w:p>
    <w:p w14:paraId="4BC7A6C9" w14:textId="54A2C8F4" w:rsidR="0004612D" w:rsidRPr="0004612D" w:rsidRDefault="0004612D" w:rsidP="0004612D">
      <w:pPr>
        <w:spacing w:line="360" w:lineRule="auto"/>
        <w:jc w:val="both"/>
        <w:rPr>
          <w:rFonts w:ascii="Arial" w:hAnsi="Arial" w:cs="Arial"/>
          <w:lang w:val="en-GB"/>
        </w:rPr>
      </w:pPr>
      <w:r w:rsidRPr="0004612D">
        <w:rPr>
          <w:rFonts w:ascii="Arial" w:hAnsi="Arial" w:cs="Arial"/>
          <w:lang w:val="en-GB"/>
        </w:rPr>
        <w:t>Directly from arsenic-rich Cu smelter dust As and Sb can be recovered by leaching with HCl solution (4.M, 363 K, 2 hours) to dissolve As</w:t>
      </w:r>
      <w:r w:rsidRPr="0004612D">
        <w:rPr>
          <w:rFonts w:ascii="Cambria Math" w:hAnsi="Cambria Math" w:cs="Cambria Math"/>
          <w:lang w:val="en-GB"/>
        </w:rPr>
        <w:t>₂</w:t>
      </w:r>
      <w:r w:rsidRPr="0004612D">
        <w:rPr>
          <w:rFonts w:ascii="Arial" w:hAnsi="Arial" w:cs="Arial"/>
          <w:lang w:val="en-GB"/>
        </w:rPr>
        <w:t>O</w:t>
      </w:r>
      <w:r w:rsidRPr="0004612D">
        <w:rPr>
          <w:rFonts w:ascii="Cambria Math" w:hAnsi="Cambria Math" w:cs="Cambria Math"/>
          <w:lang w:val="en-GB"/>
        </w:rPr>
        <w:t>₃</w:t>
      </w:r>
      <w:r w:rsidRPr="0004612D">
        <w:rPr>
          <w:rFonts w:ascii="Arial" w:hAnsi="Arial" w:cs="Arial"/>
          <w:lang w:val="en-GB"/>
        </w:rPr>
        <w:t xml:space="preserve"> and Sb</w:t>
      </w:r>
      <w:r w:rsidRPr="0004612D">
        <w:rPr>
          <w:rFonts w:ascii="Cambria Math" w:hAnsi="Cambria Math" w:cs="Cambria Math"/>
          <w:lang w:val="en-GB"/>
        </w:rPr>
        <w:t>₂</w:t>
      </w:r>
      <w:r w:rsidRPr="0004612D">
        <w:rPr>
          <w:rFonts w:ascii="Arial" w:hAnsi="Arial" w:cs="Arial"/>
          <w:lang w:val="en-GB"/>
        </w:rPr>
        <w:t>O</w:t>
      </w:r>
      <w:r w:rsidRPr="0004612D">
        <w:rPr>
          <w:rFonts w:ascii="Cambria Math" w:hAnsi="Cambria Math" w:cs="Cambria Math"/>
          <w:lang w:val="en-GB"/>
        </w:rPr>
        <w:t>₃</w:t>
      </w:r>
      <w:r w:rsidRPr="0004612D">
        <w:rPr>
          <w:rFonts w:ascii="Arial" w:hAnsi="Arial" w:cs="Arial"/>
          <w:lang w:val="en-GB"/>
        </w:rPr>
        <w:t>. This is followed by the reduction of As³</w:t>
      </w:r>
      <w:r w:rsidRPr="0004612D">
        <w:rPr>
          <w:rFonts w:ascii="Cambria Math" w:hAnsi="Cambria Math" w:cs="Cambria Math"/>
          <w:lang w:val="en-GB"/>
        </w:rPr>
        <w:t>⁺</w:t>
      </w:r>
      <w:r w:rsidRPr="0004612D">
        <w:rPr>
          <w:rFonts w:ascii="Arial" w:hAnsi="Arial" w:cs="Arial"/>
          <w:lang w:val="en-GB"/>
        </w:rPr>
        <w:t xml:space="preserve"> to elemental As using sodium hypophosphite (NaH</w:t>
      </w:r>
      <w:r w:rsidRPr="0004612D">
        <w:rPr>
          <w:rFonts w:ascii="Cambria Math" w:hAnsi="Cambria Math" w:cs="Cambria Math"/>
          <w:lang w:val="en-GB"/>
        </w:rPr>
        <w:t>₂</w:t>
      </w:r>
      <w:r w:rsidRPr="0004612D">
        <w:rPr>
          <w:rFonts w:ascii="Arial" w:hAnsi="Arial" w:cs="Arial"/>
          <w:lang w:val="en-GB"/>
        </w:rPr>
        <w:t>PO</w:t>
      </w:r>
      <w:r w:rsidRPr="0004612D">
        <w:rPr>
          <w:rFonts w:ascii="Cambria Math" w:hAnsi="Cambria Math" w:cs="Cambria Math"/>
          <w:lang w:val="en-GB"/>
        </w:rPr>
        <w:t>₂</w:t>
      </w:r>
      <w:r w:rsidRPr="0004612D">
        <w:rPr>
          <w:rFonts w:ascii="Arial" w:hAnsi="Arial" w:cs="Arial"/>
          <w:lang w:val="en-GB"/>
        </w:rPr>
        <w:t>), and the subsequent recovery of Sb as SbCl</w:t>
      </w:r>
      <w:r w:rsidRPr="0004612D">
        <w:rPr>
          <w:rFonts w:ascii="Cambria Math" w:hAnsi="Cambria Math" w:cs="Cambria Math"/>
          <w:lang w:val="en-GB"/>
        </w:rPr>
        <w:t>₃</w:t>
      </w:r>
      <w:r w:rsidRPr="0004612D">
        <w:rPr>
          <w:rFonts w:ascii="Arial" w:hAnsi="Arial" w:cs="Arial"/>
          <w:lang w:val="en-GB"/>
        </w:rPr>
        <w:t xml:space="preserve"> by continuous distillation. This approach achieves As recovery of up to 92.5% and SbCl</w:t>
      </w:r>
      <w:r w:rsidRPr="0004612D">
        <w:rPr>
          <w:rFonts w:ascii="Cambria Math" w:hAnsi="Cambria Math" w:cs="Cambria Math"/>
          <w:lang w:val="en-GB"/>
        </w:rPr>
        <w:t>₃</w:t>
      </w:r>
      <w:r w:rsidRPr="0004612D">
        <w:rPr>
          <w:rFonts w:ascii="Arial" w:hAnsi="Arial" w:cs="Arial"/>
          <w:lang w:val="en-GB"/>
        </w:rPr>
        <w:t xml:space="preserve"> purity of over 97.5% </w:t>
      </w:r>
      <w:r>
        <w:rPr>
          <w:rFonts w:ascii="Arial" w:hAnsi="Arial" w:cs="Arial"/>
        </w:rPr>
        <w:fldChar w:fldCharType="begin"/>
      </w:r>
      <w:r w:rsidR="008822D8">
        <w:rPr>
          <w:rFonts w:ascii="Arial" w:hAnsi="Arial" w:cs="Arial"/>
          <w:lang w:val="en-GB"/>
        </w:rPr>
        <w:instrText xml:space="preserve"> ADDIN ZOTERO_ITEM CSL_CITATION {"citationID":"HjWJbUt7","properties":{"formattedCitation":"(Xue et al. 2021)","plainCitation":"(Xue et al. 2021)","noteIndex":0},"citationItems":[{"id":2181,"uris":["http://zotero.org/users/16508355/items/YFGNXASX"],"itemData":{"id":2181,"type":"article-journal","abstract":"In view of reducing contaminant and recovery arsenic and antimony, a novel technology was proposed to recover arsenic and antimony from arsenic-rich copper smelter dust comprehensively. The technique route includes three stages: arsenic and antimony trioxides were leached from the copper smelter dust with hydrochloric acid; trivalent arsenic ions (As3+) were then reduced to less toxic simple arsenic (As) by sodium hypophosphate (NaH2PO2) and recovered; and stepwise recovery of antimony by SbCl3 was achieved by the continuous distillation technique. The results indicates that the leaching efficiency of As and Sb was over 97.5% and 96.8% under conditions of initial 4.0 mol/L HCl, liquid-solid ratio (L/S) of 6:1, leaching temperature of 363 K and time of 2 h. Over 92.5% arsenic was recovered by NaH2PO2 reduction under the suitable conditions: 363 K, 1.5 h and 2.0 times addition of NaH2PO2. The recovery rate of Sb is more than 97.53% at 393 K. The distillation temperature of SbCl3 was optimized between 463 K and 473 K. The corresponding mechanisms of the leaching and recovering of arsenic and antimony were systematically investigated and confirmed by E-pH diagram, thermodynamic calculation, arsenic speciation, composition analysis and XRD characterization.","container-title":"Journal of Hazardous Materials","DOI":"10.1016/j.jhazmat.2021.125365","ISSN":"0304-3894","journalAbbreviation":"Journal of Hazardous Materials","page":"125365","source":"ScienceDirect","title":"Comprehensive recovery of arsenic and antimony from arsenic-rich copper smelter dust","volume":"413","author":[{"family":"Xue","given":"Jianrong"},{"family":"Long","given":"Dongping"},{"family":"Zhong","given":"Hong"},{"family":"Wang","given":"Shuai"},{"family":"Liu","given":"Lihua"}],"issued":{"date-parts":[["2021",7,5]]}}}],"schema":"https://github.com/citation-style-language/schema/raw/master/csl-citation.json"} </w:instrText>
      </w:r>
      <w:r>
        <w:rPr>
          <w:rFonts w:ascii="Arial" w:hAnsi="Arial" w:cs="Arial"/>
        </w:rPr>
        <w:fldChar w:fldCharType="separate"/>
      </w:r>
      <w:r w:rsidR="008822D8" w:rsidRPr="008822D8">
        <w:rPr>
          <w:rFonts w:ascii="Arial" w:hAnsi="Arial" w:cs="Arial"/>
          <w:lang w:val="en-GB"/>
        </w:rPr>
        <w:t>(Xue et al. 2021)</w:t>
      </w:r>
      <w:r>
        <w:rPr>
          <w:rFonts w:ascii="Arial" w:hAnsi="Arial" w:cs="Arial"/>
        </w:rPr>
        <w:fldChar w:fldCharType="end"/>
      </w:r>
      <w:r w:rsidRPr="0004612D">
        <w:rPr>
          <w:rFonts w:ascii="Arial" w:hAnsi="Arial" w:cs="Arial"/>
          <w:lang w:val="en-GB"/>
        </w:rPr>
        <w:t>.</w:t>
      </w:r>
    </w:p>
    <w:p w14:paraId="45565146" w14:textId="15FEE1CD" w:rsidR="0004612D" w:rsidRPr="0004612D" w:rsidRDefault="0004612D" w:rsidP="0004612D">
      <w:pPr>
        <w:spacing w:line="360" w:lineRule="auto"/>
        <w:jc w:val="both"/>
        <w:rPr>
          <w:rFonts w:ascii="Arial" w:hAnsi="Arial" w:cs="Arial"/>
          <w:lang w:val="en-GB"/>
        </w:rPr>
      </w:pPr>
      <w:r w:rsidRPr="0004612D">
        <w:rPr>
          <w:rFonts w:ascii="Arial" w:hAnsi="Arial" w:cs="Arial"/>
          <w:lang w:val="en-GB"/>
        </w:rPr>
        <w:lastRenderedPageBreak/>
        <w:t xml:space="preserve">Mining residues from W-bearing ores can be processed to recover W and As. Deep eutectic solvents, such as choline chloride: oxalic acid (ChCl:OA) when combined with electrodialysis (ED), can be used to treat Sn-W mining residues. Using a two-compartment ED setup with ChCl:OA  (100 mA, 4 days), As and W were extracted from the residues, with up to 82% of As and 77% of W successfully migrating into the anode compartment for further separation </w:t>
      </w:r>
      <w:r w:rsidRPr="004A1F69">
        <w:rPr>
          <w:rFonts w:ascii="Arial" w:hAnsi="Arial" w:cs="Arial"/>
        </w:rPr>
        <w:fldChar w:fldCharType="begin"/>
      </w:r>
      <w:r w:rsidR="008822D8">
        <w:rPr>
          <w:rFonts w:ascii="Arial" w:hAnsi="Arial" w:cs="Arial"/>
          <w:lang w:val="en-GB"/>
        </w:rPr>
        <w:instrText xml:space="preserve"> ADDIN ZOTERO_ITEM CSL_CITATION {"citationID":"SJLGl8AR","properties":{"formattedCitation":"(Almeida et al. 2020)","plainCitation":"(Almeida et al. 2020)","noteIndex":0},"citationItems":[{"id":2120,"uris":["http://zotero.org/users/16508355/items/XHJZPEX4"],"itemData":{"id":2120,"type":"article-journal","abstract":"Tungsten is a critical raw material for European and U.S. economies. Tungsten mine residues, usually considered an environmental burden due to e.g. arsenic content, are also secondary tungsten resources. The electrodialytic (ED) process and deep eutectic solvents (DES) have been successfully and independently applied for the extraction of metals from different complex environmental matrices. In this study a proof of concept demonstrates that coupling DES in a two-compartment ED set-up enhances the removal and separation of arsenic and tungsten from Panasqueira mine secondary resources. Choline chloride with malonic acid (1:2), and choline chloride with oxalic acid (1:1) were the DES that in batch extracted the average maximum contents of arsenic (16%) and tungsten (9%) from the residues. However, when ED was operated at a current intensity of 100 mA for 4 days, the extraction yields increased 22% for arsenic and 11% for tungsten, comparing to the tests with no current. From the total arsenic and tungsten extracted, 82% and 77% respectively were successfully removed from the matrix compartment, as they electromigrated to the anolyte compartment, from where these elements can be further separated. This achievement potentiates circular economy, as the final treated residue could be incorporated in construction materials production, mitigating current environmental problems in both mining and construction sectors.","container-title":"Science of The Total Environment","DOI":"10.1016/j.scitotenv.2019.136364","ISSN":"0048-9697","journalAbbreviation":"Science of The Total Environment","page":"136364","source":"ScienceDirect","title":"Electrodialytic removal of tungsten and arsenic from secondary mine resources — Deep eutectic solvents enhancement","volume":"710","author":[{"family":"Almeida","given":"J."},{"family":"Craveiro","given":"R."},{"family":"Faria","given":"P."},{"family":"Silva","given":"A. S."},{"family":"Mateus","given":"E. P."},{"family":"Barreiros","given":"S."},{"family":"Paiva","given":"A."},{"family":"Ribeiro","given":"A. B."}],"issued":{"date-parts":[["2020",3,25]]}}}],"schema":"https://github.com/citation-style-language/schema/raw/master/csl-citation.json"} </w:instrText>
      </w:r>
      <w:r w:rsidRPr="004A1F69">
        <w:rPr>
          <w:rFonts w:ascii="Arial" w:hAnsi="Arial" w:cs="Arial"/>
        </w:rPr>
        <w:fldChar w:fldCharType="separate"/>
      </w:r>
      <w:r w:rsidR="008822D8" w:rsidRPr="008822D8">
        <w:rPr>
          <w:rFonts w:ascii="Arial" w:hAnsi="Arial" w:cs="Arial"/>
          <w:lang w:val="en-GB"/>
        </w:rPr>
        <w:t>(Almeida et al. 2020)</w:t>
      </w:r>
      <w:r w:rsidRPr="004A1F69">
        <w:rPr>
          <w:rFonts w:ascii="Arial" w:hAnsi="Arial" w:cs="Arial"/>
        </w:rPr>
        <w:fldChar w:fldCharType="end"/>
      </w:r>
      <w:r w:rsidRPr="0004612D">
        <w:rPr>
          <w:rFonts w:ascii="Arial" w:hAnsi="Arial" w:cs="Arial"/>
          <w:lang w:val="en-GB"/>
        </w:rPr>
        <w:t>.</w:t>
      </w:r>
    </w:p>
    <w:p w14:paraId="1B78C59F" w14:textId="67035F40" w:rsidR="0004612D" w:rsidRPr="0004612D" w:rsidRDefault="0004612D" w:rsidP="0004612D">
      <w:pPr>
        <w:spacing w:line="360" w:lineRule="auto"/>
        <w:jc w:val="both"/>
        <w:rPr>
          <w:rFonts w:ascii="Arial" w:hAnsi="Arial" w:cs="Arial"/>
          <w:lang w:val="en-GB"/>
        </w:rPr>
      </w:pPr>
      <w:r w:rsidRPr="0004612D">
        <w:rPr>
          <w:rFonts w:ascii="Arial" w:hAnsi="Arial" w:cs="Arial"/>
          <w:lang w:val="en-GB"/>
        </w:rPr>
        <w:t>Scheelite can be processed to remove As and extract W through the formation and selective decomposition of arsenotungstic acid. The ore is leached with an H</w:t>
      </w:r>
      <w:r w:rsidRPr="0004612D">
        <w:rPr>
          <w:rFonts w:ascii="Cambria Math" w:hAnsi="Cambria Math" w:cs="Cambria Math"/>
          <w:lang w:val="en-GB"/>
        </w:rPr>
        <w:t>₃</w:t>
      </w:r>
      <w:r w:rsidRPr="0004612D">
        <w:rPr>
          <w:rFonts w:ascii="Arial" w:hAnsi="Arial" w:cs="Arial"/>
          <w:lang w:val="en-GB"/>
        </w:rPr>
        <w:t>AsO</w:t>
      </w:r>
      <w:r w:rsidRPr="0004612D">
        <w:rPr>
          <w:rFonts w:ascii="Cambria Math" w:hAnsi="Cambria Math" w:cs="Cambria Math"/>
          <w:lang w:val="en-GB"/>
        </w:rPr>
        <w:t>₄</w:t>
      </w:r>
      <w:r w:rsidRPr="0004612D">
        <w:rPr>
          <w:rFonts w:ascii="Arial" w:hAnsi="Arial" w:cs="Arial"/>
          <w:lang w:val="en-GB"/>
        </w:rPr>
        <w:t>–H</w:t>
      </w:r>
      <w:r w:rsidRPr="0004612D">
        <w:rPr>
          <w:rFonts w:ascii="Cambria Math" w:hAnsi="Cambria Math" w:cs="Cambria Math"/>
          <w:lang w:val="en-GB"/>
        </w:rPr>
        <w:t>₂</w:t>
      </w:r>
      <w:r w:rsidRPr="0004612D">
        <w:rPr>
          <w:rFonts w:ascii="Arial" w:hAnsi="Arial" w:cs="Arial"/>
          <w:lang w:val="en-GB"/>
        </w:rPr>
        <w:t>SO</w:t>
      </w:r>
      <w:r w:rsidRPr="0004612D">
        <w:rPr>
          <w:rFonts w:ascii="Cambria Math" w:hAnsi="Cambria Math" w:cs="Cambria Math"/>
          <w:lang w:val="en-GB"/>
        </w:rPr>
        <w:t>₄</w:t>
      </w:r>
      <w:r w:rsidRPr="0004612D">
        <w:rPr>
          <w:rFonts w:ascii="Arial" w:hAnsi="Arial" w:cs="Arial"/>
          <w:lang w:val="en-GB"/>
        </w:rPr>
        <w:t xml:space="preserve"> solution to form arsenotungstic acid, achieving a 99.9% W leaching rate. This acid is then selectively extracted using dodecanol and the resulting organic phase can be stripped with hot water to produce a pure solution. This solution reacts with ammonium to form ammonium arsenotungstate (AAT). Reducing AAT with hydrogen allows the As to volatilise and condense into elemental As, while the W is recovered as an ultrafine powder </w:t>
      </w:r>
      <w:r>
        <w:rPr>
          <w:rFonts w:ascii="Arial" w:hAnsi="Arial" w:cs="Arial"/>
        </w:rPr>
        <w:fldChar w:fldCharType="begin"/>
      </w:r>
      <w:r w:rsidR="008822D8">
        <w:rPr>
          <w:rFonts w:ascii="Arial" w:hAnsi="Arial" w:cs="Arial"/>
          <w:lang w:val="en-GB"/>
        </w:rPr>
        <w:instrText xml:space="preserve"> ADDIN ZOTERO_ITEM CSL_CITATION {"citationID":"uL3trnhV","properties":{"formattedCitation":"(Cao et al. 2024)","plainCitation":"(Cao et al. 2024)","noteIndex":0},"citationItems":[{"id":2139,"uris":["http://zotero.org/users/16508355/items/P3Y6KTHA"],"itemData":{"id":2139,"type":"article-journal","abstract":"Arsenic is an accompanying element in sulfide minerals and distributed in dusts, solutions and slags during the metallurgical process. Particularly, arsenic removal from acidic solutions has long challenged hydrometallurgy. Herein, an integrated technology for arsenic removal and tungsten extraction based on the formation and decomposition of arsenotungstic acid is proposed. By leaching scheelite with H3AsO4-H2SO4 solution, arsenotungstic acid was formed with a tungsten leaching rate of 99.9 %. The arsenic content in the resulting gypsum was 0.003 wt%, which was lower than the initial 0.2 wt% in scheelite. Afterwards, the arsenotungstic acid can be selectively extracted by dodecanol, and the extraction rate increases with decreasing temperature and increasing acidity. It is also for this reason that the loaded organic phase can be easily stripped with hot water above 70 °C to obtain a pure arsenotungstic acid solution. When arsenotungstic acid reacted with ammonium, the resulting AAT precipitate has a particle size of less than 2 µm, which is much smaller than that of conventional ammonium paratungstate and reaches the ultrafine level. In the hydrogen reduction process of ammonium arsenotungstate, arsenic had an inhibitory effect on the growth of tungsten grains, resulting in the formation of tungsten powder with nanograins. Meanwhile, arsenic was reduced, volatilized, and finally condensed into elemental arsenic with metallic luster. The arsenic content in tungsten powder was 0.009 wt%, and the arsenic removal rate was 99.7 %. This work utilized arsenic acid and sulfuric acid as leaching agents for scheelite, and finally prepared two products of ultrafine tungsten powder and elemental arsenic, which provided a new approach for arsenic removal from highly acidic solutions and resource utilization of waste arsenic acid solution.","container-title":"Chemical Engineering Journal","DOI":"10.1016/j.cej.2024.156963","ISSN":"1385-8947","journalAbbreviation":"Chemical Engineering Journal","page":"156963","source":"ScienceDirect","title":"Study on the integrated technology of arsenic removal and tungsten extraction based on the formation and decomposition of arsenotungstic acid","volume":"499","author":[{"family":"Cao","given":"Caifang"},{"family":"Fu","given":"Ailin"},{"family":"Mai","given":"Qiuxian"},{"family":"Li","given":"Yong"},{"family":"Nie","given":"Huaping"},{"family":"Wang","given":"Jian"},{"family":"Gong","given":"Dandan"},{"family":"Qiu","given":"Xiaochen"}],"issued":{"date-parts":[["2024",11,1]]}}}],"schema":"https://github.com/citation-style-language/schema/raw/master/csl-citation.json"} </w:instrText>
      </w:r>
      <w:r>
        <w:rPr>
          <w:rFonts w:ascii="Arial" w:hAnsi="Arial" w:cs="Arial"/>
        </w:rPr>
        <w:fldChar w:fldCharType="separate"/>
      </w:r>
      <w:r w:rsidR="008822D8" w:rsidRPr="008822D8">
        <w:rPr>
          <w:rFonts w:ascii="Arial" w:hAnsi="Arial" w:cs="Arial"/>
          <w:lang w:val="en-GB"/>
        </w:rPr>
        <w:t>(Cao et al. 2024)</w:t>
      </w:r>
      <w:r>
        <w:rPr>
          <w:rFonts w:ascii="Arial" w:hAnsi="Arial" w:cs="Arial"/>
        </w:rPr>
        <w:fldChar w:fldCharType="end"/>
      </w:r>
      <w:r w:rsidRPr="0004612D">
        <w:rPr>
          <w:rFonts w:ascii="Arial" w:hAnsi="Arial" w:cs="Arial"/>
          <w:lang w:val="en-GB"/>
        </w:rPr>
        <w:t>.</w:t>
      </w:r>
    </w:p>
    <w:p w14:paraId="3BBB98BA" w14:textId="7BE2A4DE" w:rsidR="0004612D" w:rsidRDefault="0004612D" w:rsidP="004547A5">
      <w:pPr>
        <w:spacing w:line="360" w:lineRule="auto"/>
        <w:jc w:val="both"/>
        <w:rPr>
          <w:rFonts w:ascii="Arial" w:hAnsi="Arial" w:cs="Arial"/>
          <w:lang w:val="en-GB"/>
        </w:rPr>
      </w:pPr>
      <w:r w:rsidRPr="0004612D">
        <w:rPr>
          <w:rFonts w:ascii="Arial" w:hAnsi="Arial" w:cs="Arial"/>
          <w:lang w:val="en-GB"/>
        </w:rPr>
        <w:t>Tungsten residue waste (TRW) can be treated via a hydrometallurgical process involving alkaline pressure oxidation leaching. In TRW, As primarily occurs as arsenopyrite (FeAsS), co-precipitated with Mn(II) oxides and encapsulated in Fe–Mn oxides, while W is uniformly distributed within the same matrices. Leaching under optimized conditions (NaOH 60–90 g/L, 140–200 °C, 0.5–0.9 MPa O</w:t>
      </w:r>
      <w:r w:rsidRPr="0004612D">
        <w:rPr>
          <w:rFonts w:ascii="Cambria Math" w:hAnsi="Cambria Math" w:cs="Cambria Math"/>
          <w:lang w:val="en-GB"/>
        </w:rPr>
        <w:t>₂</w:t>
      </w:r>
      <w:r w:rsidRPr="0004612D">
        <w:rPr>
          <w:rFonts w:ascii="Arial" w:hAnsi="Arial" w:cs="Arial"/>
          <w:lang w:val="en-GB"/>
        </w:rPr>
        <w:t>) enables selective dissolution of As and W, achieving efficiencies of approximately 97% and 82%, respectively.</w:t>
      </w:r>
      <w:r w:rsidRPr="0004612D">
        <w:rPr>
          <w:lang w:val="en-GB"/>
        </w:rPr>
        <w:t xml:space="preserve"> </w:t>
      </w:r>
      <w:r w:rsidRPr="0004612D">
        <w:rPr>
          <w:rFonts w:ascii="Arial" w:hAnsi="Arial" w:cs="Arial"/>
          <w:lang w:val="en-GB"/>
        </w:rPr>
        <w:t>The leach solution is then subjected to solvent extraction with Alamine 336 to effectively separate W and As. W is almost completely recovered as pure sodium tungstate, while As remains in the raffinate, is reduced with SO</w:t>
      </w:r>
      <w:r w:rsidRPr="0004612D">
        <w:rPr>
          <w:rFonts w:ascii="Cambria Math" w:hAnsi="Cambria Math" w:cs="Cambria Math"/>
          <w:lang w:val="en-GB"/>
        </w:rPr>
        <w:t>₂</w:t>
      </w:r>
      <w:r w:rsidRPr="0004612D">
        <w:rPr>
          <w:rFonts w:ascii="Arial" w:hAnsi="Arial" w:cs="Arial"/>
          <w:lang w:val="en-GB"/>
        </w:rPr>
        <w:t>, and finally precipitated as As</w:t>
      </w:r>
      <w:r w:rsidRPr="0004612D">
        <w:rPr>
          <w:rFonts w:ascii="Cambria Math" w:hAnsi="Cambria Math" w:cs="Cambria Math"/>
          <w:lang w:val="en-GB"/>
        </w:rPr>
        <w:t>₂</w:t>
      </w:r>
      <w:r w:rsidRPr="0004612D">
        <w:rPr>
          <w:rFonts w:ascii="Arial" w:hAnsi="Arial" w:cs="Arial"/>
          <w:lang w:val="en-GB"/>
        </w:rPr>
        <w:t>S</w:t>
      </w:r>
      <w:r w:rsidRPr="0004612D">
        <w:rPr>
          <w:rFonts w:ascii="Cambria Math" w:hAnsi="Cambria Math" w:cs="Cambria Math"/>
          <w:lang w:val="en-GB"/>
        </w:rPr>
        <w:t>₃</w:t>
      </w:r>
      <w:r w:rsidRPr="0004612D">
        <w:rPr>
          <w:rFonts w:ascii="Arial" w:hAnsi="Arial" w:cs="Arial"/>
          <w:lang w:val="en-GB"/>
        </w:rPr>
        <w:t xml:space="preserve"> </w:t>
      </w:r>
      <w:r w:rsidR="008822D8">
        <w:rPr>
          <w:rFonts w:ascii="Arial" w:hAnsi="Arial" w:cs="Arial"/>
          <w:lang w:val="en-GB"/>
        </w:rPr>
        <w:fldChar w:fldCharType="begin"/>
      </w:r>
      <w:r w:rsidR="008822D8">
        <w:rPr>
          <w:rFonts w:ascii="Arial" w:hAnsi="Arial" w:cs="Arial"/>
          <w:lang w:val="en-GB"/>
        </w:rPr>
        <w:instrText xml:space="preserve"> ADDIN ZOTERO_ITEM CSL_CITATION {"citationID":"yqqDzoY6","properties":{"unsorted":false,"formattedCitation":"(Wu et al. 2023)","plainCitation":"(Wu et al. 2023)","noteIndex":0},"citationItems":[{"id":2185,"uris":["http://zotero.org/users/16508355/items/CNPSZNWR"],"itemData":{"id":2185,"type":"article-journal","abstract":"Tungsten residue waste (TRW) has been recognized as a hazardous solid waste by Chinese government due to its high As content and leaching toxicity. This paper presents a green full process for efficient arsenic removal and tungsten recovery from hazardous TRW, focusing on the separation and recovery of arsenic and tungsten from leach solution of TRW via solvent extraction with N235 followed by H2S precipitation. The results showed that the W recovery was nearly 100% and As, Si, S removal was 96.68%, 86.93% and 99.73%, respectively, under optimized conditions. Most of the As(</w:instrText>
      </w:r>
      <w:r w:rsidR="008822D8">
        <w:rPr>
          <w:rFonts w:ascii="MS Gothic" w:eastAsia="MS Gothic" w:hAnsi="MS Gothic" w:cs="MS Gothic" w:hint="eastAsia"/>
          <w:lang w:val="en-GB"/>
        </w:rPr>
        <w:instrText>Ⅲ</w:instrText>
      </w:r>
      <w:r w:rsidR="008822D8">
        <w:rPr>
          <w:rFonts w:ascii="Arial" w:hAnsi="Arial" w:cs="Arial"/>
          <w:lang w:val="en-GB"/>
        </w:rPr>
        <w:instrText>) is extracted in the organic phase as H3AsO3 through hydrogen bonding. During the oxidative scrrubbing process, most of As(</w:instrText>
      </w:r>
      <w:r w:rsidR="008822D8">
        <w:rPr>
          <w:rFonts w:ascii="MS Gothic" w:eastAsia="MS Gothic" w:hAnsi="MS Gothic" w:cs="MS Gothic" w:hint="eastAsia"/>
          <w:lang w:val="en-GB"/>
        </w:rPr>
        <w:instrText>Ⅲ</w:instrText>
      </w:r>
      <w:r w:rsidR="008822D8">
        <w:rPr>
          <w:rFonts w:ascii="Arial" w:hAnsi="Arial" w:cs="Arial"/>
          <w:lang w:val="en-GB"/>
        </w:rPr>
        <w:instrText>) was oxidized to As(</w:instrText>
      </w:r>
      <w:r w:rsidR="008822D8">
        <w:rPr>
          <w:rFonts w:ascii="MS Gothic" w:eastAsia="MS Gothic" w:hAnsi="MS Gothic" w:cs="MS Gothic" w:hint="eastAsia"/>
          <w:lang w:val="en-GB"/>
        </w:rPr>
        <w:instrText>Ⅴ</w:instrText>
      </w:r>
      <w:r w:rsidR="008822D8">
        <w:rPr>
          <w:rFonts w:ascii="Arial" w:hAnsi="Arial" w:cs="Arial"/>
          <w:lang w:val="en-GB"/>
        </w:rPr>
        <w:instrText>) and scrubbed. As(</w:instrText>
      </w:r>
      <w:r w:rsidR="008822D8">
        <w:rPr>
          <w:rFonts w:ascii="MS Gothic" w:eastAsia="MS Gothic" w:hAnsi="MS Gothic" w:cs="MS Gothic" w:hint="eastAsia"/>
          <w:lang w:val="en-GB"/>
        </w:rPr>
        <w:instrText>Ⅴ</w:instrText>
      </w:r>
      <w:r w:rsidR="008822D8">
        <w:rPr>
          <w:rFonts w:ascii="Arial" w:hAnsi="Arial" w:cs="Arial"/>
          <w:lang w:val="en-GB"/>
        </w:rPr>
        <w:instrText>) in the scrubbed organic phase mainly existed in the form of [As2W18O62]6-. The arsenic (</w:instrText>
      </w:r>
      <w:r w:rsidR="008822D8">
        <w:rPr>
          <w:rFonts w:ascii="Cambria Math" w:hAnsi="Cambria Math" w:cs="Cambria Math"/>
          <w:lang w:val="en-GB"/>
        </w:rPr>
        <w:instrText>∼</w:instrText>
      </w:r>
      <w:r w:rsidR="008822D8">
        <w:rPr>
          <w:rFonts w:ascii="Arial" w:hAnsi="Arial" w:cs="Arial"/>
          <w:lang w:val="en-GB"/>
        </w:rPr>
        <w:instrText xml:space="preserve">26 g/L) in the raffinate was then completely removed by sulfide precipitation with 99.6% of As precipitation. The arsenic precipitation slag was a mixture of As2S3 and S with a mole ratio close to 1:1. The arsenic precipitation mother liquor was first cooled and crystallized, followed by causticization with lime to a NaOH concentration of 70 g/L, which can be used for the leaching of hazardous TRW. A green process of TRW harmless treatment and W recovery was proposed, and the flow of As and W in the process was analyzed. The closed-loop strategy shows great promise for the harmless treatment and tungsten recovery of TRW on an industrial scale to promote circular economy and environmental protection.","container-title":"Journal of Environmental Chemical Engineering","DOI":"10.1016/j.jece.2023.110952","ISSN":"2213-3437","issue":"5","journalAbbreviation":"Journal of Environmental Chemical Engineering","page":"110952","source":"ScienceDirect","title":"A green process for arsenic removal and tungsten recovery from tungsten residue waste: Focused on the separation and recovery of arsenic and tungsten via solvent extraction followed by H2S precipitation","title-short":"A green process for arsenic removal and tungsten recovery from tungsten residue waste","volume":"11","author":[{"family":"Wu","given":"Xinsheng"},{"family":"Qing","given":"Jialin"},{"family":"Li","given":"Jia"},{"family":"Zhang","given":"Guiqing"},{"family":"Wu","given":"Shengxi"},{"family":"Zeng","given":"Li"},{"family":"Li","given":"Qinggang"},{"family":"Cao","given":"Zuoying"},{"family":"Wang","given":"Mingyu"},{"family":"Guan","given":"Wenjuan"}],"issued":{"date-parts":[["2023",10,1]]}}}],"schema":"https://github.com/citation-style-language/schema/raw/master/csl-citation.json"} </w:instrText>
      </w:r>
      <w:r w:rsidR="008822D8">
        <w:rPr>
          <w:rFonts w:ascii="Arial" w:hAnsi="Arial" w:cs="Arial"/>
          <w:lang w:val="en-GB"/>
        </w:rPr>
        <w:fldChar w:fldCharType="separate"/>
      </w:r>
      <w:r w:rsidR="008822D8" w:rsidRPr="008822D8">
        <w:rPr>
          <w:rFonts w:ascii="Arial" w:hAnsi="Arial" w:cs="Arial"/>
          <w:lang w:val="en-GB"/>
        </w:rPr>
        <w:t>(Wu et al. 2023)</w:t>
      </w:r>
      <w:r w:rsidR="008822D8">
        <w:rPr>
          <w:rFonts w:ascii="Arial" w:hAnsi="Arial" w:cs="Arial"/>
          <w:lang w:val="en-GB"/>
        </w:rPr>
        <w:fldChar w:fldCharType="end"/>
      </w:r>
      <w:r w:rsidRPr="0004612D">
        <w:rPr>
          <w:rFonts w:ascii="Arial" w:hAnsi="Arial" w:cs="Arial"/>
          <w:lang w:val="en-GB"/>
        </w:rPr>
        <w:t>.</w:t>
      </w:r>
    </w:p>
    <w:p w14:paraId="602F49E0" w14:textId="77777777" w:rsidR="00A243EE" w:rsidRPr="004547A5" w:rsidRDefault="00A243EE" w:rsidP="004547A5">
      <w:pPr>
        <w:spacing w:line="360" w:lineRule="auto"/>
        <w:jc w:val="both"/>
        <w:rPr>
          <w:rFonts w:ascii="Arial" w:hAnsi="Arial" w:cs="Arial"/>
          <w:lang w:val="en-GB"/>
        </w:rPr>
      </w:pPr>
    </w:p>
    <w:p w14:paraId="412BC77A" w14:textId="7CB2D58C" w:rsidR="00AE1420" w:rsidRPr="00B0195E" w:rsidRDefault="008A5B2C" w:rsidP="00AE1420">
      <w:pPr>
        <w:rPr>
          <w:b/>
          <w:bCs/>
          <w:lang w:val="en-GB"/>
        </w:rPr>
      </w:pPr>
      <w:r w:rsidRPr="00B0195E">
        <w:rPr>
          <w:b/>
          <w:bCs/>
          <w:lang w:val="en-GB"/>
        </w:rPr>
        <w:t>References</w:t>
      </w:r>
    </w:p>
    <w:p w14:paraId="3A9E25A9" w14:textId="77777777" w:rsidR="00152F56" w:rsidRPr="00152F56" w:rsidRDefault="00AE1420" w:rsidP="00152F56">
      <w:pPr>
        <w:pStyle w:val="Bibliografia"/>
        <w:rPr>
          <w:lang w:val="en-GB"/>
        </w:rPr>
      </w:pPr>
      <w:r>
        <w:rPr>
          <w:lang w:val="en-GB"/>
        </w:rPr>
        <w:fldChar w:fldCharType="begin"/>
      </w:r>
      <w:r w:rsidR="00152F56" w:rsidRPr="00152F56">
        <w:rPr>
          <w:lang w:val="en-GB"/>
        </w:rPr>
        <w:instrText xml:space="preserve"> ADDIN ZOTERO_BIBL {"uncited":[],"omitted":[],"custom":[]} CSL_BIBLIOGRAPHY </w:instrText>
      </w:r>
      <w:r>
        <w:rPr>
          <w:lang w:val="en-GB"/>
        </w:rPr>
        <w:fldChar w:fldCharType="separate"/>
      </w:r>
      <w:r w:rsidR="00152F56" w:rsidRPr="00152F56">
        <w:rPr>
          <w:lang w:val="en-GB"/>
        </w:rPr>
        <w:t>Abaka-Wood GB, Addai-Mensah Jonas, and Skinner W (2022) The Use of Mining Tailings as Analog of Rare Earth Elements Resources: Part 1 – Characterization and Preliminary Separation. Miner Process Extr Metall Rev 43:701–715. https://doi.org/10.1080/08827508.2021.1920410</w:t>
      </w:r>
    </w:p>
    <w:p w14:paraId="6017A7D3" w14:textId="77777777" w:rsidR="00152F56" w:rsidRPr="00152F56" w:rsidRDefault="00152F56" w:rsidP="00152F56">
      <w:pPr>
        <w:pStyle w:val="Bibliografia"/>
        <w:rPr>
          <w:lang w:val="en-GB"/>
        </w:rPr>
      </w:pPr>
      <w:r w:rsidRPr="00152F56">
        <w:rPr>
          <w:lang w:val="en-GB"/>
        </w:rPr>
        <w:t>Almeida J, Craveiro R, Faria P, et al (2020) Electrodialytic removal of tungsten and arsenic from secondary mine resources — Deep eutectic solvents enhancement. Sci Total Environ 710:136364. https://doi.org/10.1016/j.scitotenv.2019.136364</w:t>
      </w:r>
    </w:p>
    <w:p w14:paraId="068E24EB" w14:textId="77777777" w:rsidR="00152F56" w:rsidRPr="00152F56" w:rsidRDefault="00152F56" w:rsidP="00152F56">
      <w:pPr>
        <w:pStyle w:val="Bibliografia"/>
        <w:rPr>
          <w:lang w:val="en-GB"/>
        </w:rPr>
      </w:pPr>
      <w:r w:rsidRPr="00152F56">
        <w:rPr>
          <w:lang w:val="en-GB"/>
        </w:rPr>
        <w:t>Cao C, Fu A, Mai Q, et al (2024) Study on the integrated technology of arsenic removal and tungsten extraction based on the formation and decomposition of arsenotungstic acid. Chem Eng J 499:156963. https://doi.org/10.1016/j.cej.2024.156963</w:t>
      </w:r>
    </w:p>
    <w:p w14:paraId="162B07FE" w14:textId="77777777" w:rsidR="00152F56" w:rsidRPr="00152F56" w:rsidRDefault="00152F56" w:rsidP="00152F56">
      <w:pPr>
        <w:pStyle w:val="Bibliografia"/>
        <w:rPr>
          <w:lang w:val="en-GB"/>
        </w:rPr>
      </w:pPr>
      <w:r w:rsidRPr="00152F56">
        <w:rPr>
          <w:lang w:val="en-GB"/>
        </w:rPr>
        <w:t>Choi J, Lee E, Choi SQ, et al (2016) Arsenic removal from contaminated soils for recycling via oil agglomerate flotation. Chem Eng J 285:207–217. https://doi.org/10.1016/j.cej.2015.09.105</w:t>
      </w:r>
    </w:p>
    <w:p w14:paraId="0BDE4CBB" w14:textId="77777777" w:rsidR="00152F56" w:rsidRPr="00152F56" w:rsidRDefault="00152F56" w:rsidP="00152F56">
      <w:pPr>
        <w:pStyle w:val="Bibliografia"/>
        <w:rPr>
          <w:lang w:val="en-GB"/>
        </w:rPr>
      </w:pPr>
      <w:r w:rsidRPr="00152F56">
        <w:rPr>
          <w:lang w:val="en-GB"/>
        </w:rPr>
        <w:t>Clemente D, Newling P, Botelho de Sousa A, et al (1993) Reprocessing slimes tailings from a tungsten mine. Miner Eng 6:831–839. https://doi.org/10.1016/0892-6875(93)90057-T</w:t>
      </w:r>
    </w:p>
    <w:p w14:paraId="6A3250E9" w14:textId="77777777" w:rsidR="00152F56" w:rsidRPr="00152F56" w:rsidRDefault="00152F56" w:rsidP="00152F56">
      <w:pPr>
        <w:pStyle w:val="Bibliografia"/>
        <w:rPr>
          <w:lang w:val="en-GB"/>
        </w:rPr>
      </w:pPr>
      <w:r w:rsidRPr="00152F56">
        <w:rPr>
          <w:lang w:val="en-GB"/>
        </w:rPr>
        <w:lastRenderedPageBreak/>
        <w:t>Corchado-Albelo JL, Alagha L (2023) Studies on the Enrichment Feasibility of Rare Earth-Bearing Minerals in Mine Tailings. Minerals 13:301. https://doi.org/10.3390/min13030301</w:t>
      </w:r>
    </w:p>
    <w:p w14:paraId="2756F694" w14:textId="77777777" w:rsidR="00152F56" w:rsidRPr="00152F56" w:rsidRDefault="00152F56" w:rsidP="00152F56">
      <w:pPr>
        <w:pStyle w:val="Bibliografia"/>
        <w:rPr>
          <w:lang w:val="en-GB"/>
        </w:rPr>
      </w:pPr>
      <w:r w:rsidRPr="00152F56">
        <w:rPr>
          <w:lang w:val="en-GB"/>
        </w:rPr>
        <w:t>Córdoba P, Mayor L, Espí JJ, Licon E (2026) Addressing sustainability trade-offs in critical raw material recovery from metallurgical residues: An integrated environmental–economic–strategic framework. Clean Eng Technol 32:101226. https://doi.org/10.1016/j.clet.2026.101226</w:t>
      </w:r>
    </w:p>
    <w:p w14:paraId="4E3E4FE0" w14:textId="77777777" w:rsidR="00152F56" w:rsidRPr="00152F56" w:rsidRDefault="00152F56" w:rsidP="00152F56">
      <w:pPr>
        <w:pStyle w:val="Bibliografia"/>
        <w:rPr>
          <w:lang w:val="en-GB"/>
        </w:rPr>
      </w:pPr>
      <w:r w:rsidRPr="00152F56">
        <w:rPr>
          <w:lang w:val="en-GB"/>
        </w:rPr>
        <w:t>Dembele S, Akcil A, Panda S (2022) Technological trends, emerging applications and metallurgical strategies in antimony recovery from stibnite. Miner Eng 175:107304. https://doi.org/10.1016/j.mineng.2021.107304</w:t>
      </w:r>
    </w:p>
    <w:p w14:paraId="478B227C" w14:textId="77777777" w:rsidR="00152F56" w:rsidRPr="00152F56" w:rsidRDefault="00152F56" w:rsidP="00152F56">
      <w:pPr>
        <w:pStyle w:val="Bibliografia"/>
        <w:rPr>
          <w:lang w:val="en-GB"/>
        </w:rPr>
      </w:pPr>
      <w:r w:rsidRPr="00152F56">
        <w:rPr>
          <w:lang w:val="en-GB"/>
        </w:rPr>
        <w:t>Dembele S, Akcil A, Panda S (2024) Investigation of the characteristics of stibnite (Sb2S3) flotation tailings and extraction of critical metals (Sb and As): Optimization and scale-up. Miner Eng 216:108883. https://doi.org/10.1016/j.mineng.2024.108883</w:t>
      </w:r>
    </w:p>
    <w:p w14:paraId="3FB6CE48" w14:textId="77777777" w:rsidR="00152F56" w:rsidRPr="00152F56" w:rsidRDefault="00152F56" w:rsidP="00152F56">
      <w:pPr>
        <w:pStyle w:val="Bibliografia"/>
        <w:rPr>
          <w:lang w:val="en-GB"/>
        </w:rPr>
      </w:pPr>
      <w:r w:rsidRPr="00152F56">
        <w:rPr>
          <w:lang w:val="en-GB"/>
        </w:rPr>
        <w:t>Dupont D, Arnout S, Jones PT, Binnemans K (2016) Antimony Recovery from End-of-Life Products and Industrial Process Residues: A Critical Review. J Sustain Metall 2:79–103. https://doi.org/10.1007/s40831-016-0043-y</w:t>
      </w:r>
    </w:p>
    <w:p w14:paraId="631474D3" w14:textId="77777777" w:rsidR="00152F56" w:rsidRPr="00152F56" w:rsidRDefault="00152F56" w:rsidP="00152F56">
      <w:pPr>
        <w:pStyle w:val="Bibliografia"/>
        <w:rPr>
          <w:lang w:val="en-GB"/>
        </w:rPr>
      </w:pPr>
      <w:r w:rsidRPr="00152F56">
        <w:rPr>
          <w:lang w:val="en-GB"/>
        </w:rPr>
        <w:t>Echeverry-Vargas L, Ocampo-Carmona LM (2022) Recovery of Rare Earth Elements from Mining Tailings: A Case Study for Generating Wealth from Waste. Minerals 12:. https://doi.org/10.3390/min12080948</w:t>
      </w:r>
    </w:p>
    <w:p w14:paraId="22D2A63C" w14:textId="77777777" w:rsidR="00152F56" w:rsidRPr="00152F56" w:rsidRDefault="00152F56" w:rsidP="00152F56">
      <w:pPr>
        <w:pStyle w:val="Bibliografia"/>
        <w:rPr>
          <w:lang w:val="en-GB"/>
        </w:rPr>
      </w:pPr>
      <w:r w:rsidRPr="00152F56">
        <w:rPr>
          <w:lang w:val="en-GB"/>
        </w:rPr>
        <w:t>European Commission: Directorate-General for Internal Market I Entrepreneurship and SMEs, Blengini GA, El Latunussa C, et al (2020) Study on the EU’s list of critical raw materials (2020) – Final report. Publications Office of the European Union</w:t>
      </w:r>
    </w:p>
    <w:p w14:paraId="06400EA3" w14:textId="77777777" w:rsidR="00152F56" w:rsidRPr="00152F56" w:rsidRDefault="00152F56" w:rsidP="00152F56">
      <w:pPr>
        <w:pStyle w:val="Bibliografia"/>
        <w:rPr>
          <w:lang w:val="en-GB"/>
        </w:rPr>
      </w:pPr>
      <w:r w:rsidRPr="00152F56">
        <w:rPr>
          <w:lang w:val="en-GB"/>
        </w:rPr>
        <w:t>Figueiredo J, Vila MC, Góis J, et al (2019) Bi-level depth assessment of an abandoned tailings dam aiming its reprocessing for recovery of valuable metals. Miner Eng 133:1–9. https://doi.org/10.1016/j.mineng.2018.12.016</w:t>
      </w:r>
    </w:p>
    <w:p w14:paraId="627E3797" w14:textId="77777777" w:rsidR="00152F56" w:rsidRPr="00152F56" w:rsidRDefault="00152F56" w:rsidP="00152F56">
      <w:pPr>
        <w:pStyle w:val="Bibliografia"/>
        <w:rPr>
          <w:lang w:val="en-GB"/>
        </w:rPr>
      </w:pPr>
      <w:r w:rsidRPr="00152F56">
        <w:rPr>
          <w:lang w:val="en-GB"/>
        </w:rPr>
        <w:t>Fleming P, Orrego P, Pinilla F (2021) Recovery of Rare Earth Elements Present in Mining Tails, by Leaching with Nitric and Hydrochloric Solutions. World J Nucl Sci Technol 11:1–16. https://doi.org/10.4236/wjnst.2021.111001</w:t>
      </w:r>
    </w:p>
    <w:p w14:paraId="1F27746C" w14:textId="77777777" w:rsidR="00152F56" w:rsidRPr="00152F56" w:rsidRDefault="00152F56" w:rsidP="00152F56">
      <w:pPr>
        <w:pStyle w:val="Bibliografia"/>
        <w:rPr>
          <w:lang w:val="en-GB"/>
        </w:rPr>
      </w:pPr>
      <w:r w:rsidRPr="00152F56">
        <w:rPr>
          <w:lang w:val="en-GB"/>
        </w:rPr>
        <w:t>Guo X, Wang K, He M, et al (2014) Antimony smelting process generating solid wastes and dust: Characterization and leaching behaviors. J Environ Sci 26:1549–1556. https://doi.org/10.1016/j.jes.2014.05.022</w:t>
      </w:r>
    </w:p>
    <w:p w14:paraId="47AA2189" w14:textId="77777777" w:rsidR="00152F56" w:rsidRPr="00152F56" w:rsidRDefault="00152F56" w:rsidP="00152F56">
      <w:pPr>
        <w:pStyle w:val="Bibliografia"/>
        <w:rPr>
          <w:lang w:val="en-GB"/>
        </w:rPr>
      </w:pPr>
      <w:r w:rsidRPr="00152F56">
        <w:rPr>
          <w:lang w:val="en-GB"/>
        </w:rPr>
        <w:t>Han Z, Edraki M, Golev A (2025) Characterization, potential valuable metals recovery and remediation of historic wolframite mining waste. Sep Purif Technol 354:129009. https://doi.org/10.1016/j.seppur.2024.129009</w:t>
      </w:r>
    </w:p>
    <w:p w14:paraId="64D5577D" w14:textId="77777777" w:rsidR="00152F56" w:rsidRPr="00152F56" w:rsidRDefault="00152F56" w:rsidP="00152F56">
      <w:pPr>
        <w:pStyle w:val="Bibliografia"/>
        <w:rPr>
          <w:lang w:val="en-GB"/>
        </w:rPr>
      </w:pPr>
      <w:r w:rsidRPr="00152F56">
        <w:rPr>
          <w:lang w:val="en-GB"/>
        </w:rPr>
        <w:t>Han Z, Golev A, Edraki M (2021) A Review of Tungsten Resources and Potential Extraction from Mine Waste. Minerals 11:701. https://doi.org/10.3390/min11070701</w:t>
      </w:r>
    </w:p>
    <w:p w14:paraId="678A44A1" w14:textId="77777777" w:rsidR="00152F56" w:rsidRPr="00152F56" w:rsidRDefault="00152F56" w:rsidP="00152F56">
      <w:pPr>
        <w:pStyle w:val="Bibliografia"/>
        <w:rPr>
          <w:lang w:val="en-GB"/>
        </w:rPr>
      </w:pPr>
      <w:r w:rsidRPr="00152F56">
        <w:rPr>
          <w:lang w:val="en-GB"/>
        </w:rPr>
        <w:t>Khmelnitskaya OD, Beskrovnaya VP (2007) A technology of precious metals recovery from gold-bismuth ores. In: Australas. Inst. Min. Metall. Publ. Ser. pp 245–250</w:t>
      </w:r>
    </w:p>
    <w:p w14:paraId="3E77B5BF" w14:textId="77777777" w:rsidR="00152F56" w:rsidRPr="00152F56" w:rsidRDefault="00152F56" w:rsidP="00152F56">
      <w:pPr>
        <w:pStyle w:val="Bibliografia"/>
        <w:rPr>
          <w:lang w:val="en-GB"/>
        </w:rPr>
      </w:pPr>
      <w:r w:rsidRPr="00152F56">
        <w:rPr>
          <w:lang w:val="en-GB"/>
        </w:rPr>
        <w:t>Lemos MG, Valente TM, Marinho Reis AP, et al (2023) Adding Value to Mine Waste through Recovery Au, Sb, and As: The Case of Auriferous Tailings in the Iron Quadrangle, Brazil. Minerals 13:. https://doi.org/10.3390/min13070863</w:t>
      </w:r>
    </w:p>
    <w:p w14:paraId="11843163" w14:textId="77777777" w:rsidR="00152F56" w:rsidRPr="00152F56" w:rsidRDefault="00152F56" w:rsidP="00152F56">
      <w:pPr>
        <w:pStyle w:val="Bibliografia"/>
        <w:rPr>
          <w:lang w:val="en-GB"/>
        </w:rPr>
      </w:pPr>
      <w:r w:rsidRPr="00152F56">
        <w:rPr>
          <w:lang w:val="en-GB"/>
        </w:rPr>
        <w:lastRenderedPageBreak/>
        <w:t>Li L, Gao H, Li J, et al (2025) A new insight into beryllium extraction mechanism from beryllium-containing sludge through key host phase reconstruction and binding energy regulation. J Clean Prod 489:144667. https://doi.org/10.1016/j.jclepro.2025.144667</w:t>
      </w:r>
    </w:p>
    <w:p w14:paraId="17676401" w14:textId="77777777" w:rsidR="00152F56" w:rsidRPr="00152F56" w:rsidRDefault="00152F56" w:rsidP="00152F56">
      <w:pPr>
        <w:pStyle w:val="Bibliografia"/>
        <w:rPr>
          <w:lang w:val="en-GB"/>
        </w:rPr>
      </w:pPr>
      <w:r w:rsidRPr="00152F56">
        <w:rPr>
          <w:lang w:val="en-GB"/>
        </w:rPr>
        <w:t>Lohmeier S, Lottermoser BG, Schirmer T, Fuchsloch W (2021) Reprocessing potential of pegmatite tailings for rare metal extraction and brick fabrication, Uis, Namibia. South Afr J Geol 124:639–662. https://doi.org/10.25131/sajg.124.0015</w:t>
      </w:r>
    </w:p>
    <w:p w14:paraId="74744750" w14:textId="77777777" w:rsidR="00152F56" w:rsidRPr="00152F56" w:rsidRDefault="00152F56" w:rsidP="00152F56">
      <w:pPr>
        <w:pStyle w:val="Bibliografia"/>
        <w:rPr>
          <w:lang w:val="en-GB"/>
        </w:rPr>
      </w:pPr>
      <w:r w:rsidRPr="00152F56">
        <w:rPr>
          <w:lang w:val="en-GB"/>
        </w:rPr>
        <w:t>Long H, Zheng Y, Peng Y, et al (2020) Separation and recovery of arsenic and alkali products during the treatment of antimony smelting residues. Miner Eng 153:106379. https://doi.org/10.1016/j.mineng.2020.106379</w:t>
      </w:r>
    </w:p>
    <w:p w14:paraId="2BE0B6CF" w14:textId="77777777" w:rsidR="00152F56" w:rsidRPr="00152F56" w:rsidRDefault="00152F56" w:rsidP="00152F56">
      <w:pPr>
        <w:pStyle w:val="Bibliografia"/>
        <w:rPr>
          <w:lang w:val="en-GB"/>
        </w:rPr>
      </w:pPr>
      <w:r w:rsidRPr="00152F56">
        <w:rPr>
          <w:lang w:val="en-GB"/>
        </w:rPr>
        <w:t>Luo D, Fernández de Labastida M, Cortina JL, Lopez J (2023) Recovery of antimony and bismuth from arsenic-containing waste streams from the copper electrorefining circuit: An example of promoting critical metals circularity from secondary resources. J Clean Prod 415:137902. https://doi.org/10.1016/j.jclepro.2023.137902</w:t>
      </w:r>
    </w:p>
    <w:p w14:paraId="66D1E8A8" w14:textId="77777777" w:rsidR="00152F56" w:rsidRPr="00152F56" w:rsidRDefault="00152F56" w:rsidP="00152F56">
      <w:pPr>
        <w:pStyle w:val="Bibliografia"/>
        <w:rPr>
          <w:lang w:val="en-GB"/>
        </w:rPr>
      </w:pPr>
      <w:r w:rsidRPr="00152F56">
        <w:rPr>
          <w:lang w:val="en-GB"/>
        </w:rPr>
        <w:t>Multani RS, Feldmann T, Demopoulos GP (2016) Antimony in the metallurgical industry: A review of its chemistry and environmental stabilization options. Hydrometallurgy 164:141–153. https://doi.org/10.1016/j.hydromet.2016.06.014</w:t>
      </w:r>
    </w:p>
    <w:p w14:paraId="1DD75D7C" w14:textId="77777777" w:rsidR="00152F56" w:rsidRPr="00152F56" w:rsidRDefault="00152F56" w:rsidP="00152F56">
      <w:pPr>
        <w:pStyle w:val="Bibliografia"/>
        <w:rPr>
          <w:lang w:val="en-GB"/>
        </w:rPr>
      </w:pPr>
      <w:r w:rsidRPr="00152F56">
        <w:rPr>
          <w:lang w:val="en-GB"/>
        </w:rPr>
        <w:t>Navarro P, Alguacil FJ (2002) Adsorption of antimony and arsenic from a copper electrorefining solution onto activated carbon. Hydrometallurgy 66:101–105. https://doi.org/10.1016/S0304-386X(02)00108-1</w:t>
      </w:r>
    </w:p>
    <w:p w14:paraId="6A2A1976" w14:textId="77777777" w:rsidR="00152F56" w:rsidRPr="00152F56" w:rsidRDefault="00152F56" w:rsidP="00152F56">
      <w:pPr>
        <w:pStyle w:val="Bibliografia"/>
        <w:rPr>
          <w:lang w:val="en-GB"/>
        </w:rPr>
      </w:pPr>
      <w:r w:rsidRPr="00152F56">
        <w:rPr>
          <w:lang w:val="en-GB"/>
        </w:rPr>
        <w:t>Peelman S, Sun Z h. i., Sietsma J, Yang Y (2016) Hydrometallurgical Extraction of Rare Earth Elements From Low Grade Mine Tailings. In: Rare Metal Technology 2016. John Wiley &amp; Sons, Ltd, pp 17–29</w:t>
      </w:r>
    </w:p>
    <w:p w14:paraId="6C1FC5A4" w14:textId="77777777" w:rsidR="00152F56" w:rsidRPr="00152F56" w:rsidRDefault="00152F56" w:rsidP="00152F56">
      <w:pPr>
        <w:pStyle w:val="Bibliografia"/>
        <w:rPr>
          <w:lang w:val="en-GB"/>
        </w:rPr>
      </w:pPr>
      <w:r w:rsidRPr="00152F56">
        <w:rPr>
          <w:lang w:val="en-GB"/>
        </w:rPr>
        <w:t>Radu V-M, Dinca G, Ivanov A-A, et al (2024) New data regarding the identification of critical raw materials recoverable from raw, processed and the waste mining industry materials from Romania. Environ Sci Pollut Res 31:40592–40608. https://doi.org/10.1007/s11356-023-26536-x</w:t>
      </w:r>
    </w:p>
    <w:p w14:paraId="19EE157F" w14:textId="77777777" w:rsidR="00152F56" w:rsidRPr="00152F56" w:rsidRDefault="00152F56" w:rsidP="00152F56">
      <w:pPr>
        <w:pStyle w:val="Bibliografia"/>
        <w:rPr>
          <w:lang w:val="en-GB"/>
        </w:rPr>
      </w:pPr>
      <w:r w:rsidRPr="00152F56">
        <w:rPr>
          <w:lang w:val="en-GB"/>
        </w:rPr>
        <w:t>Reynier N, Gagné-Turcotte R, Coudert L, et al (2021) Bioleaching of Uranium Tailings as Secondary Sources for Rare Earth Elements Production. Minerals 11:302. https://doi.org/10.3390/min11030302</w:t>
      </w:r>
    </w:p>
    <w:p w14:paraId="5DBB78C9" w14:textId="77777777" w:rsidR="00152F56" w:rsidRPr="00152F56" w:rsidRDefault="00152F56" w:rsidP="00152F56">
      <w:pPr>
        <w:pStyle w:val="Bibliografia"/>
        <w:rPr>
          <w:lang w:val="en-GB"/>
        </w:rPr>
      </w:pPr>
      <w:r w:rsidRPr="00152F56">
        <w:rPr>
          <w:lang w:val="en-GB"/>
        </w:rPr>
        <w:t>USGS (2021) Mineral commodity summaries 2021. Reston, VA</w:t>
      </w:r>
    </w:p>
    <w:p w14:paraId="7C159414" w14:textId="77777777" w:rsidR="00152F56" w:rsidRPr="00152F56" w:rsidRDefault="00152F56" w:rsidP="00152F56">
      <w:pPr>
        <w:pStyle w:val="Bibliografia"/>
        <w:rPr>
          <w:lang w:val="en-GB"/>
        </w:rPr>
      </w:pPr>
      <w:r w:rsidRPr="00152F56">
        <w:rPr>
          <w:lang w:val="en-GB"/>
        </w:rPr>
        <w:t>Wu X, Qing J, Li J, et al (2023) A green process for arsenic removal and tungsten recovery from tungsten residue waste: Focused on the separation and recovery of arsenic and tungsten via solvent extraction followed by H2S precipitation. J Environ Chem Eng 11:110952. https://doi.org/10.1016/j.jece.2023.110952</w:t>
      </w:r>
    </w:p>
    <w:p w14:paraId="62DEB408" w14:textId="77777777" w:rsidR="00152F56" w:rsidRPr="00152F56" w:rsidRDefault="00152F56" w:rsidP="00152F56">
      <w:pPr>
        <w:pStyle w:val="Bibliografia"/>
        <w:rPr>
          <w:lang w:val="en-GB"/>
        </w:rPr>
      </w:pPr>
      <w:r w:rsidRPr="00152F56">
        <w:rPr>
          <w:lang w:val="en-GB"/>
        </w:rPr>
        <w:t>Xue J, Long D, Zhong H, et al (2021) Comprehensive recovery of arsenic and antimony from arsenic-rich copper smelter dust. J Hazard Mater 413:125365. https://doi.org/10.1016/j.jhazmat.2021.125365</w:t>
      </w:r>
    </w:p>
    <w:p w14:paraId="14AD7EFC" w14:textId="77777777" w:rsidR="00152F56" w:rsidRPr="00152F56" w:rsidRDefault="00152F56" w:rsidP="00152F56">
      <w:pPr>
        <w:pStyle w:val="Bibliografia"/>
        <w:rPr>
          <w:lang w:val="en-GB"/>
        </w:rPr>
      </w:pPr>
      <w:r w:rsidRPr="00152F56">
        <w:rPr>
          <w:lang w:val="en-GB"/>
        </w:rPr>
        <w:t>Yang K, Qin W, Liu W (2018) Extraction of Metal Arsenic from Waste Sodium Arsenate by Roasting with Charcoal Powder. Metals 8:542. https://doi.org/10.3390/met8070542</w:t>
      </w:r>
    </w:p>
    <w:p w14:paraId="5EED487C" w14:textId="77777777" w:rsidR="00152F56" w:rsidRPr="00152F56" w:rsidRDefault="00152F56" w:rsidP="00152F56">
      <w:pPr>
        <w:pStyle w:val="Bibliografia"/>
      </w:pPr>
      <w:r w:rsidRPr="00152F56">
        <w:rPr>
          <w:lang w:val="en-GB"/>
        </w:rPr>
        <w:t xml:space="preserve">Zhang B, Li Q, Shen W, Min X (2012) Recovery of bismuth and antimony metals from pressure-leaching slag. </w:t>
      </w:r>
      <w:r w:rsidRPr="00152F56">
        <w:t>Rare Met 31:102–106. https://doi.org/10.1007/s12598-012-0471-1</w:t>
      </w:r>
    </w:p>
    <w:p w14:paraId="00970979" w14:textId="11B62DDC" w:rsidR="007F117C" w:rsidRPr="00F83E00" w:rsidRDefault="00AE1420">
      <w:pPr>
        <w:rPr>
          <w:lang w:val="en-GB"/>
        </w:rPr>
      </w:pPr>
      <w:r>
        <w:rPr>
          <w:lang w:val="en-GB"/>
        </w:rPr>
        <w:lastRenderedPageBreak/>
        <w:fldChar w:fldCharType="end"/>
      </w:r>
    </w:p>
    <w:sectPr w:rsidR="007F117C" w:rsidRPr="00F83E00" w:rsidSect="00B8239D">
      <w:footerReference w:type="default" r:id="rId11"/>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F1D3" w14:textId="77777777" w:rsidR="00096E16" w:rsidRDefault="00096E16" w:rsidP="00B8239D">
      <w:pPr>
        <w:spacing w:after="0" w:line="240" w:lineRule="auto"/>
      </w:pPr>
      <w:r>
        <w:separator/>
      </w:r>
    </w:p>
  </w:endnote>
  <w:endnote w:type="continuationSeparator" w:id="0">
    <w:p w14:paraId="02F2B1F9" w14:textId="77777777" w:rsidR="00096E16" w:rsidRDefault="00096E16" w:rsidP="00B8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176739"/>
      <w:docPartObj>
        <w:docPartGallery w:val="Page Numbers (Bottom of Page)"/>
        <w:docPartUnique/>
      </w:docPartObj>
    </w:sdtPr>
    <w:sdtContent>
      <w:p w14:paraId="0997CF56" w14:textId="4A064BEA" w:rsidR="00B8239D" w:rsidRDefault="00B8239D">
        <w:pPr>
          <w:pStyle w:val="Pidipagina"/>
          <w:jc w:val="center"/>
        </w:pPr>
        <w:r>
          <w:fldChar w:fldCharType="begin"/>
        </w:r>
        <w:r>
          <w:instrText>PAGE   \* MERGEFORMAT</w:instrText>
        </w:r>
        <w:r>
          <w:fldChar w:fldCharType="separate"/>
        </w:r>
        <w:r>
          <w:t>2</w:t>
        </w:r>
        <w:r>
          <w:fldChar w:fldCharType="end"/>
        </w:r>
      </w:p>
    </w:sdtContent>
  </w:sdt>
  <w:p w14:paraId="00907E4A" w14:textId="77777777" w:rsidR="00B8239D" w:rsidRDefault="00B823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0C425" w14:textId="77777777" w:rsidR="00096E16" w:rsidRDefault="00096E16" w:rsidP="00B8239D">
      <w:pPr>
        <w:spacing w:after="0" w:line="240" w:lineRule="auto"/>
      </w:pPr>
      <w:r>
        <w:separator/>
      </w:r>
    </w:p>
  </w:footnote>
  <w:footnote w:type="continuationSeparator" w:id="0">
    <w:p w14:paraId="1A32DEDF" w14:textId="77777777" w:rsidR="00096E16" w:rsidRDefault="00096E16" w:rsidP="00B8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16433"/>
    <w:multiLevelType w:val="multilevel"/>
    <w:tmpl w:val="5E86B7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24A653D"/>
    <w:multiLevelType w:val="multilevel"/>
    <w:tmpl w:val="5E86B7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C6639AE"/>
    <w:multiLevelType w:val="hybridMultilevel"/>
    <w:tmpl w:val="74A8E0DC"/>
    <w:lvl w:ilvl="0" w:tplc="74ECF2C0">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67B463E"/>
    <w:multiLevelType w:val="hybridMultilevel"/>
    <w:tmpl w:val="07FA86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9E231D7"/>
    <w:multiLevelType w:val="hybridMultilevel"/>
    <w:tmpl w:val="15883F14"/>
    <w:lvl w:ilvl="0" w:tplc="1006120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5F4B5D"/>
    <w:multiLevelType w:val="hybridMultilevel"/>
    <w:tmpl w:val="E048AA46"/>
    <w:lvl w:ilvl="0" w:tplc="85DA7254">
      <w:start w:val="1"/>
      <w:numFmt w:val="decimal"/>
      <w:lvlText w:val="S%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4525850">
    <w:abstractNumId w:val="1"/>
  </w:num>
  <w:num w:numId="2" w16cid:durableId="2110738498">
    <w:abstractNumId w:val="0"/>
  </w:num>
  <w:num w:numId="3" w16cid:durableId="675351689">
    <w:abstractNumId w:val="2"/>
  </w:num>
  <w:num w:numId="4" w16cid:durableId="1572540920">
    <w:abstractNumId w:val="5"/>
  </w:num>
  <w:num w:numId="5" w16cid:durableId="1453213353">
    <w:abstractNumId w:val="4"/>
  </w:num>
  <w:num w:numId="6" w16cid:durableId="215744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B1"/>
    <w:rsid w:val="00002764"/>
    <w:rsid w:val="00025515"/>
    <w:rsid w:val="000320DD"/>
    <w:rsid w:val="000455E3"/>
    <w:rsid w:val="0004612D"/>
    <w:rsid w:val="00056EC1"/>
    <w:rsid w:val="00060B1E"/>
    <w:rsid w:val="00096E16"/>
    <w:rsid w:val="000B1D1E"/>
    <w:rsid w:val="001230E9"/>
    <w:rsid w:val="00134303"/>
    <w:rsid w:val="00152F56"/>
    <w:rsid w:val="00166BD4"/>
    <w:rsid w:val="00181C76"/>
    <w:rsid w:val="00182245"/>
    <w:rsid w:val="001A2DBE"/>
    <w:rsid w:val="00245C86"/>
    <w:rsid w:val="002500D4"/>
    <w:rsid w:val="00275563"/>
    <w:rsid w:val="00296456"/>
    <w:rsid w:val="002A5967"/>
    <w:rsid w:val="002B0CF2"/>
    <w:rsid w:val="002E10C8"/>
    <w:rsid w:val="00346654"/>
    <w:rsid w:val="00350748"/>
    <w:rsid w:val="0035114D"/>
    <w:rsid w:val="003955D5"/>
    <w:rsid w:val="003F1B50"/>
    <w:rsid w:val="004151BE"/>
    <w:rsid w:val="00423B03"/>
    <w:rsid w:val="00435228"/>
    <w:rsid w:val="004475FB"/>
    <w:rsid w:val="00452904"/>
    <w:rsid w:val="004547A5"/>
    <w:rsid w:val="004766D1"/>
    <w:rsid w:val="004B4D07"/>
    <w:rsid w:val="004D0F98"/>
    <w:rsid w:val="004D603C"/>
    <w:rsid w:val="004F36B1"/>
    <w:rsid w:val="0051508A"/>
    <w:rsid w:val="00525218"/>
    <w:rsid w:val="0053228A"/>
    <w:rsid w:val="00573259"/>
    <w:rsid w:val="005740FA"/>
    <w:rsid w:val="0058672A"/>
    <w:rsid w:val="005C525A"/>
    <w:rsid w:val="0062289F"/>
    <w:rsid w:val="006402C3"/>
    <w:rsid w:val="00644192"/>
    <w:rsid w:val="0068342E"/>
    <w:rsid w:val="006A759F"/>
    <w:rsid w:val="00711CDB"/>
    <w:rsid w:val="00717806"/>
    <w:rsid w:val="0073794C"/>
    <w:rsid w:val="00774BB6"/>
    <w:rsid w:val="00787595"/>
    <w:rsid w:val="007C17D2"/>
    <w:rsid w:val="007F117C"/>
    <w:rsid w:val="007F3F44"/>
    <w:rsid w:val="007F7DA0"/>
    <w:rsid w:val="0081383E"/>
    <w:rsid w:val="008216FC"/>
    <w:rsid w:val="00853E59"/>
    <w:rsid w:val="008822D8"/>
    <w:rsid w:val="008A5B2C"/>
    <w:rsid w:val="008B70F9"/>
    <w:rsid w:val="008F10DF"/>
    <w:rsid w:val="00907480"/>
    <w:rsid w:val="00907540"/>
    <w:rsid w:val="00922956"/>
    <w:rsid w:val="00925879"/>
    <w:rsid w:val="0097390A"/>
    <w:rsid w:val="00984B66"/>
    <w:rsid w:val="009B1517"/>
    <w:rsid w:val="009B56EB"/>
    <w:rsid w:val="009C41F6"/>
    <w:rsid w:val="009C7B35"/>
    <w:rsid w:val="009E53A5"/>
    <w:rsid w:val="00A06027"/>
    <w:rsid w:val="00A06096"/>
    <w:rsid w:val="00A2294C"/>
    <w:rsid w:val="00A243EE"/>
    <w:rsid w:val="00A5531A"/>
    <w:rsid w:val="00A70A3F"/>
    <w:rsid w:val="00A94023"/>
    <w:rsid w:val="00AA25DC"/>
    <w:rsid w:val="00AD23AA"/>
    <w:rsid w:val="00AE1420"/>
    <w:rsid w:val="00B0195E"/>
    <w:rsid w:val="00B8239D"/>
    <w:rsid w:val="00BA41A7"/>
    <w:rsid w:val="00BB6CD0"/>
    <w:rsid w:val="00BD1BA6"/>
    <w:rsid w:val="00BD30A9"/>
    <w:rsid w:val="00BD6BC1"/>
    <w:rsid w:val="00C11AD6"/>
    <w:rsid w:val="00C14FB6"/>
    <w:rsid w:val="00C428DB"/>
    <w:rsid w:val="00C523EC"/>
    <w:rsid w:val="00C65C18"/>
    <w:rsid w:val="00C73D82"/>
    <w:rsid w:val="00C82B20"/>
    <w:rsid w:val="00C91E47"/>
    <w:rsid w:val="00C924D1"/>
    <w:rsid w:val="00C96AC0"/>
    <w:rsid w:val="00CB3044"/>
    <w:rsid w:val="00CE27E0"/>
    <w:rsid w:val="00CF354E"/>
    <w:rsid w:val="00D279F3"/>
    <w:rsid w:val="00D60D11"/>
    <w:rsid w:val="00DA07D6"/>
    <w:rsid w:val="00DA59D2"/>
    <w:rsid w:val="00DB33CD"/>
    <w:rsid w:val="00DB6808"/>
    <w:rsid w:val="00DD04DD"/>
    <w:rsid w:val="00DF75F6"/>
    <w:rsid w:val="00E97AF3"/>
    <w:rsid w:val="00EC7E13"/>
    <w:rsid w:val="00ED418C"/>
    <w:rsid w:val="00F22D43"/>
    <w:rsid w:val="00F32653"/>
    <w:rsid w:val="00F335A0"/>
    <w:rsid w:val="00F40150"/>
    <w:rsid w:val="00F61A77"/>
    <w:rsid w:val="00F67D5D"/>
    <w:rsid w:val="00F77FB4"/>
    <w:rsid w:val="00F83E00"/>
    <w:rsid w:val="00F93C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838C"/>
  <w15:chartTrackingRefBased/>
  <w15:docId w15:val="{8FC74761-7CF6-41B7-A2F0-C9D17B95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F3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F3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F36B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F36B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F36B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F36B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F36B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F36B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F36B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F36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F36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F36B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F36B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F36B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F36B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F36B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F36B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F36B1"/>
    <w:rPr>
      <w:rFonts w:eastAsiaTheme="majorEastAsia" w:cstheme="majorBidi"/>
      <w:color w:val="272727" w:themeColor="text1" w:themeTint="D8"/>
    </w:rPr>
  </w:style>
  <w:style w:type="paragraph" w:styleId="Titolo">
    <w:name w:val="Title"/>
    <w:basedOn w:val="Normale"/>
    <w:next w:val="Normale"/>
    <w:link w:val="TitoloCarattere"/>
    <w:uiPriority w:val="10"/>
    <w:qFormat/>
    <w:rsid w:val="004F3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F36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F36B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F36B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F36B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F36B1"/>
    <w:rPr>
      <w:i/>
      <w:iCs/>
      <w:color w:val="404040" w:themeColor="text1" w:themeTint="BF"/>
    </w:rPr>
  </w:style>
  <w:style w:type="paragraph" w:styleId="Paragrafoelenco">
    <w:name w:val="List Paragraph"/>
    <w:basedOn w:val="Normale"/>
    <w:uiPriority w:val="34"/>
    <w:qFormat/>
    <w:rsid w:val="004F36B1"/>
    <w:pPr>
      <w:ind w:left="720"/>
      <w:contextualSpacing/>
    </w:pPr>
  </w:style>
  <w:style w:type="character" w:styleId="Enfasiintensa">
    <w:name w:val="Intense Emphasis"/>
    <w:basedOn w:val="Carpredefinitoparagrafo"/>
    <w:uiPriority w:val="21"/>
    <w:qFormat/>
    <w:rsid w:val="004F36B1"/>
    <w:rPr>
      <w:i/>
      <w:iCs/>
      <w:color w:val="0F4761" w:themeColor="accent1" w:themeShade="BF"/>
    </w:rPr>
  </w:style>
  <w:style w:type="paragraph" w:styleId="Citazioneintensa">
    <w:name w:val="Intense Quote"/>
    <w:basedOn w:val="Normale"/>
    <w:next w:val="Normale"/>
    <w:link w:val="CitazioneintensaCarattere"/>
    <w:uiPriority w:val="30"/>
    <w:qFormat/>
    <w:rsid w:val="004F3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F36B1"/>
    <w:rPr>
      <w:i/>
      <w:iCs/>
      <w:color w:val="0F4761" w:themeColor="accent1" w:themeShade="BF"/>
    </w:rPr>
  </w:style>
  <w:style w:type="character" w:styleId="Riferimentointenso">
    <w:name w:val="Intense Reference"/>
    <w:basedOn w:val="Carpredefinitoparagrafo"/>
    <w:uiPriority w:val="32"/>
    <w:qFormat/>
    <w:rsid w:val="004F36B1"/>
    <w:rPr>
      <w:b/>
      <w:bCs/>
      <w:smallCaps/>
      <w:color w:val="0F4761" w:themeColor="accent1" w:themeShade="BF"/>
      <w:spacing w:val="5"/>
    </w:rPr>
  </w:style>
  <w:style w:type="paragraph" w:styleId="Didascalia">
    <w:name w:val="caption"/>
    <w:basedOn w:val="Normale"/>
    <w:next w:val="Normale"/>
    <w:uiPriority w:val="35"/>
    <w:unhideWhenUsed/>
    <w:qFormat/>
    <w:rsid w:val="004F36B1"/>
    <w:pPr>
      <w:spacing w:after="200" w:line="240" w:lineRule="auto"/>
    </w:pPr>
    <w:rPr>
      <w:i/>
      <w:iCs/>
      <w:color w:val="0E2841" w:themeColor="text2"/>
      <w:sz w:val="18"/>
      <w:szCs w:val="18"/>
      <w:lang w:val="en-GB"/>
      <w14:ligatures w14:val="none"/>
    </w:rPr>
  </w:style>
  <w:style w:type="table" w:customStyle="1" w:styleId="Tabellasemplice-12">
    <w:name w:val="Tabella semplice - 12"/>
    <w:basedOn w:val="Tabellanormale"/>
    <w:uiPriority w:val="41"/>
    <w:rsid w:val="004F36B1"/>
    <w:pPr>
      <w:spacing w:after="0" w:line="240" w:lineRule="auto"/>
    </w:pPr>
    <w:rP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imandocommento">
    <w:name w:val="annotation reference"/>
    <w:basedOn w:val="Carpredefinitoparagrafo"/>
    <w:uiPriority w:val="99"/>
    <w:semiHidden/>
    <w:unhideWhenUsed/>
    <w:rsid w:val="004F36B1"/>
    <w:rPr>
      <w:sz w:val="16"/>
      <w:szCs w:val="16"/>
    </w:rPr>
  </w:style>
  <w:style w:type="paragraph" w:styleId="Testocommento">
    <w:name w:val="annotation text"/>
    <w:basedOn w:val="Normale"/>
    <w:link w:val="TestocommentoCarattere"/>
    <w:uiPriority w:val="99"/>
    <w:unhideWhenUsed/>
    <w:rsid w:val="004F36B1"/>
    <w:pPr>
      <w:spacing w:line="240" w:lineRule="auto"/>
    </w:pPr>
    <w:rPr>
      <w:sz w:val="20"/>
      <w:szCs w:val="20"/>
      <w:lang w:val="en-GB"/>
    </w:rPr>
  </w:style>
  <w:style w:type="character" w:customStyle="1" w:styleId="TestocommentoCarattere">
    <w:name w:val="Testo commento Carattere"/>
    <w:basedOn w:val="Carpredefinitoparagrafo"/>
    <w:link w:val="Testocommento"/>
    <w:uiPriority w:val="99"/>
    <w:rsid w:val="004F36B1"/>
    <w:rPr>
      <w:sz w:val="20"/>
      <w:szCs w:val="20"/>
      <w:lang w:val="en-GB"/>
    </w:rPr>
  </w:style>
  <w:style w:type="paragraph" w:styleId="Revisione">
    <w:name w:val="Revision"/>
    <w:hidden/>
    <w:uiPriority w:val="99"/>
    <w:semiHidden/>
    <w:rsid w:val="004F36B1"/>
    <w:pPr>
      <w:spacing w:after="0" w:line="240" w:lineRule="auto"/>
    </w:pPr>
  </w:style>
  <w:style w:type="table" w:styleId="Tabellasemplice-1">
    <w:name w:val="Plain Table 1"/>
    <w:basedOn w:val="Tabellanormale"/>
    <w:uiPriority w:val="41"/>
    <w:rsid w:val="00AE14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fia">
    <w:name w:val="Bibliography"/>
    <w:basedOn w:val="Normale"/>
    <w:next w:val="Normale"/>
    <w:uiPriority w:val="37"/>
    <w:unhideWhenUsed/>
    <w:rsid w:val="00AE1420"/>
    <w:pPr>
      <w:spacing w:after="240" w:line="240" w:lineRule="auto"/>
      <w:ind w:left="720" w:hanging="720"/>
    </w:pPr>
  </w:style>
  <w:style w:type="paragraph" w:styleId="Soggettocommento">
    <w:name w:val="annotation subject"/>
    <w:basedOn w:val="Testocommento"/>
    <w:next w:val="Testocommento"/>
    <w:link w:val="SoggettocommentoCarattere"/>
    <w:uiPriority w:val="99"/>
    <w:semiHidden/>
    <w:unhideWhenUsed/>
    <w:rsid w:val="00181C76"/>
    <w:rPr>
      <w:b/>
      <w:bCs/>
      <w:lang w:val="it-IT"/>
    </w:rPr>
  </w:style>
  <w:style w:type="character" w:customStyle="1" w:styleId="SoggettocommentoCarattere">
    <w:name w:val="Soggetto commento Carattere"/>
    <w:basedOn w:val="TestocommentoCarattere"/>
    <w:link w:val="Soggettocommento"/>
    <w:uiPriority w:val="99"/>
    <w:semiHidden/>
    <w:rsid w:val="00181C76"/>
    <w:rPr>
      <w:b/>
      <w:bCs/>
      <w:sz w:val="20"/>
      <w:szCs w:val="20"/>
      <w:lang w:val="en-GB"/>
    </w:rPr>
  </w:style>
  <w:style w:type="table" w:styleId="Grigliatabella">
    <w:name w:val="Table Grid"/>
    <w:basedOn w:val="Tabellanormale"/>
    <w:uiPriority w:val="39"/>
    <w:rsid w:val="005C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B8239D"/>
  </w:style>
  <w:style w:type="paragraph" w:styleId="Intestazione">
    <w:name w:val="header"/>
    <w:basedOn w:val="Normale"/>
    <w:link w:val="IntestazioneCarattere"/>
    <w:uiPriority w:val="99"/>
    <w:unhideWhenUsed/>
    <w:rsid w:val="00B823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8239D"/>
  </w:style>
  <w:style w:type="paragraph" w:styleId="Pidipagina">
    <w:name w:val="footer"/>
    <w:basedOn w:val="Normale"/>
    <w:link w:val="PidipaginaCarattere"/>
    <w:uiPriority w:val="99"/>
    <w:unhideWhenUsed/>
    <w:rsid w:val="00B823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8239D"/>
  </w:style>
  <w:style w:type="character" w:styleId="Collegamentoipertestuale">
    <w:name w:val="Hyperlink"/>
    <w:basedOn w:val="Carpredefinitoparagrafo"/>
    <w:uiPriority w:val="99"/>
    <w:unhideWhenUsed/>
    <w:rsid w:val="00C428DB"/>
    <w:rPr>
      <w:color w:val="467886" w:themeColor="hyperlink"/>
      <w:u w:val="single"/>
    </w:rPr>
  </w:style>
  <w:style w:type="character" w:styleId="Menzionenonrisolta">
    <w:name w:val="Unresolved Mention"/>
    <w:basedOn w:val="Carpredefinitoparagrafo"/>
    <w:uiPriority w:val="99"/>
    <w:semiHidden/>
    <w:unhideWhenUsed/>
    <w:rsid w:val="00C42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A8E61-3FE3-4FC4-A65C-1841EB045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22067</Words>
  <Characters>125783</Characters>
  <Application>Microsoft Office Word</Application>
  <DocSecurity>0</DocSecurity>
  <Lines>1048</Lines>
  <Paragraphs>295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zaniboni</dc:creator>
  <cp:keywords/>
  <dc:description/>
  <cp:lastModifiedBy>linda zaniboni</cp:lastModifiedBy>
  <cp:revision>10</cp:revision>
  <dcterms:created xsi:type="dcterms:W3CDTF">2026-08-21T11:36:00Z</dcterms:created>
  <dcterms:modified xsi:type="dcterms:W3CDTF">2026-09-04T10:07:00Z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id="AQcbQrib"/&gt;&lt;style id="http://www.zotero.org/styles/environmental-science-and-pollution-research" hasBibliography="1" bibliographyStyleHasBeenSet="1"/&gt;&lt;prefs&gt;&lt;pref name="fieldType" value="Field"/&gt;&lt;</vt:lpwstr>
  </property>
  <property fmtid="{D5CDD505-2E9C-101B-9397-08002B2CF9AE}" pid="3" name="ZOTERO_PREF_2">
    <vt:lpwstr>pref name="automaticJournalAbbreviations" value="true"/&gt;&lt;pref name="delayCitationUpdates" value="true"/&gt;&lt;/prefs&gt;&lt;/data&gt;</vt:lpwstr>
  </property>
</Properties>
</file>