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E22F9" w14:textId="77777777" w:rsidR="00A4011A" w:rsidRPr="00D17352" w:rsidRDefault="00F50ED3" w:rsidP="00F50ED3">
      <w:pPr>
        <w:rPr>
          <w:rFonts w:ascii="Palatino Linotype" w:hAnsi="Palatino Linotype"/>
          <w:i/>
        </w:rPr>
      </w:pPr>
      <w:r w:rsidRPr="00D17352">
        <w:rPr>
          <w:rFonts w:ascii="Palatino Linotype" w:hAnsi="Palatino Linotype"/>
        </w:rPr>
        <w:t>Supplemental Figures and Legends for “</w:t>
      </w:r>
      <w:r w:rsidRPr="00D17352">
        <w:rPr>
          <w:rFonts w:ascii="Palatino Linotype" w:hAnsi="Palatino Linotype"/>
          <w:b/>
        </w:rPr>
        <w:t>A Long-term Obesoge</w:t>
      </w:r>
      <w:r w:rsidR="00CE5A46">
        <w:rPr>
          <w:rFonts w:ascii="Palatino Linotype" w:hAnsi="Palatino Linotype"/>
          <w:b/>
        </w:rPr>
        <w:t>nic High Fat Diet in Mice Partially</w:t>
      </w:r>
      <w:r w:rsidRPr="00D17352">
        <w:rPr>
          <w:rFonts w:ascii="Palatino Linotype" w:hAnsi="Palatino Linotype"/>
          <w:b/>
        </w:rPr>
        <w:t xml:space="preserve"> Dampens the Anti-Frailty Benefits of Late-Life Intermittent Fasting</w:t>
      </w:r>
      <w:r w:rsidRPr="00D17352">
        <w:rPr>
          <w:rFonts w:ascii="Palatino Linotype" w:hAnsi="Palatino Linotype"/>
        </w:rPr>
        <w:t xml:space="preserve">” by Henderson, </w:t>
      </w:r>
      <w:r w:rsidRPr="00D17352">
        <w:rPr>
          <w:rFonts w:ascii="Palatino Linotype" w:hAnsi="Palatino Linotype"/>
          <w:i/>
        </w:rPr>
        <w:t>et al.</w:t>
      </w:r>
    </w:p>
    <w:p w14:paraId="086074F1" w14:textId="77777777" w:rsidR="00F50ED3" w:rsidRPr="00D17352" w:rsidRDefault="00F50ED3" w:rsidP="00F50ED3">
      <w:pPr>
        <w:rPr>
          <w:rFonts w:ascii="Palatino Linotype" w:hAnsi="Palatino Linotype"/>
          <w:i/>
        </w:rPr>
      </w:pPr>
    </w:p>
    <w:p w14:paraId="7772E3CA" w14:textId="77777777" w:rsidR="00F50ED3" w:rsidRPr="00D17352" w:rsidRDefault="00F50ED3" w:rsidP="00F50ED3">
      <w:pPr>
        <w:rPr>
          <w:rFonts w:ascii="Palatino Linotype" w:hAnsi="Palatino Linotype"/>
          <w:b/>
          <w:u w:val="single"/>
        </w:rPr>
      </w:pPr>
      <w:r w:rsidRPr="00D17352">
        <w:rPr>
          <w:rFonts w:ascii="Palatino Linotype" w:hAnsi="Palatino Linotype"/>
          <w:b/>
          <w:u w:val="single"/>
        </w:rPr>
        <w:t>Supplemental Figure 1.</w:t>
      </w:r>
    </w:p>
    <w:p w14:paraId="0D99BCF7" w14:textId="64FAB975" w:rsidR="00F50ED3" w:rsidRDefault="00695826" w:rsidP="00F50ED3">
      <w:pPr>
        <w:rPr>
          <w:b/>
          <w:u w:val="single"/>
        </w:rPr>
      </w:pPr>
      <w:r w:rsidRPr="00695826">
        <w:rPr>
          <w:b/>
          <w:noProof/>
        </w:rPr>
        <w:drawing>
          <wp:inline distT="0" distB="0" distL="0" distR="0" wp14:anchorId="41E3A784" wp14:editId="1371391C">
            <wp:extent cx="6308251" cy="3248025"/>
            <wp:effectExtent l="19050" t="19050" r="1651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274" cy="3260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F2F784" w14:textId="69D47D35" w:rsidR="00D17352" w:rsidRDefault="00F50ED3" w:rsidP="00A026F2">
      <w:pPr>
        <w:spacing w:line="240" w:lineRule="auto"/>
        <w:jc w:val="both"/>
        <w:rPr>
          <w:rFonts w:ascii="Palatino Linotype" w:hAnsi="Palatino Linotype"/>
          <w:szCs w:val="20"/>
        </w:rPr>
      </w:pPr>
      <w:r w:rsidRPr="00D17352">
        <w:rPr>
          <w:rFonts w:ascii="Palatino Linotype" w:hAnsi="Palatino Linotype"/>
          <w:b/>
          <w:szCs w:val="20"/>
        </w:rPr>
        <w:t xml:space="preserve">Supplemental Figure 1. Every other day (EOD) fasting in aged mice on a HFD background promotes overall weight loss and </w:t>
      </w:r>
      <w:r w:rsidR="001536D8">
        <w:rPr>
          <w:rFonts w:ascii="Palatino Linotype" w:hAnsi="Palatino Linotype"/>
          <w:b/>
          <w:szCs w:val="20"/>
        </w:rPr>
        <w:t>reduced 48-hour food intake</w:t>
      </w:r>
      <w:r w:rsidR="00695826">
        <w:rPr>
          <w:rFonts w:ascii="Palatino Linotype" w:hAnsi="Palatino Linotype"/>
          <w:b/>
          <w:szCs w:val="20"/>
        </w:rPr>
        <w:t>. (a</w:t>
      </w:r>
      <w:r w:rsidRPr="00D17352">
        <w:rPr>
          <w:rFonts w:ascii="Palatino Linotype" w:hAnsi="Palatino Linotype"/>
          <w:b/>
          <w:szCs w:val="20"/>
        </w:rPr>
        <w:t xml:space="preserve">) </w:t>
      </w:r>
      <w:r w:rsidR="006879AA">
        <w:rPr>
          <w:rFonts w:ascii="Palatino Linotype" w:hAnsi="Palatino Linotype"/>
          <w:szCs w:val="20"/>
        </w:rPr>
        <w:t xml:space="preserve">Absolute body mass </w:t>
      </w:r>
      <w:r w:rsidRPr="00D17352">
        <w:rPr>
          <w:rFonts w:ascii="Palatino Linotype" w:hAnsi="Palatino Linotype"/>
          <w:szCs w:val="20"/>
        </w:rPr>
        <w:t xml:space="preserve">in HFD AL (N = 2-3) and HFD EOD (N = 3) mice </w:t>
      </w:r>
      <w:r w:rsidR="006879AA">
        <w:rPr>
          <w:rFonts w:ascii="Palatino Linotype" w:hAnsi="Palatino Linotype"/>
          <w:szCs w:val="20"/>
        </w:rPr>
        <w:t xml:space="preserve">on Day 0 and Day 76 of the dietary intervention period. </w:t>
      </w:r>
      <w:r w:rsidR="005A712C">
        <w:rPr>
          <w:rFonts w:ascii="Palatino Linotype" w:hAnsi="Palatino Linotype"/>
          <w:szCs w:val="20"/>
        </w:rPr>
        <w:t xml:space="preserve">Weights </w:t>
      </w:r>
      <w:r w:rsidR="006879AA">
        <w:rPr>
          <w:rFonts w:ascii="Palatino Linotype" w:hAnsi="Palatino Linotype"/>
          <w:szCs w:val="20"/>
        </w:rPr>
        <w:t xml:space="preserve">from age-matched control chow AL and control chow EOD </w:t>
      </w:r>
      <w:r w:rsidR="006F3872">
        <w:rPr>
          <w:rFonts w:ascii="Palatino Linotype" w:hAnsi="Palatino Linotype"/>
          <w:szCs w:val="20"/>
        </w:rPr>
        <w:t xml:space="preserve">(N= 5/6/group) </w:t>
      </w:r>
      <w:r w:rsidR="00CB2EFE">
        <w:rPr>
          <w:rFonts w:ascii="Palatino Linotype" w:hAnsi="Palatino Linotype"/>
          <w:szCs w:val="20"/>
        </w:rPr>
        <w:t xml:space="preserve">were previously determined in </w:t>
      </w:r>
      <w:r w:rsidR="005A712C">
        <w:rPr>
          <w:rFonts w:ascii="Palatino Linotype" w:hAnsi="Palatino Linotype"/>
          <w:szCs w:val="20"/>
        </w:rPr>
        <w:t>[12]</w:t>
      </w:r>
      <w:r w:rsidR="00422CE0">
        <w:rPr>
          <w:rFonts w:ascii="Palatino Linotype" w:hAnsi="Palatino Linotype"/>
          <w:szCs w:val="20"/>
        </w:rPr>
        <w:t xml:space="preserve">; </w:t>
      </w:r>
      <w:r w:rsidR="00CB2EFE">
        <w:rPr>
          <w:rFonts w:ascii="Palatino Linotype" w:hAnsi="Palatino Linotype"/>
          <w:szCs w:val="20"/>
        </w:rPr>
        <w:t xml:space="preserve">Henderson, et al. </w:t>
      </w:r>
      <w:proofErr w:type="spellStart"/>
      <w:r w:rsidR="007509C5" w:rsidRPr="007509C5">
        <w:rPr>
          <w:rFonts w:ascii="Palatino Linotype" w:hAnsi="Palatino Linotype"/>
          <w:i/>
          <w:szCs w:val="20"/>
        </w:rPr>
        <w:t>GeroScience</w:t>
      </w:r>
      <w:proofErr w:type="spellEnd"/>
      <w:r w:rsidR="007509C5">
        <w:rPr>
          <w:rFonts w:ascii="Palatino Linotype" w:hAnsi="Palatino Linotype"/>
          <w:szCs w:val="20"/>
        </w:rPr>
        <w:t xml:space="preserve"> </w:t>
      </w:r>
      <w:r w:rsidR="00CB2EFE">
        <w:rPr>
          <w:rFonts w:ascii="Palatino Linotype" w:hAnsi="Palatino Linotype"/>
          <w:szCs w:val="20"/>
        </w:rPr>
        <w:t>2021</w:t>
      </w:r>
      <w:r w:rsidR="001D444A" w:rsidRPr="001D444A">
        <w:rPr>
          <w:rFonts w:ascii="Times New Roman" w:eastAsiaTheme="minorEastAsia" w:hAnsi="Times New Roman"/>
          <w:szCs w:val="24"/>
        </w:rPr>
        <w:t xml:space="preserve"> </w:t>
      </w:r>
      <w:r w:rsidR="001D444A" w:rsidRPr="001D444A">
        <w:rPr>
          <w:rFonts w:ascii="Palatino Linotype" w:hAnsi="Palatino Linotype"/>
          <w:szCs w:val="20"/>
        </w:rPr>
        <w:t>Aug</w:t>
      </w:r>
      <w:proofErr w:type="gramStart"/>
      <w:r w:rsidR="001D444A" w:rsidRPr="001D444A">
        <w:rPr>
          <w:rFonts w:ascii="Palatino Linotype" w:hAnsi="Palatino Linotype"/>
          <w:szCs w:val="20"/>
        </w:rPr>
        <w:t>;43</w:t>
      </w:r>
      <w:proofErr w:type="gramEnd"/>
      <w:r w:rsidR="001D444A" w:rsidRPr="001D444A">
        <w:rPr>
          <w:rFonts w:ascii="Palatino Linotype" w:hAnsi="Palatino Linotype"/>
          <w:szCs w:val="20"/>
        </w:rPr>
        <w:t xml:space="preserve">(4):1527-1554. </w:t>
      </w:r>
      <w:proofErr w:type="spellStart"/>
      <w:proofErr w:type="gramStart"/>
      <w:r w:rsidR="001D444A" w:rsidRPr="001D444A">
        <w:rPr>
          <w:rFonts w:ascii="Palatino Linotype" w:hAnsi="Palatino Linotype"/>
          <w:szCs w:val="20"/>
        </w:rPr>
        <w:t>doi</w:t>
      </w:r>
      <w:proofErr w:type="spellEnd"/>
      <w:proofErr w:type="gramEnd"/>
      <w:r w:rsidR="001D444A" w:rsidRPr="001D444A">
        <w:rPr>
          <w:rFonts w:ascii="Palatino Linotype" w:hAnsi="Palatino Linotype"/>
          <w:szCs w:val="20"/>
        </w:rPr>
        <w:t>: 10.1007/s11357-021-00330-4</w:t>
      </w:r>
      <w:r w:rsidR="005A712C">
        <w:rPr>
          <w:rFonts w:ascii="Palatino Linotype" w:hAnsi="Palatino Linotype"/>
          <w:szCs w:val="20"/>
        </w:rPr>
        <w:t xml:space="preserve"> and adapted here for comparison to HFD fed mice</w:t>
      </w:r>
      <w:r w:rsidR="006879AA">
        <w:rPr>
          <w:rFonts w:ascii="Palatino Linotype" w:hAnsi="Palatino Linotype"/>
          <w:szCs w:val="20"/>
        </w:rPr>
        <w:t>. Asterisks and provided P value indicate a significant difference between Day 0 and Day 76 for the respective group.</w:t>
      </w:r>
      <w:r w:rsidR="007113F5">
        <w:rPr>
          <w:rFonts w:ascii="Palatino Linotype" w:hAnsi="Palatino Linotype"/>
          <w:szCs w:val="20"/>
        </w:rPr>
        <w:t xml:space="preserve"> Data presented as mean values +/- SEM.</w:t>
      </w:r>
      <w:r w:rsidR="006879AA">
        <w:rPr>
          <w:rFonts w:ascii="Palatino Linotype" w:hAnsi="Palatino Linotype"/>
          <w:szCs w:val="20"/>
        </w:rPr>
        <w:t xml:space="preserve"> </w:t>
      </w:r>
      <w:r w:rsidRPr="00D17352">
        <w:rPr>
          <w:rFonts w:ascii="Palatino Linotype" w:hAnsi="Palatino Linotype"/>
          <w:szCs w:val="20"/>
        </w:rPr>
        <w:t>(</w:t>
      </w:r>
      <w:r w:rsidR="00695826">
        <w:rPr>
          <w:rFonts w:ascii="Palatino Linotype" w:hAnsi="Palatino Linotype"/>
          <w:b/>
          <w:szCs w:val="20"/>
        </w:rPr>
        <w:t>b</w:t>
      </w:r>
      <w:r w:rsidRPr="00D17352">
        <w:rPr>
          <w:rFonts w:ascii="Palatino Linotype" w:hAnsi="Palatino Linotype"/>
          <w:szCs w:val="20"/>
        </w:rPr>
        <w:t>) Food i</w:t>
      </w:r>
      <w:r w:rsidR="00572CAA">
        <w:rPr>
          <w:rFonts w:ascii="Palatino Linotype" w:hAnsi="Palatino Linotype"/>
          <w:szCs w:val="20"/>
        </w:rPr>
        <w:t>ntake in grams</w:t>
      </w:r>
      <w:r w:rsidR="002D2BEB">
        <w:rPr>
          <w:rFonts w:ascii="Palatino Linotype" w:hAnsi="Palatino Linotype"/>
          <w:szCs w:val="20"/>
        </w:rPr>
        <w:t xml:space="preserve"> </w:t>
      </w:r>
      <w:r w:rsidR="002D2BEB" w:rsidRPr="002D2BEB">
        <w:rPr>
          <w:rFonts w:ascii="Palatino Linotype" w:hAnsi="Palatino Linotype"/>
          <w:szCs w:val="20"/>
        </w:rPr>
        <w:t xml:space="preserve">as measured </w:t>
      </w:r>
      <w:r w:rsidR="002D2BEB">
        <w:rPr>
          <w:rFonts w:ascii="Palatino Linotype" w:hAnsi="Palatino Linotype"/>
          <w:szCs w:val="20"/>
        </w:rPr>
        <w:t xml:space="preserve">in an </w:t>
      </w:r>
      <w:r w:rsidR="002D2BEB" w:rsidRPr="002D2BEB">
        <w:rPr>
          <w:rFonts w:ascii="Palatino Linotype" w:hAnsi="Palatino Linotype"/>
          <w:szCs w:val="20"/>
        </w:rPr>
        <w:t xml:space="preserve">open-circuit Oxymax Comprehensive Lab Animal Monitoring System (OxymaxCLAMS) every 20 minutes over a 4 day period and presented as double-plotted traces of these measurements using the averaged data for each time point within a diet group separated by the fed and fast days with time of the day expressed in ZT and food administration occurring at approximately ZT9 daily and 12:12 </w:t>
      </w:r>
      <w:proofErr w:type="spellStart"/>
      <w:r w:rsidR="002D2BEB" w:rsidRPr="002D2BEB">
        <w:rPr>
          <w:rFonts w:ascii="Palatino Linotype" w:hAnsi="Palatino Linotype"/>
          <w:szCs w:val="20"/>
        </w:rPr>
        <w:t>light</w:t>
      </w:r>
      <w:proofErr w:type="gramStart"/>
      <w:r w:rsidR="002D2BEB" w:rsidRPr="002D2BEB">
        <w:rPr>
          <w:rFonts w:ascii="Palatino Linotype" w:hAnsi="Palatino Linotype"/>
          <w:szCs w:val="20"/>
        </w:rPr>
        <w:t>:dark</w:t>
      </w:r>
      <w:proofErr w:type="spellEnd"/>
      <w:proofErr w:type="gramEnd"/>
      <w:r w:rsidR="002D2BEB" w:rsidRPr="002D2BEB">
        <w:rPr>
          <w:rFonts w:ascii="Palatino Linotype" w:hAnsi="Palatino Linotype"/>
          <w:szCs w:val="20"/>
        </w:rPr>
        <w:t xml:space="preserve"> cycle.</w:t>
      </w:r>
      <w:r w:rsidR="002D2BEB">
        <w:rPr>
          <w:rFonts w:ascii="Palatino Linotype" w:hAnsi="Palatino Linotype"/>
          <w:szCs w:val="20"/>
        </w:rPr>
        <w:t xml:space="preserve"> </w:t>
      </w:r>
      <w:r w:rsidR="00B76941" w:rsidRPr="00B76941">
        <w:rPr>
          <w:rFonts w:ascii="Palatino Linotype" w:hAnsi="Palatino Linotype"/>
          <w:szCs w:val="20"/>
        </w:rPr>
        <w:t>N = 2 mice/HFD AL group and N = 3 mice/HFD EOD group, with 220 data points used for each mouse and averaged for each diet group, and tracings depict the mean with no error bars for cl</w:t>
      </w:r>
      <w:r w:rsidR="00F55F32">
        <w:rPr>
          <w:rFonts w:ascii="Palatino Linotype" w:hAnsi="Palatino Linotype"/>
          <w:szCs w:val="20"/>
        </w:rPr>
        <w:t>arity purpose. Provided P value provided was</w:t>
      </w:r>
      <w:r w:rsidR="00B76941" w:rsidRPr="00B76941">
        <w:rPr>
          <w:rFonts w:ascii="Palatino Linotype" w:hAnsi="Palatino Linotype"/>
          <w:szCs w:val="20"/>
        </w:rPr>
        <w:t xml:space="preserve"> calculated via paired t-tests between HFD AL versus HFD EOD, with pairings between each diet group for each individual animal’s time point reading.</w:t>
      </w:r>
      <w:r w:rsidR="002D2BEB">
        <w:rPr>
          <w:rFonts w:ascii="Palatino Linotype" w:hAnsi="Palatino Linotype"/>
          <w:szCs w:val="20"/>
        </w:rPr>
        <w:t xml:space="preserve"> See also companion </w:t>
      </w:r>
      <w:r w:rsidRPr="00D17352">
        <w:rPr>
          <w:rFonts w:ascii="Palatino Linotype" w:hAnsi="Palatino Linotype"/>
          <w:szCs w:val="20"/>
        </w:rPr>
        <w:t>Figure 1.</w:t>
      </w:r>
    </w:p>
    <w:p w14:paraId="4D0E6E1A" w14:textId="77777777" w:rsidR="002D2BEB" w:rsidRDefault="002D2BEB" w:rsidP="00A026F2">
      <w:pPr>
        <w:spacing w:line="240" w:lineRule="auto"/>
        <w:jc w:val="both"/>
        <w:rPr>
          <w:rFonts w:ascii="Palatino Linotype" w:hAnsi="Palatino Linotype"/>
          <w:szCs w:val="20"/>
        </w:rPr>
      </w:pPr>
    </w:p>
    <w:p w14:paraId="3DA2AB8B" w14:textId="77777777" w:rsidR="002D2BEB" w:rsidRDefault="002D2BEB" w:rsidP="00A026F2">
      <w:pPr>
        <w:spacing w:line="240" w:lineRule="auto"/>
        <w:jc w:val="both"/>
        <w:rPr>
          <w:rFonts w:ascii="Palatino Linotype" w:hAnsi="Palatino Linotype"/>
          <w:szCs w:val="20"/>
        </w:rPr>
      </w:pPr>
    </w:p>
    <w:p w14:paraId="249BD401" w14:textId="77777777" w:rsidR="00F50ED3" w:rsidRDefault="00D17352" w:rsidP="00A026F2">
      <w:pPr>
        <w:rPr>
          <w:rFonts w:ascii="Palatino Linotype" w:hAnsi="Palatino Linotype"/>
          <w:b/>
          <w:u w:val="single"/>
        </w:rPr>
      </w:pPr>
      <w:r w:rsidRPr="00D17352">
        <w:rPr>
          <w:rFonts w:ascii="Palatino Linotype" w:hAnsi="Palatino Linotype"/>
          <w:b/>
          <w:u w:val="single"/>
        </w:rPr>
        <w:lastRenderedPageBreak/>
        <w:t>Supplemental Figure 2.</w:t>
      </w:r>
    </w:p>
    <w:p w14:paraId="73C22186" w14:textId="77777777" w:rsidR="00AB0D22" w:rsidRPr="00A026F2" w:rsidRDefault="00AB0D22" w:rsidP="00A026F2">
      <w:pPr>
        <w:rPr>
          <w:szCs w:val="20"/>
        </w:rPr>
      </w:pPr>
    </w:p>
    <w:p w14:paraId="09210268" w14:textId="151AAC9F" w:rsidR="00D17352" w:rsidRDefault="00695826" w:rsidP="00F50ED3">
      <w:pPr>
        <w:jc w:val="both"/>
      </w:pPr>
      <w:r>
        <w:rPr>
          <w:noProof/>
        </w:rPr>
        <w:drawing>
          <wp:inline distT="0" distB="0" distL="0" distR="0" wp14:anchorId="4E1AB00B" wp14:editId="798E959F">
            <wp:extent cx="3895725" cy="2871470"/>
            <wp:effectExtent l="19050" t="19050" r="28575" b="241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871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6613AA" w14:textId="48CCAD73" w:rsidR="003D3A5F" w:rsidRDefault="00D17352" w:rsidP="00D17352">
      <w:pPr>
        <w:pStyle w:val="MDPI22heading2"/>
        <w:suppressAutoHyphens/>
        <w:spacing w:before="0"/>
        <w:ind w:left="0"/>
        <w:jc w:val="both"/>
        <w:rPr>
          <w:i w:val="0"/>
          <w:sz w:val="22"/>
        </w:rPr>
      </w:pPr>
      <w:r w:rsidRPr="00D17352">
        <w:rPr>
          <w:b/>
          <w:i w:val="0"/>
          <w:sz w:val="22"/>
        </w:rPr>
        <w:t>Supplemental Figure 2. Late-life EOD fa</w:t>
      </w:r>
      <w:r w:rsidR="004A7B12">
        <w:rPr>
          <w:b/>
          <w:i w:val="0"/>
          <w:sz w:val="22"/>
        </w:rPr>
        <w:t>stin</w:t>
      </w:r>
      <w:r w:rsidR="009F7C26">
        <w:rPr>
          <w:b/>
          <w:i w:val="0"/>
          <w:sz w:val="22"/>
        </w:rPr>
        <w:t>g on HFD background improved glu</w:t>
      </w:r>
      <w:r w:rsidR="004A7B12">
        <w:rPr>
          <w:b/>
          <w:i w:val="0"/>
          <w:sz w:val="22"/>
        </w:rPr>
        <w:t xml:space="preserve">cose tolerance is partially dependent on the test being </w:t>
      </w:r>
      <w:r w:rsidR="007230EA">
        <w:rPr>
          <w:b/>
          <w:i w:val="0"/>
          <w:sz w:val="22"/>
        </w:rPr>
        <w:t>performed on a fed day or fast</w:t>
      </w:r>
      <w:r w:rsidR="004A7B12">
        <w:rPr>
          <w:b/>
          <w:i w:val="0"/>
          <w:sz w:val="22"/>
        </w:rPr>
        <w:t xml:space="preserve"> day</w:t>
      </w:r>
      <w:r w:rsidR="00695826">
        <w:rPr>
          <w:b/>
          <w:i w:val="0"/>
          <w:sz w:val="22"/>
        </w:rPr>
        <w:t>. (a</w:t>
      </w:r>
      <w:r w:rsidRPr="00D17352">
        <w:rPr>
          <w:b/>
          <w:i w:val="0"/>
          <w:sz w:val="22"/>
        </w:rPr>
        <w:t>)</w:t>
      </w:r>
      <w:r w:rsidRPr="00D17352">
        <w:rPr>
          <w:i w:val="0"/>
          <w:sz w:val="22"/>
        </w:rPr>
        <w:t xml:space="preserve"> Average blood glucose levels (mg/dL) at time points between 0-120 min</w:t>
      </w:r>
      <w:r w:rsidR="003076C3">
        <w:rPr>
          <w:i w:val="0"/>
          <w:sz w:val="22"/>
        </w:rPr>
        <w:t>utes</w:t>
      </w:r>
      <w:r w:rsidRPr="00D17352">
        <w:rPr>
          <w:i w:val="0"/>
          <w:sz w:val="22"/>
        </w:rPr>
        <w:t xml:space="preserve"> following an intraperitoneal injection of glucose (2g of glucose/kg of body weight) from the two GTT</w:t>
      </w:r>
      <w:r w:rsidR="00B74EE6">
        <w:rPr>
          <w:i w:val="0"/>
          <w:sz w:val="22"/>
        </w:rPr>
        <w:t>s</w:t>
      </w:r>
      <w:r w:rsidRPr="00D17352">
        <w:rPr>
          <w:i w:val="0"/>
          <w:sz w:val="22"/>
        </w:rPr>
        <w:t xml:space="preserve"> performed on adjacent fasted and fed days in </w:t>
      </w:r>
      <w:r w:rsidR="00F35666">
        <w:rPr>
          <w:i w:val="0"/>
          <w:sz w:val="22"/>
        </w:rPr>
        <w:t xml:space="preserve">the </w:t>
      </w:r>
      <w:r w:rsidR="007E4EE1">
        <w:rPr>
          <w:i w:val="0"/>
          <w:sz w:val="22"/>
        </w:rPr>
        <w:t>HFD EOD group</w:t>
      </w:r>
      <w:r w:rsidRPr="00D17352">
        <w:rPr>
          <w:i w:val="0"/>
          <w:sz w:val="22"/>
        </w:rPr>
        <w:t>.</w:t>
      </w:r>
      <w:r w:rsidR="00F35666">
        <w:rPr>
          <w:i w:val="0"/>
          <w:sz w:val="22"/>
        </w:rPr>
        <w:t xml:space="preserve"> Solid trace is from the GTT being performed the morning after the </w:t>
      </w:r>
      <w:r w:rsidR="00B74EE6">
        <w:rPr>
          <w:i w:val="0"/>
          <w:sz w:val="22"/>
        </w:rPr>
        <w:t xml:space="preserve">fed </w:t>
      </w:r>
      <w:r w:rsidR="00F35666">
        <w:rPr>
          <w:i w:val="0"/>
          <w:sz w:val="22"/>
        </w:rPr>
        <w:t>day, and the dotted trace is from the GTT being performed t</w:t>
      </w:r>
      <w:r w:rsidR="00CC3DDA">
        <w:rPr>
          <w:i w:val="0"/>
          <w:sz w:val="22"/>
        </w:rPr>
        <w:t xml:space="preserve">he morning after the </w:t>
      </w:r>
      <w:r w:rsidR="00B74EE6">
        <w:rPr>
          <w:i w:val="0"/>
          <w:sz w:val="22"/>
        </w:rPr>
        <w:t xml:space="preserve">fast </w:t>
      </w:r>
      <w:r w:rsidR="00CC3DDA">
        <w:rPr>
          <w:i w:val="0"/>
          <w:sz w:val="22"/>
        </w:rPr>
        <w:t>day. In both of these tests, all food was removed and mice placed into clean cages 4-hours prior to the test.</w:t>
      </w:r>
      <w:r w:rsidR="007E4EE1">
        <w:rPr>
          <w:i w:val="0"/>
          <w:sz w:val="22"/>
        </w:rPr>
        <w:t xml:space="preserve"> </w:t>
      </w:r>
      <w:r w:rsidRPr="00D17352">
        <w:rPr>
          <w:i w:val="0"/>
          <w:sz w:val="22"/>
        </w:rPr>
        <w:t>N = 3 mice/HFD EOD group, and P value analysis performed a</w:t>
      </w:r>
      <w:r w:rsidR="007E4EE1">
        <w:rPr>
          <w:i w:val="0"/>
          <w:sz w:val="22"/>
        </w:rPr>
        <w:t xml:space="preserve">s a paired t-test between </w:t>
      </w:r>
      <w:r w:rsidR="00B74EE6">
        <w:rPr>
          <w:i w:val="0"/>
          <w:sz w:val="22"/>
        </w:rPr>
        <w:t xml:space="preserve">fed </w:t>
      </w:r>
      <w:r w:rsidR="007E4EE1">
        <w:rPr>
          <w:i w:val="0"/>
          <w:sz w:val="22"/>
        </w:rPr>
        <w:t xml:space="preserve">versus </w:t>
      </w:r>
      <w:r w:rsidR="00B74EE6">
        <w:rPr>
          <w:i w:val="0"/>
          <w:sz w:val="22"/>
        </w:rPr>
        <w:t xml:space="preserve">fast </w:t>
      </w:r>
      <w:r w:rsidR="007E4EE1">
        <w:rPr>
          <w:i w:val="0"/>
          <w:sz w:val="22"/>
        </w:rPr>
        <w:t>day</w:t>
      </w:r>
      <w:r w:rsidRPr="00D17352">
        <w:rPr>
          <w:i w:val="0"/>
          <w:sz w:val="22"/>
        </w:rPr>
        <w:t>, with pairing done for each animal’s blood glucose va</w:t>
      </w:r>
      <w:r w:rsidR="007E4EE1">
        <w:rPr>
          <w:i w:val="0"/>
          <w:sz w:val="22"/>
        </w:rPr>
        <w:t>lue at each of the 5 time point</w:t>
      </w:r>
      <w:r w:rsidRPr="00D17352">
        <w:rPr>
          <w:i w:val="0"/>
          <w:sz w:val="22"/>
        </w:rPr>
        <w:t xml:space="preserve"> </w:t>
      </w:r>
      <w:r w:rsidR="007E4EE1">
        <w:rPr>
          <w:i w:val="0"/>
          <w:sz w:val="22"/>
        </w:rPr>
        <w:t>during the two 120 minute GTTs.</w:t>
      </w:r>
      <w:r w:rsidR="00284EAC">
        <w:rPr>
          <w:i w:val="0"/>
          <w:sz w:val="22"/>
        </w:rPr>
        <w:t xml:space="preserve"> Data points represent the mean value +/- SEM.</w:t>
      </w:r>
      <w:r w:rsidR="000E7EC3">
        <w:rPr>
          <w:i w:val="0"/>
          <w:sz w:val="22"/>
        </w:rPr>
        <w:t xml:space="preserve"> See also companion Figure 2.</w:t>
      </w:r>
    </w:p>
    <w:p w14:paraId="310D5054" w14:textId="77777777" w:rsidR="003D3A5F" w:rsidRDefault="003D3A5F">
      <w:pPr>
        <w:rPr>
          <w:rFonts w:ascii="Palatino Linotype" w:eastAsia="Times New Roman" w:hAnsi="Palatino Linotype" w:cs="Times New Roman"/>
          <w:noProof/>
          <w:snapToGrid w:val="0"/>
          <w:color w:val="000000"/>
          <w:lang w:eastAsia="de-DE" w:bidi="en-US"/>
        </w:rPr>
      </w:pPr>
      <w:r>
        <w:rPr>
          <w:i/>
        </w:rPr>
        <w:br w:type="page"/>
      </w:r>
    </w:p>
    <w:p w14:paraId="66CF6BBF" w14:textId="77777777" w:rsidR="00D17352" w:rsidRDefault="003D3A5F" w:rsidP="00D17352">
      <w:pPr>
        <w:pStyle w:val="MDPI22heading2"/>
        <w:suppressAutoHyphens/>
        <w:spacing w:before="0"/>
        <w:ind w:left="0"/>
        <w:jc w:val="both"/>
        <w:rPr>
          <w:b/>
          <w:i w:val="0"/>
          <w:sz w:val="22"/>
          <w:u w:val="single"/>
        </w:rPr>
      </w:pPr>
      <w:r w:rsidRPr="003D3A5F">
        <w:rPr>
          <w:b/>
          <w:i w:val="0"/>
          <w:sz w:val="22"/>
          <w:u w:val="single"/>
        </w:rPr>
        <w:lastRenderedPageBreak/>
        <w:t>Supplemental Figure 3.</w:t>
      </w:r>
    </w:p>
    <w:p w14:paraId="3E65784C" w14:textId="77777777" w:rsidR="003D3A5F" w:rsidRPr="003D3A5F" w:rsidRDefault="003D3A5F" w:rsidP="00D17352">
      <w:pPr>
        <w:pStyle w:val="MDPI22heading2"/>
        <w:suppressAutoHyphens/>
        <w:spacing w:before="0"/>
        <w:ind w:left="0"/>
        <w:jc w:val="both"/>
        <w:rPr>
          <w:i w:val="0"/>
          <w:sz w:val="22"/>
        </w:rPr>
      </w:pPr>
    </w:p>
    <w:p w14:paraId="55C4C364" w14:textId="77AF06DD" w:rsidR="002A1663" w:rsidRDefault="00F16B42" w:rsidP="00F50ED3">
      <w:pPr>
        <w:jc w:val="both"/>
      </w:pPr>
      <w:r>
        <w:rPr>
          <w:noProof/>
        </w:rPr>
        <w:drawing>
          <wp:inline distT="0" distB="0" distL="0" distR="0" wp14:anchorId="0E431C89" wp14:editId="7F8418C2">
            <wp:extent cx="3914775" cy="2682240"/>
            <wp:effectExtent l="19050" t="19050" r="28575" b="228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1"/>
                    <a:stretch/>
                  </pic:blipFill>
                  <pic:spPr bwMode="auto">
                    <a:xfrm>
                      <a:off x="0" y="0"/>
                      <a:ext cx="3914775" cy="268224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8AD9D" w14:textId="763339B4" w:rsidR="00A877BC" w:rsidRDefault="002A1663" w:rsidP="009F2A77">
      <w:pPr>
        <w:pStyle w:val="MDPI31text"/>
        <w:suppressAutoHyphens/>
        <w:spacing w:line="240" w:lineRule="auto"/>
        <w:ind w:left="0" w:firstLine="0"/>
        <w:rPr>
          <w:sz w:val="22"/>
        </w:rPr>
      </w:pPr>
      <w:r w:rsidRPr="009F2A77">
        <w:rPr>
          <w:b/>
          <w:sz w:val="22"/>
        </w:rPr>
        <w:t>Supplemental F</w:t>
      </w:r>
      <w:r w:rsidR="007462D0">
        <w:rPr>
          <w:b/>
          <w:sz w:val="22"/>
        </w:rPr>
        <w:t>igure 3: N</w:t>
      </w:r>
      <w:r w:rsidRPr="009F2A77">
        <w:rPr>
          <w:b/>
          <w:sz w:val="22"/>
        </w:rPr>
        <w:t>euromuscular coordination</w:t>
      </w:r>
      <w:r w:rsidR="007462D0">
        <w:rPr>
          <w:b/>
          <w:sz w:val="22"/>
        </w:rPr>
        <w:t xml:space="preserve"> and learning</w:t>
      </w:r>
      <w:r w:rsidRPr="009F2A77">
        <w:rPr>
          <w:b/>
          <w:sz w:val="22"/>
        </w:rPr>
        <w:t xml:space="preserve"> in aged mice under HFD AL or HFD EOD fasting </w:t>
      </w:r>
      <w:r w:rsidR="007462D0">
        <w:rPr>
          <w:b/>
          <w:sz w:val="22"/>
        </w:rPr>
        <w:t>as determined by the rotarod test</w:t>
      </w:r>
      <w:r w:rsidRPr="009F2A77">
        <w:rPr>
          <w:b/>
          <w:sz w:val="22"/>
        </w:rPr>
        <w:t xml:space="preserve">. </w:t>
      </w:r>
      <w:r w:rsidR="005D1800">
        <w:rPr>
          <w:b/>
          <w:sz w:val="22"/>
        </w:rPr>
        <w:t>(</w:t>
      </w:r>
      <w:r w:rsidR="001609A7">
        <w:rPr>
          <w:b/>
          <w:sz w:val="22"/>
        </w:rPr>
        <w:t>a</w:t>
      </w:r>
      <w:r w:rsidRPr="009F2A77">
        <w:rPr>
          <w:sz w:val="22"/>
        </w:rPr>
        <w:t xml:space="preserve">) </w:t>
      </w:r>
      <w:r w:rsidR="00605D5C">
        <w:rPr>
          <w:sz w:val="22"/>
        </w:rPr>
        <w:t>Percent improvement at the Post diet change (PDC) compared to</w:t>
      </w:r>
      <w:r w:rsidR="005D1800">
        <w:rPr>
          <w:sz w:val="22"/>
        </w:rPr>
        <w:t xml:space="preserve"> Before diet change (BDC) </w:t>
      </w:r>
      <w:r w:rsidR="00496A38">
        <w:rPr>
          <w:sz w:val="22"/>
        </w:rPr>
        <w:t xml:space="preserve">on an animal to animal </w:t>
      </w:r>
      <w:r w:rsidR="007462D0">
        <w:rPr>
          <w:sz w:val="22"/>
        </w:rPr>
        <w:t>average area under the curve (AUC) for time to fall (TTF) from each of the 4 trials conducted at each time point</w:t>
      </w:r>
      <w:r w:rsidR="005D1800">
        <w:rPr>
          <w:sz w:val="22"/>
        </w:rPr>
        <w:t xml:space="preserve"> </w:t>
      </w:r>
      <w:r w:rsidR="007462D0">
        <w:rPr>
          <w:sz w:val="22"/>
        </w:rPr>
        <w:t>in the rotarod test.</w:t>
      </w:r>
      <w:r w:rsidR="00A673D9">
        <w:rPr>
          <w:sz w:val="22"/>
        </w:rPr>
        <w:t xml:space="preserve"> NS = not significant.</w:t>
      </w:r>
      <w:r w:rsidR="00496A38">
        <w:rPr>
          <w:sz w:val="22"/>
        </w:rPr>
        <w:t xml:space="preserve"> See also companion Figure 3.</w:t>
      </w:r>
    </w:p>
    <w:p w14:paraId="2E795B85" w14:textId="77777777" w:rsidR="00A877BC" w:rsidRDefault="00A877BC">
      <w:pPr>
        <w:rPr>
          <w:rFonts w:ascii="Palatino Linotype" w:eastAsia="Times New Roman" w:hAnsi="Palatino Linotype" w:cs="Times New Roman"/>
          <w:snapToGrid w:val="0"/>
          <w:color w:val="000000"/>
          <w:lang w:eastAsia="de-DE" w:bidi="en-US"/>
        </w:rPr>
      </w:pPr>
      <w:r>
        <w:br w:type="page"/>
      </w:r>
    </w:p>
    <w:p w14:paraId="00B8BDFC" w14:textId="77777777" w:rsidR="002A1663" w:rsidRDefault="00A877BC" w:rsidP="009F2A77">
      <w:pPr>
        <w:pStyle w:val="MDPI31text"/>
        <w:suppressAutoHyphens/>
        <w:spacing w:line="240" w:lineRule="auto"/>
        <w:ind w:left="0" w:firstLine="0"/>
        <w:rPr>
          <w:b/>
          <w:sz w:val="22"/>
          <w:u w:val="single"/>
        </w:rPr>
      </w:pPr>
      <w:r w:rsidRPr="00A877BC">
        <w:rPr>
          <w:b/>
          <w:sz w:val="22"/>
          <w:u w:val="single"/>
        </w:rPr>
        <w:lastRenderedPageBreak/>
        <w:t>Supplemental Figure 4.</w:t>
      </w:r>
    </w:p>
    <w:p w14:paraId="4A5D16A8" w14:textId="77777777" w:rsidR="00A877BC" w:rsidRPr="00A877BC" w:rsidRDefault="00A877BC" w:rsidP="009F2A77">
      <w:pPr>
        <w:pStyle w:val="MDPI31text"/>
        <w:suppressAutoHyphens/>
        <w:spacing w:line="240" w:lineRule="auto"/>
        <w:ind w:left="0" w:firstLine="0"/>
        <w:rPr>
          <w:sz w:val="22"/>
        </w:rPr>
      </w:pPr>
    </w:p>
    <w:p w14:paraId="703B0804" w14:textId="528EAE6D" w:rsidR="00A877BC" w:rsidRDefault="00B36D14" w:rsidP="002A1663">
      <w:r>
        <w:rPr>
          <w:noProof/>
        </w:rPr>
        <w:drawing>
          <wp:inline distT="0" distB="0" distL="0" distR="0" wp14:anchorId="617696D9" wp14:editId="52CB217B">
            <wp:extent cx="6370320" cy="4038612"/>
            <wp:effectExtent l="19050" t="19050" r="1143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05" cy="4047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AF76B8" w14:textId="25630A01" w:rsidR="00A877BC" w:rsidRPr="00330F39" w:rsidRDefault="00A877BC" w:rsidP="00A877BC">
      <w:pPr>
        <w:pStyle w:val="MDPI31text"/>
        <w:suppressAutoHyphens/>
        <w:ind w:left="0" w:firstLine="0"/>
        <w:rPr>
          <w:color w:val="auto"/>
          <w:szCs w:val="20"/>
        </w:rPr>
      </w:pPr>
      <w:r w:rsidRPr="00330F39">
        <w:rPr>
          <w:b/>
          <w:szCs w:val="20"/>
        </w:rPr>
        <w:t>Supplemental Figure 4. Late-life EOD fasting on a</w:t>
      </w:r>
      <w:r w:rsidR="00B74EE6" w:rsidRPr="00330F39">
        <w:rPr>
          <w:b/>
          <w:szCs w:val="20"/>
        </w:rPr>
        <w:t>n</w:t>
      </w:r>
      <w:r w:rsidRPr="00330F39">
        <w:rPr>
          <w:b/>
          <w:szCs w:val="20"/>
        </w:rPr>
        <w:t xml:space="preserve"> HFD background </w:t>
      </w:r>
      <w:r w:rsidR="00183237" w:rsidRPr="00330F39">
        <w:rPr>
          <w:b/>
          <w:szCs w:val="20"/>
        </w:rPr>
        <w:t xml:space="preserve">only minimally improves </w:t>
      </w:r>
      <w:r w:rsidR="00394102" w:rsidRPr="00330F39">
        <w:rPr>
          <w:b/>
          <w:szCs w:val="20"/>
        </w:rPr>
        <w:t>spontaneous movement</w:t>
      </w:r>
      <w:r w:rsidR="00183237" w:rsidRPr="00330F39">
        <w:rPr>
          <w:b/>
          <w:szCs w:val="20"/>
        </w:rPr>
        <w:t xml:space="preserve"> speed and distance traveled. </w:t>
      </w:r>
      <w:r w:rsidR="00527A71" w:rsidRPr="00330F39">
        <w:rPr>
          <w:b/>
          <w:szCs w:val="20"/>
        </w:rPr>
        <w:t>(a</w:t>
      </w:r>
      <w:r w:rsidRPr="00330F39">
        <w:rPr>
          <w:b/>
          <w:szCs w:val="20"/>
        </w:rPr>
        <w:t xml:space="preserve">) </w:t>
      </w:r>
      <w:r w:rsidR="00683F49" w:rsidRPr="00330F39">
        <w:rPr>
          <w:szCs w:val="20"/>
        </w:rPr>
        <w:t>Spontaneous</w:t>
      </w:r>
      <w:r w:rsidR="00B80289" w:rsidRPr="00330F39">
        <w:rPr>
          <w:szCs w:val="20"/>
        </w:rPr>
        <w:t xml:space="preserve"> movement in the</w:t>
      </w:r>
      <w:r w:rsidR="00683F49" w:rsidRPr="00330F39">
        <w:rPr>
          <w:szCs w:val="20"/>
        </w:rPr>
        <w:t xml:space="preserve"> </w:t>
      </w:r>
      <w:r w:rsidRPr="00330F39">
        <w:rPr>
          <w:szCs w:val="20"/>
        </w:rPr>
        <w:t>Y maze</w:t>
      </w:r>
      <w:r w:rsidR="00B80289" w:rsidRPr="00330F39">
        <w:rPr>
          <w:szCs w:val="20"/>
        </w:rPr>
        <w:t xml:space="preserve"> arms, as measured by velocity in mm/sec, at both </w:t>
      </w:r>
      <w:r w:rsidRPr="00330F39">
        <w:rPr>
          <w:szCs w:val="20"/>
        </w:rPr>
        <w:t>BDC and PDC in H</w:t>
      </w:r>
      <w:r w:rsidR="00B80289" w:rsidRPr="00330F39">
        <w:rPr>
          <w:szCs w:val="20"/>
        </w:rPr>
        <w:t>FD AL and HFD EOD groups. (</w:t>
      </w:r>
      <w:proofErr w:type="gramStart"/>
      <w:r w:rsidR="00527A71" w:rsidRPr="00330F39">
        <w:rPr>
          <w:b/>
          <w:szCs w:val="20"/>
        </w:rPr>
        <w:t>b-c</w:t>
      </w:r>
      <w:proofErr w:type="gramEnd"/>
      <w:r w:rsidRPr="00330F39">
        <w:rPr>
          <w:szCs w:val="20"/>
        </w:rPr>
        <w:t>)</w:t>
      </w:r>
      <w:r w:rsidR="009D244E" w:rsidRPr="00330F39">
        <w:rPr>
          <w:szCs w:val="20"/>
        </w:rPr>
        <w:t xml:space="preserve"> In addition to measuring anxiety parameters, the open field test</w:t>
      </w:r>
      <w:r w:rsidRPr="00330F39">
        <w:rPr>
          <w:szCs w:val="20"/>
        </w:rPr>
        <w:t xml:space="preserve"> </w:t>
      </w:r>
      <w:r w:rsidR="009D244E" w:rsidRPr="00330F39">
        <w:rPr>
          <w:szCs w:val="20"/>
        </w:rPr>
        <w:t>also measured average velocity in mm/sec (</w:t>
      </w:r>
      <w:r w:rsidR="00527A71" w:rsidRPr="00330F39">
        <w:rPr>
          <w:b/>
          <w:szCs w:val="20"/>
        </w:rPr>
        <w:t>b</w:t>
      </w:r>
      <w:r w:rsidR="009D244E" w:rsidRPr="00330F39">
        <w:rPr>
          <w:szCs w:val="20"/>
        </w:rPr>
        <w:t>) and total distance traveled as area under the curve (</w:t>
      </w:r>
      <w:r w:rsidR="00527A71" w:rsidRPr="00330F39">
        <w:rPr>
          <w:b/>
          <w:szCs w:val="20"/>
        </w:rPr>
        <w:t>c</w:t>
      </w:r>
      <w:r w:rsidR="009D244E" w:rsidRPr="00330F39">
        <w:rPr>
          <w:szCs w:val="20"/>
        </w:rPr>
        <w:t>) for the 10 minutes mice spent in the apparatus</w:t>
      </w:r>
      <w:r w:rsidR="005D7368" w:rsidRPr="00330F39">
        <w:rPr>
          <w:szCs w:val="20"/>
        </w:rPr>
        <w:t xml:space="preserve"> BDC and PDC</w:t>
      </w:r>
      <w:r w:rsidR="00AF6B27" w:rsidRPr="00330F39">
        <w:rPr>
          <w:szCs w:val="20"/>
        </w:rPr>
        <w:t xml:space="preserve"> in these Log2 plots</w:t>
      </w:r>
      <w:r w:rsidR="009D244E" w:rsidRPr="00330F39">
        <w:rPr>
          <w:szCs w:val="20"/>
        </w:rPr>
        <w:t>.</w:t>
      </w:r>
      <w:r w:rsidR="00AE1DDB" w:rsidRPr="00330F39">
        <w:rPr>
          <w:szCs w:val="20"/>
        </w:rPr>
        <w:t xml:space="preserve"> Data is also plotted as a ratio of PDC:BDC in b </w:t>
      </w:r>
      <w:r w:rsidR="00AE1DDB" w:rsidRPr="00330F39">
        <w:rPr>
          <w:color w:val="auto"/>
          <w:szCs w:val="20"/>
        </w:rPr>
        <w:t xml:space="preserve">&amp; c. </w:t>
      </w:r>
      <w:r w:rsidR="00AB0D22" w:rsidRPr="00330F39">
        <w:rPr>
          <w:b/>
          <w:color w:val="auto"/>
          <w:szCs w:val="20"/>
        </w:rPr>
        <w:t xml:space="preserve">(d-e) </w:t>
      </w:r>
      <w:r w:rsidR="00AB0D22" w:rsidRPr="00330F39">
        <w:rPr>
          <w:color w:val="auto"/>
          <w:szCs w:val="20"/>
        </w:rPr>
        <w:t>H</w:t>
      </w:r>
      <w:r w:rsidR="00AB0D22" w:rsidRPr="00330F39">
        <w:rPr>
          <w:color w:val="auto"/>
          <w:szCs w:val="20"/>
          <w:vertAlign w:val="subscript"/>
        </w:rPr>
        <w:t>2</w:t>
      </w:r>
      <w:r w:rsidR="00AE1DDB" w:rsidRPr="00330F39">
        <w:rPr>
          <w:color w:val="auto"/>
          <w:szCs w:val="20"/>
        </w:rPr>
        <w:t xml:space="preserve">S production capacity in </w:t>
      </w:r>
      <w:r w:rsidR="00AB0D22" w:rsidRPr="00330F39">
        <w:rPr>
          <w:color w:val="auto"/>
          <w:szCs w:val="20"/>
        </w:rPr>
        <w:t>liver</w:t>
      </w:r>
      <w:r w:rsidR="00AE1DDB" w:rsidRPr="00330F39">
        <w:rPr>
          <w:color w:val="auto"/>
          <w:szCs w:val="20"/>
        </w:rPr>
        <w:t xml:space="preserve"> (</w:t>
      </w:r>
      <w:r w:rsidR="00AE1DDB" w:rsidRPr="00330F39">
        <w:rPr>
          <w:b/>
          <w:color w:val="auto"/>
          <w:szCs w:val="20"/>
        </w:rPr>
        <w:t>d</w:t>
      </w:r>
      <w:r w:rsidR="00AE1DDB" w:rsidRPr="00330F39">
        <w:rPr>
          <w:color w:val="auto"/>
          <w:szCs w:val="20"/>
        </w:rPr>
        <w:t>) and skeletal muscle (</w:t>
      </w:r>
      <w:r w:rsidR="00AE1DDB" w:rsidRPr="00330F39">
        <w:rPr>
          <w:b/>
          <w:color w:val="auto"/>
          <w:szCs w:val="20"/>
        </w:rPr>
        <w:t>e</w:t>
      </w:r>
      <w:r w:rsidR="00AE1DDB" w:rsidRPr="00330F39">
        <w:rPr>
          <w:color w:val="auto"/>
          <w:szCs w:val="20"/>
        </w:rPr>
        <w:t xml:space="preserve">) </w:t>
      </w:r>
      <w:r w:rsidR="00AB0D22" w:rsidRPr="00330F39">
        <w:rPr>
          <w:color w:val="auto"/>
          <w:szCs w:val="20"/>
        </w:rPr>
        <w:t xml:space="preserve"> (n = 3</w:t>
      </w:r>
      <w:r w:rsidR="00AE1DDB" w:rsidRPr="00330F39">
        <w:rPr>
          <w:color w:val="auto"/>
          <w:szCs w:val="20"/>
        </w:rPr>
        <w:t>/group</w:t>
      </w:r>
      <w:r w:rsidR="00AB0D22" w:rsidRPr="00330F39">
        <w:rPr>
          <w:color w:val="auto"/>
          <w:szCs w:val="20"/>
        </w:rPr>
        <w:t xml:space="preserve">) </w:t>
      </w:r>
      <w:r w:rsidR="00AE1DDB" w:rsidRPr="00330F39">
        <w:rPr>
          <w:color w:val="auto"/>
          <w:szCs w:val="20"/>
        </w:rPr>
        <w:t xml:space="preserve">as </w:t>
      </w:r>
      <w:r w:rsidR="00AB0D22" w:rsidRPr="00330F39">
        <w:rPr>
          <w:color w:val="auto"/>
          <w:szCs w:val="20"/>
        </w:rPr>
        <w:t>measured by the filter paper-embedded lead acetate/lead sulfide endpoint assay and quantified with the ImageJ IntDen analysis function</w:t>
      </w:r>
      <w:r w:rsidR="00AE1DDB" w:rsidRPr="00330F39">
        <w:rPr>
          <w:color w:val="auto"/>
          <w:szCs w:val="20"/>
        </w:rPr>
        <w:t xml:space="preserve"> after subtracting the reaction mix blank wells.</w:t>
      </w:r>
      <w:r w:rsidR="00755883" w:rsidRPr="00330F39">
        <w:rPr>
          <w:color w:val="auto"/>
          <w:szCs w:val="20"/>
        </w:rPr>
        <w:t xml:space="preserve"> (</w:t>
      </w:r>
      <w:r w:rsidR="00755883" w:rsidRPr="00330F39">
        <w:rPr>
          <w:b/>
          <w:color w:val="auto"/>
          <w:szCs w:val="20"/>
        </w:rPr>
        <w:t>d</w:t>
      </w:r>
      <w:r w:rsidR="00755883" w:rsidRPr="00330F39">
        <w:rPr>
          <w:color w:val="auto"/>
          <w:szCs w:val="20"/>
        </w:rPr>
        <w:t>) H</w:t>
      </w:r>
      <w:r w:rsidR="00755883" w:rsidRPr="00330F39">
        <w:rPr>
          <w:color w:val="auto"/>
          <w:szCs w:val="20"/>
          <w:vertAlign w:val="subscript"/>
        </w:rPr>
        <w:t>2</w:t>
      </w:r>
      <w:r w:rsidR="00755883" w:rsidRPr="00330F39">
        <w:rPr>
          <w:color w:val="auto"/>
          <w:szCs w:val="20"/>
        </w:rPr>
        <w:t>S production i</w:t>
      </w:r>
      <w:r w:rsidR="00107F6F">
        <w:rPr>
          <w:color w:val="auto"/>
          <w:szCs w:val="20"/>
        </w:rPr>
        <w:t xml:space="preserve">n livers from young 6 month </w:t>
      </w:r>
      <w:r w:rsidR="00755883" w:rsidRPr="00330F39">
        <w:rPr>
          <w:color w:val="auto"/>
          <w:szCs w:val="20"/>
        </w:rPr>
        <w:t xml:space="preserve">mice on AL low fat </w:t>
      </w:r>
      <w:r w:rsidR="00107F6F">
        <w:rPr>
          <w:color w:val="auto"/>
          <w:szCs w:val="20"/>
        </w:rPr>
        <w:t xml:space="preserve">chow diet versus old 2 year </w:t>
      </w:r>
      <w:r w:rsidR="00755883" w:rsidRPr="00330F39">
        <w:rPr>
          <w:color w:val="auto"/>
          <w:szCs w:val="20"/>
        </w:rPr>
        <w:t>mice on AL low fat chow diets or HFD and associated quantification and statistical analysis.</w:t>
      </w:r>
      <w:r w:rsidR="004438E0" w:rsidRPr="00330F39">
        <w:rPr>
          <w:color w:val="auto"/>
          <w:szCs w:val="20"/>
        </w:rPr>
        <w:t xml:space="preserve"> </w:t>
      </w:r>
      <w:r w:rsidR="004532DF" w:rsidRPr="00330F39">
        <w:rPr>
          <w:color w:val="auto"/>
          <w:szCs w:val="20"/>
        </w:rPr>
        <w:t>(</w:t>
      </w:r>
      <w:r w:rsidR="004532DF" w:rsidRPr="00330F39">
        <w:rPr>
          <w:b/>
          <w:color w:val="auto"/>
          <w:szCs w:val="20"/>
        </w:rPr>
        <w:t>e</w:t>
      </w:r>
      <w:r w:rsidR="004532DF" w:rsidRPr="00330F39">
        <w:rPr>
          <w:color w:val="auto"/>
          <w:szCs w:val="20"/>
        </w:rPr>
        <w:t>)</w:t>
      </w:r>
      <w:r w:rsidR="009E6BC9" w:rsidRPr="00330F39">
        <w:rPr>
          <w:color w:val="auto"/>
          <w:szCs w:val="20"/>
        </w:rPr>
        <w:t xml:space="preserve"> H</w:t>
      </w:r>
      <w:r w:rsidR="009E6BC9" w:rsidRPr="00330F39">
        <w:rPr>
          <w:color w:val="auto"/>
          <w:szCs w:val="20"/>
          <w:vertAlign w:val="subscript"/>
        </w:rPr>
        <w:t>2</w:t>
      </w:r>
      <w:r w:rsidR="009E6BC9" w:rsidRPr="00330F39">
        <w:rPr>
          <w:color w:val="auto"/>
          <w:szCs w:val="20"/>
        </w:rPr>
        <w:t xml:space="preserve">S production from skeletal muscle (quadriceps) </w:t>
      </w:r>
      <w:r w:rsidR="000C06E7" w:rsidRPr="00330F39">
        <w:rPr>
          <w:color w:val="auto"/>
          <w:szCs w:val="20"/>
        </w:rPr>
        <w:t>from PDC HFD AL and HFD EOD groups.</w:t>
      </w:r>
      <w:r w:rsidR="00755883" w:rsidRPr="00330F39">
        <w:rPr>
          <w:color w:val="auto"/>
          <w:szCs w:val="20"/>
        </w:rPr>
        <w:t xml:space="preserve"> </w:t>
      </w:r>
      <w:r w:rsidRPr="00330F39">
        <w:rPr>
          <w:color w:val="auto"/>
          <w:szCs w:val="20"/>
        </w:rPr>
        <w:t>For all plots, N = 2-3 mice per group and testing period. The figures depict the mean ± SEM, with NS = not significant.</w:t>
      </w:r>
      <w:r w:rsidR="005D7368" w:rsidRPr="00330F39">
        <w:rPr>
          <w:color w:val="auto"/>
          <w:szCs w:val="20"/>
        </w:rPr>
        <w:t xml:space="preserve"> See also companion Figure 4.</w:t>
      </w:r>
      <w:bookmarkStart w:id="0" w:name="_GoBack"/>
      <w:bookmarkEnd w:id="0"/>
    </w:p>
    <w:p w14:paraId="1D6A2EA9" w14:textId="77777777" w:rsidR="00D17352" w:rsidRPr="00A877BC" w:rsidRDefault="00D17352" w:rsidP="00A877BC"/>
    <w:sectPr w:rsidR="00D17352" w:rsidRPr="00A877BC" w:rsidSect="00F50ED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G2sDA1NjMztDQ3tTBS0lEKTi0uzszPAykwqgUAMEAgFiwAAAA="/>
  </w:docVars>
  <w:rsids>
    <w:rsidRoot w:val="00F50ED3"/>
    <w:rsid w:val="0006589C"/>
    <w:rsid w:val="000C06E7"/>
    <w:rsid w:val="000E7EC3"/>
    <w:rsid w:val="00107F6F"/>
    <w:rsid w:val="001536D8"/>
    <w:rsid w:val="001609A7"/>
    <w:rsid w:val="00183237"/>
    <w:rsid w:val="001D0AED"/>
    <w:rsid w:val="001D444A"/>
    <w:rsid w:val="00284EAC"/>
    <w:rsid w:val="002A1663"/>
    <w:rsid w:val="002D2BEB"/>
    <w:rsid w:val="002F1F7A"/>
    <w:rsid w:val="002F3B99"/>
    <w:rsid w:val="003076C3"/>
    <w:rsid w:val="0032225B"/>
    <w:rsid w:val="00330F39"/>
    <w:rsid w:val="00365750"/>
    <w:rsid w:val="00394102"/>
    <w:rsid w:val="003C6769"/>
    <w:rsid w:val="003D3A5F"/>
    <w:rsid w:val="003D4262"/>
    <w:rsid w:val="00422CE0"/>
    <w:rsid w:val="004438E0"/>
    <w:rsid w:val="004532DF"/>
    <w:rsid w:val="00496A38"/>
    <w:rsid w:val="004A7B12"/>
    <w:rsid w:val="00527A71"/>
    <w:rsid w:val="00572CAA"/>
    <w:rsid w:val="005A712C"/>
    <w:rsid w:val="005D1800"/>
    <w:rsid w:val="005D7368"/>
    <w:rsid w:val="005E17ED"/>
    <w:rsid w:val="00605D5C"/>
    <w:rsid w:val="00683F49"/>
    <w:rsid w:val="006879AA"/>
    <w:rsid w:val="00695826"/>
    <w:rsid w:val="006F3872"/>
    <w:rsid w:val="007113F5"/>
    <w:rsid w:val="007227E3"/>
    <w:rsid w:val="007230EA"/>
    <w:rsid w:val="007462D0"/>
    <w:rsid w:val="007509C5"/>
    <w:rsid w:val="00755883"/>
    <w:rsid w:val="00783665"/>
    <w:rsid w:val="007E4EE1"/>
    <w:rsid w:val="00813F4F"/>
    <w:rsid w:val="009348A9"/>
    <w:rsid w:val="009C07EE"/>
    <w:rsid w:val="009D244E"/>
    <w:rsid w:val="009E6BC9"/>
    <w:rsid w:val="009E7A2D"/>
    <w:rsid w:val="009F2A77"/>
    <w:rsid w:val="009F7C26"/>
    <w:rsid w:val="00A026F2"/>
    <w:rsid w:val="00A4011A"/>
    <w:rsid w:val="00A673D9"/>
    <w:rsid w:val="00A877BC"/>
    <w:rsid w:val="00AB0D22"/>
    <w:rsid w:val="00AE1DDB"/>
    <w:rsid w:val="00AF6B27"/>
    <w:rsid w:val="00B17FD1"/>
    <w:rsid w:val="00B36D14"/>
    <w:rsid w:val="00B67285"/>
    <w:rsid w:val="00B71EDD"/>
    <w:rsid w:val="00B74EE6"/>
    <w:rsid w:val="00B76941"/>
    <w:rsid w:val="00B80289"/>
    <w:rsid w:val="00B961F3"/>
    <w:rsid w:val="00C64523"/>
    <w:rsid w:val="00CB2EFE"/>
    <w:rsid w:val="00CC3DDA"/>
    <w:rsid w:val="00CE5A46"/>
    <w:rsid w:val="00D17352"/>
    <w:rsid w:val="00D37FC0"/>
    <w:rsid w:val="00DD2BAF"/>
    <w:rsid w:val="00DF1E6D"/>
    <w:rsid w:val="00EB39AC"/>
    <w:rsid w:val="00F01221"/>
    <w:rsid w:val="00F14185"/>
    <w:rsid w:val="00F16B42"/>
    <w:rsid w:val="00F23E49"/>
    <w:rsid w:val="00F35666"/>
    <w:rsid w:val="00F50ED3"/>
    <w:rsid w:val="00F55F32"/>
    <w:rsid w:val="00F9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EA24"/>
  <w15:chartTrackingRefBased/>
  <w15:docId w15:val="{6AA433FA-9668-44C8-A427-E1E4D088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qFormat/>
    <w:rsid w:val="00D1735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31text">
    <w:name w:val="MDPI_3.1_text"/>
    <w:link w:val="MDPI31textChar"/>
    <w:qFormat/>
    <w:rsid w:val="002A166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2A1663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4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E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E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4E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Hine, Christopher</dc:creator>
  <cp:keywords/>
  <dc:description/>
  <cp:lastModifiedBy>Hine, Christopher</cp:lastModifiedBy>
  <cp:revision>34</cp:revision>
  <dcterms:created xsi:type="dcterms:W3CDTF">2022-04-16T00:20:00Z</dcterms:created>
  <dcterms:modified xsi:type="dcterms:W3CDTF">2022-09-14T22:23:00Z</dcterms:modified>
</cp:coreProperties>
</file>