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1771650</wp:posOffset>
                </wp:positionH>
                <wp:positionV relativeFrom="page">
                  <wp:posOffset>6400800</wp:posOffset>
                </wp:positionV>
                <wp:extent cx="8187690" cy="51512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252150" y="3773300"/>
                          <a:ext cx="8610300" cy="50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Figure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S1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PRISMA flow chart describing search strategy for appropriate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Dietary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Restriction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studies to be used in the present meta-analysis.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1771650</wp:posOffset>
                </wp:positionH>
                <wp:positionV relativeFrom="page">
                  <wp:posOffset>6400800</wp:posOffset>
                </wp:positionV>
                <wp:extent cx="635" cy="515120"/>
                <wp:effectExtent b="0" l="0" r="0" t="0"/>
                <wp:wrapTopAndBottom distB="0" distT="0"/>
                <wp:docPr id="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515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Supplementary material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 Rapamycin not Dietary Restriction improves resilience against pathogens: a meta-analysis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72338" cy="5086607"/>
            <wp:effectExtent b="0" l="0" r="0" t="0"/>
            <wp:wrapTopAndBottom distB="114300" distT="1143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72338" cy="50866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458075" cy="5221554"/>
            <wp:effectExtent b="0" l="0" r="0" t="0"/>
            <wp:wrapTopAndBottom distB="114300" distT="11430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52215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857250</wp:posOffset>
                </wp:positionH>
                <wp:positionV relativeFrom="paragraph">
                  <wp:posOffset>5572125</wp:posOffset>
                </wp:positionV>
                <wp:extent cx="8077200" cy="502621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307400" y="3793875"/>
                          <a:ext cx="8704800" cy="49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Figure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S2: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 PRISMA flow chart describing search strategy for appropriate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rapamycin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studies to be used in the present meta-analysis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44546a"/>
                                <w:sz w:val="26"/>
                                <w:vertAlign w:val="baseline"/>
                              </w:rPr>
                              <w:t xml:space="preserve">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857250</wp:posOffset>
                </wp:positionH>
                <wp:positionV relativeFrom="paragraph">
                  <wp:posOffset>5572125</wp:posOffset>
                </wp:positionV>
                <wp:extent cx="635" cy="502621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502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4904.26639228731" w:type="dxa"/>
        <w:jc w:val="left"/>
        <w:tblInd w:w="-1134.0" w:type="dxa"/>
        <w:tblLayout w:type="fixed"/>
        <w:tblLook w:val="0400"/>
      </w:tblPr>
      <w:tblGrid>
        <w:gridCol w:w="1725"/>
        <w:gridCol w:w="1020"/>
        <w:gridCol w:w="600"/>
        <w:gridCol w:w="1260"/>
        <w:gridCol w:w="1564.3407566104752"/>
        <w:gridCol w:w="1564.3407566104752"/>
        <w:gridCol w:w="2999.0095281050912"/>
        <w:gridCol w:w="1172.5658228561763"/>
        <w:gridCol w:w="913.2218526244573"/>
        <w:gridCol w:w="912.3021931555504"/>
        <w:gridCol w:w="1173.485482325083"/>
        <w:tblGridChange w:id="0">
          <w:tblGrid>
            <w:gridCol w:w="1725"/>
            <w:gridCol w:w="1020"/>
            <w:gridCol w:w="600"/>
            <w:gridCol w:w="1260"/>
            <w:gridCol w:w="1564.3407566104752"/>
            <w:gridCol w:w="1564.3407566104752"/>
            <w:gridCol w:w="2999.0095281050912"/>
            <w:gridCol w:w="1172.5658228561763"/>
            <w:gridCol w:w="913.2218526244573"/>
            <w:gridCol w:w="912.3021931555504"/>
            <w:gridCol w:w="1173.485482325083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  <w:rtl w:val="0"/>
              </w:rPr>
              <w:t xml:space="preserve">Table S1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: Additional details of Dietary Restriction studies used in the meta-analysis, including effect sizes and details of DR treatments, infections and mouse populations used in each experiment.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Dataset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Effect Size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(ln 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Details of Infection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Details of Mouse Populations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Estimate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Degree of Restriction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Age at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Strength of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Pathogen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Infection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Sample Size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Genotype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Clinthorne et al., 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Influenza,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Gardner et al., 2005 (1)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(Influenza,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Gardner et al., 2005 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Influenza,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Gardner et al., 2005 (3)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(Influenza,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Gardner et al., 2005 (4)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(Influenza,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Goldberg et al., 2015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1000 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Flavivirus,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West Nile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Goldberg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1000 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Flavivirus,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West Nile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(1)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Mejia et al., 2015 (7)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Plasmodium.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Rao et al., 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6-8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 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Salmonella Typhimurium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Ritz et al., 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(Influenza,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7ce" w:val="clea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582.1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Trujillo-Ferrara et al., 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10000 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Salmonella Typhimurium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Rows highlighted in red indicate experiments where DR had a significantly negative effect on post infection survival.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Rows highlighted in green indicate experiments where DR had a significantly positive effect on post infection survival. 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NS = Not Stated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* Mejia and colleagues conducted the only DR study to test multiple start points for restriction at 7 days (1, 6, 7), 4 days (2) and 2 days (3) before infection, on the day of infection (4) and 2 days post infection (5). Only data from fig. d and fig. i were included. </w:t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6575.0" w:type="dxa"/>
        <w:jc w:val="left"/>
        <w:tblInd w:w="-1134.0" w:type="dxa"/>
        <w:tblLayout w:type="fixed"/>
        <w:tblLook w:val="0400"/>
      </w:tblPr>
      <w:tblGrid>
        <w:gridCol w:w="1305"/>
        <w:gridCol w:w="1110"/>
        <w:gridCol w:w="615"/>
        <w:gridCol w:w="1455"/>
        <w:gridCol w:w="2370"/>
        <w:gridCol w:w="1065"/>
        <w:gridCol w:w="1155"/>
        <w:gridCol w:w="2010"/>
        <w:gridCol w:w="1470"/>
        <w:gridCol w:w="1080"/>
        <w:gridCol w:w="975"/>
        <w:gridCol w:w="795"/>
        <w:gridCol w:w="1170"/>
        <w:tblGridChange w:id="0">
          <w:tblGrid>
            <w:gridCol w:w="1305"/>
            <w:gridCol w:w="1110"/>
            <w:gridCol w:w="615"/>
            <w:gridCol w:w="1455"/>
            <w:gridCol w:w="2370"/>
            <w:gridCol w:w="1065"/>
            <w:gridCol w:w="1155"/>
            <w:gridCol w:w="2010"/>
            <w:gridCol w:w="1470"/>
            <w:gridCol w:w="1080"/>
            <w:gridCol w:w="975"/>
            <w:gridCol w:w="795"/>
            <w:gridCol w:w="1170"/>
          </w:tblGrid>
        </w:tblGridChange>
      </w:tblGrid>
      <w:tr>
        <w:trPr>
          <w:cantSplit w:val="1"/>
          <w:trHeight w:val="290.2677165354331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6"/>
                <w:szCs w:val="26"/>
                <w:rtl w:val="0"/>
              </w:rPr>
              <w:t xml:space="preserve">Table S2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  <w:rtl w:val="0"/>
              </w:rPr>
              <w:t xml:space="preserve">: Additional details of rapamycin studies used in the meta-analysis, including effect sizes and details of DR treatments, infections and mouse populations used in each experiment.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Dataset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Effect Size 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HR)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Details of Rapamycin Treatment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Details of Infection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Details of Mouse Population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Rapamycin Dose*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Frequency of Treatment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Age at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Priming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Pathogen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Infection Strength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Infection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Sample Size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Genotype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Bell et al., 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-1.91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 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 hour before infection to 10 days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6-8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(Rift Valley Fever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150 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Bell et al., 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 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 hour before infection to 14 days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6-8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(Rift Valley Fever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1500 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Canivet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 4 to 13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4-5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(Herpes Simplex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1.5 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Canivet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 4 to 13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4-5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(Herpes Simplex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1.5 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Chen et al., 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-2.59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/kg every 2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 weeks before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22-24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Goldberg et al., 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 days before infection to 7 days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16-18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Flavivirus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, West Nile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pfu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Goldberg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 months before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16-18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Flavivirus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, West Nile Virus)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Gordon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-3.34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day post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Plasmodium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Gordon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-2.95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 days post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Plasmodium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Gordon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 days post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Plasmodium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 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Gust et al., 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-1.94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 day before priming infection until secondary infection (28 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H5N1)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EID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Harrison et al., 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 weeks prior to infection and withdrawn before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24.5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Mycobacterium tuberculosis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(GP))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Inhalation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HET3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Heydarabadi et al., 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40μg/μl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Rhabdoviridae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, RABV)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NMRI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High and Washburn, 1996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/kg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day before infection to 14 days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Fungal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Aspergillus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fumigatus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7.5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conidia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CD-1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Hinojosa et al., 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2.2mg/kg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 weeks before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Streptococcus.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pneumoniae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(GP))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 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Inhalation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Both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Hinojosa et al., 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2.2mg/kg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86 weeks before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 months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Streptococcus.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pneumoniae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(GP))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 × 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Inhalation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Both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Jai et al., 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600μg/kg on day 1 then 300μg/kg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 hours post infection (until experiment end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6-8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H1N1 pdm09)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TCID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Jai et al., 2018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600μg/kg on day 1 then 300μg/kg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 days post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6-8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H1N1 pdm09)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TCID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BALB/c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Junkins et al., 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-0.72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days before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Bacterial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Pseudomonas aeruginosa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(GN))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Keating et al., 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-2.31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day before primer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A/HK/x31)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EID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C57BL/6J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Keating et al., 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day before priming infection to 28 days post priming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12-14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Influenza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H5N1)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4.5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EID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C57BL/6J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Keating et al., 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75μg/kg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day before priming infection to 28 days post priming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12-14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Influenza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4.5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EID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C57BL/6J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Kim et al., 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150 μg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and 5 hours after priming and 18 hours after secondary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Fungal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Candida albicans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Kim et al., 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-1.44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150 μg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and 5 hours after priming and 18 hours after secondary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Fungal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Candida albicans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×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cfu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Liepkalns et al., 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1.5 μg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 days before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1.5 LD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Liepkalns et al., 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 μg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 days before infection (until experiment end)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Viral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Influenza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H1N1 PR8)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1.5 LD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b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Intranasal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C57BL/7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Mejia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-2.81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mg/kg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 1 to 3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Plasmodium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Mejia et al., 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-2.19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 mg/kg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Days 1 to 3 post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8-10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Plasmodium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berghei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 million RBCs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fce" w:val="clear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Moraschi et al., 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0.075 mg/kg daily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34 days starting at priming infection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 weeks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Parasitic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Trypanosoma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8"/>
                <w:szCs w:val="18"/>
                <w:rtl w:val="0"/>
              </w:rPr>
              <w:t xml:space="preserve">cruzi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150 blood trypomastigotes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Injection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Both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C57BL/6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Rows highlighted in green indicate experiments where rapamycin had a significantly positive effect on post infection survival.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No experiment showed rapamycin to have a significantly negative effect on survival.</w:t>
            </w:r>
          </w:p>
        </w:tc>
      </w:tr>
      <w:tr>
        <w:trPr>
          <w:cantSplit w:val="0"/>
          <w:trHeight w:val="0" w:hRule="atLeast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NS = Not Stated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*Refers to body weight per mouse.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15163" cy="6098206"/>
                <wp:effectExtent b="0" l="0" r="0" t="0"/>
                <wp:wrapTopAndBottom distB="114300" distT="11430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35100" y="230325"/>
                          <a:ext cx="7015163" cy="6098206"/>
                          <a:chOff x="935100" y="230325"/>
                          <a:chExt cx="7490400" cy="6506275"/>
                        </a:xfrm>
                      </wpg:grpSpPr>
                      <wps:wsp>
                        <wps:cNvSpPr txBox="1"/>
                        <wps:cNvPr id="2" name="Shape 2"/>
                        <wps:spPr>
                          <a:xfrm>
                            <a:off x="935100" y="5951500"/>
                            <a:ext cx="7490400" cy="78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i w:val="1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Figure S3:</w:t>
                              </w: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1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1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Funnel plot of the hazard ratio estimates of survival curve pairs taken from DR studies. The white triangle represents the 95% confidence interval that all experimental hazard ratio estimates would be expected to fall within if no publication bias is present (Kendall’s τb rank correlation test, p=0.18).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pic:pic>
                        <pic:nvPicPr>
                          <pic:cNvPr descr="funnelDR.PNG" id="3" name="Shape 3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3000" y="230325"/>
                            <a:ext cx="6431143" cy="564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4" name="Shape 4"/>
                        <wps:spPr>
                          <a:xfrm>
                            <a:off x="7390525" y="230325"/>
                            <a:ext cx="594300" cy="50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42"/>
                                  <w:vertAlign w:val="baseline"/>
                                </w:rPr>
                                <w:t xml:space="preserve">DR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15163" cy="6098206"/>
                <wp:effectExtent b="0" l="0" r="0" t="0"/>
                <wp:wrapTopAndBottom distB="114300" distT="114300"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5163" cy="60982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77017" cy="6148797"/>
                <wp:effectExtent b="0" l="0" r="0" t="0"/>
                <wp:wrapTopAndBottom distB="114300" distT="11430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4913" y="201100"/>
                          <a:ext cx="7277017" cy="6148797"/>
                          <a:chOff x="2624913" y="201100"/>
                          <a:chExt cx="8585862" cy="7251025"/>
                        </a:xfrm>
                      </wpg:grpSpPr>
                      <wps:wsp>
                        <wps:cNvSpPr txBox="1"/>
                        <wps:cNvPr id="6" name="Shape 6"/>
                        <wps:spPr>
                          <a:xfrm>
                            <a:off x="2624925" y="6667025"/>
                            <a:ext cx="7328700" cy="78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i w:val="1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Figure S4:</w:t>
                              </w: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1"/>
                                  <w:smallCaps w:val="0"/>
                                  <w:strike w:val="0"/>
                                  <w:color w:val="000000"/>
                                  <w:sz w:val="26"/>
                                  <w:vertAlign w:val="baseline"/>
                                </w:rPr>
                                <w:t xml:space="preserve"> Funnel plot of the hazard ratio estimates of survival curve pairs taken from rapamycin studies. The white triangle represents the 95% confidence interval that all experimental hazard ratio estimates would be expected to fall within if no publication bias is present (Kendall’s τb rank correlation test, p=0.09)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pic:pic>
                        <pic:nvPicPr>
                          <pic:cNvPr descr="funnelRapa.PNG" id="7" name="Shape 7"/>
                          <pic:cNvPicPr preferRelativeResize="0"/>
                        </pic:nvPicPr>
                        <pic:blipFill>
                          <a:blip r:embed="rId13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4913" y="201100"/>
                            <a:ext cx="7081370" cy="636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8" name="Shape 8"/>
                        <wps:spPr>
                          <a:xfrm>
                            <a:off x="9706275" y="339600"/>
                            <a:ext cx="1504500" cy="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8"/>
                                  <w:vertAlign w:val="baseline"/>
                                </w:rPr>
                                <w:t xml:space="preserve">Rapamycin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77017" cy="6148797"/>
                <wp:effectExtent b="0" l="0" r="0" t="0"/>
                <wp:wrapTopAndBottom distB="114300" distT="114300"/>
                <wp:docPr id="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7017" cy="61487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631DB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E721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7213B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06447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 w:val="1"/>
    <w:qFormat w:val="1"/>
    <w:rsid w:val="00EF7D64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3.png"/><Relationship Id="rId13" Type="http://schemas.openxmlformats.org/officeDocument/2006/relationships/image" Target="media/image8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eader" Target="header1.xml"/><Relationship Id="rId14" Type="http://schemas.openxmlformats.org/officeDocument/2006/relationships/image" Target="media/image5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6H35RJ6PNeDOSQnf/tv0s9tNgw==">AMUW2mXzmvxXRkM9Wuto1gM496vVSEoLQ+fNTovb3uId0X7T94iDtaWGoscKSgM3TklX1/Uwo8Pub2VuWXIwJw0Umf6+LzAr7eQASE1r8sGHNYTcgsj5eVA1j+PPv8ibyB7YL8k3bOtpE6Xim0azNwoTYQL6kJi5QnKtTC2Js9nT+6CCcDDQHeZwBX2h8k8+bWIITGBiZstD9jMZXzSNCSqPui7+3eBx8Rt/JTAxzLFgCcakgXEj1xFGx+aaF3Y9Ekxr8u/8rvcLZS8+8jROyq9+zRaOmQIhazkSr/rfTduBwwiRcP2bSxgeT8gQX1H3vLdsqXxa49/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2022-08-09T17:46:00Z</dcterms:created>
  <dc:creator>Eleanor Phillips</dc:creator>
</cp:coreProperties>
</file>