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C0E" w:rsidRDefault="00D34C0E"/>
    <w:p w:rsidR="00D34C0E" w:rsidRDefault="00D34C0E"/>
    <w:p w:rsidR="00D34C0E" w:rsidRDefault="00D34C0E"/>
    <w:tbl>
      <w:tblPr>
        <w:tblW w:w="9003" w:type="dxa"/>
        <w:tblLook w:val="04A0" w:firstRow="1" w:lastRow="0" w:firstColumn="1" w:lastColumn="0" w:noHBand="0" w:noVBand="1"/>
      </w:tblPr>
      <w:tblGrid>
        <w:gridCol w:w="1812"/>
        <w:gridCol w:w="1168"/>
        <w:gridCol w:w="1232"/>
        <w:gridCol w:w="1166"/>
        <w:gridCol w:w="1165"/>
        <w:gridCol w:w="1295"/>
        <w:gridCol w:w="1165"/>
      </w:tblGrid>
      <w:tr w:rsidR="00D34C0E" w:rsidRPr="00D34C0E" w:rsidTr="00D34C0E">
        <w:trPr>
          <w:trHeight w:val="465"/>
        </w:trPr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8" w:space="0" w:color="A5A5A5"/>
              <w:right w:val="nil"/>
            </w:tcBorders>
            <w:shd w:val="clear" w:color="auto" w:fill="auto"/>
            <w:noWrap/>
            <w:hideMark/>
          </w:tcPr>
          <w:p w:rsidR="00D34C0E" w:rsidRPr="00D34C0E" w:rsidRDefault="00D34C0E" w:rsidP="00D34C0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D34C0E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3566" w:type="dxa"/>
            <w:gridSpan w:val="3"/>
            <w:tcBorders>
              <w:top w:val="single" w:sz="8" w:space="0" w:color="auto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000000" w:fill="F0F0F0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</w:rPr>
            </w:pPr>
            <w:r>
              <w:rPr>
                <w:rFonts w:ascii="Calibri" w:eastAsia="Times New Roman" w:hAnsi="Calibri" w:cs="Calibri"/>
                <w:b/>
                <w:bCs/>
                <w:noProof/>
                <w:sz w:val="36"/>
                <w:szCs w:val="36"/>
              </w:rPr>
              <w:drawing>
                <wp:inline distT="0" distB="0" distL="0" distR="0">
                  <wp:extent cx="304800" cy="304800"/>
                  <wp:effectExtent l="0" t="0" r="0" b="0"/>
                  <wp:docPr id="1" name="Graphic 1" descr="Fem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emale.sv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5" w:type="dxa"/>
            <w:gridSpan w:val="3"/>
            <w:tcBorders>
              <w:top w:val="single" w:sz="8" w:space="0" w:color="auto"/>
              <w:left w:val="nil"/>
              <w:bottom w:val="single" w:sz="8" w:space="0" w:color="A5A5A5"/>
              <w:right w:val="single" w:sz="8" w:space="0" w:color="000000"/>
            </w:tcBorders>
            <w:shd w:val="clear" w:color="000000" w:fill="F0F0F0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</w:rPr>
            </w:pPr>
            <w:r>
              <w:rPr>
                <w:rFonts w:ascii="Calibri" w:eastAsia="Times New Roman" w:hAnsi="Calibri" w:cs="Calibri"/>
                <w:b/>
                <w:bCs/>
                <w:noProof/>
                <w:sz w:val="36"/>
                <w:szCs w:val="36"/>
              </w:rPr>
              <w:drawing>
                <wp:inline distT="0" distB="0" distL="0" distR="0">
                  <wp:extent cx="317500" cy="317500"/>
                  <wp:effectExtent l="0" t="0" r="0" b="6350"/>
                  <wp:docPr id="2" name="Graphic 2" descr="M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ale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C0E" w:rsidRPr="00D34C0E" w:rsidTr="00D34C0E">
        <w:trPr>
          <w:trHeight w:val="261"/>
        </w:trPr>
        <w:tc>
          <w:tcPr>
            <w:tcW w:w="18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0F0F0"/>
            <w:noWrap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34C0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68" w:type="dxa"/>
            <w:tcBorders>
              <w:top w:val="nil"/>
              <w:left w:val="single" w:sz="8" w:space="0" w:color="A5A5A5"/>
              <w:bottom w:val="single" w:sz="8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Adult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Old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PDX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Adult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Old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5A5A5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PDX</w:t>
            </w:r>
          </w:p>
        </w:tc>
      </w:tr>
      <w:tr w:rsidR="00D34C0E" w:rsidRPr="00D34C0E" w:rsidTr="00D34C0E">
        <w:trPr>
          <w:trHeight w:val="281"/>
        </w:trPr>
        <w:tc>
          <w:tcPr>
            <w:tcW w:w="1812" w:type="dxa"/>
            <w:tcBorders>
              <w:top w:val="single" w:sz="8" w:space="0" w:color="A5A5A5"/>
              <w:left w:val="single" w:sz="8" w:space="0" w:color="auto"/>
              <w:bottom w:val="nil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34C0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IFN-γ, </w:t>
            </w:r>
            <w:proofErr w:type="spellStart"/>
            <w:r w:rsidRPr="00D34C0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pg</w:t>
            </w:r>
            <w:proofErr w:type="spellEnd"/>
            <w:r w:rsidRPr="00D34C0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/ml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76.5 ± 50.6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52.2 ± 25.5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92.6 ± 45.9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6.3 ± 1.05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35.1 ± 18.3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14.0 ± 4.36</w:t>
            </w:r>
          </w:p>
        </w:tc>
      </w:tr>
      <w:tr w:rsidR="00D34C0E" w:rsidRPr="00D34C0E" w:rsidTr="00D34C0E">
        <w:trPr>
          <w:trHeight w:val="281"/>
        </w:trPr>
        <w:tc>
          <w:tcPr>
            <w:tcW w:w="1812" w:type="dxa"/>
            <w:tcBorders>
              <w:top w:val="nil"/>
              <w:left w:val="single" w:sz="8" w:space="0" w:color="auto"/>
              <w:bottom w:val="nil"/>
              <w:right w:val="single" w:sz="8" w:space="0" w:color="A5A5A5"/>
            </w:tcBorders>
            <w:shd w:val="clear" w:color="000000" w:fill="F0F0F0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34C0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Il-1β, </w:t>
            </w:r>
            <w:proofErr w:type="spellStart"/>
            <w:r w:rsidRPr="00D34C0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pg</w:t>
            </w:r>
            <w:proofErr w:type="spellEnd"/>
            <w:r w:rsidRPr="00D34C0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/ml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000000" w:fill="F0F0F0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17.1 ± 6.03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0F0F0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18.0 ± 11.2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5A5A5"/>
            </w:tcBorders>
            <w:shd w:val="clear" w:color="000000" w:fill="F0F0F0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5.8 ± 0.03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0F0F0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6.08 ± 0.31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0F0F0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8.54 ± 2.11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0F0F0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21.7 ± 6.03</w:t>
            </w:r>
          </w:p>
        </w:tc>
      </w:tr>
      <w:tr w:rsidR="00D34C0E" w:rsidRPr="00D34C0E" w:rsidTr="00D34C0E">
        <w:trPr>
          <w:trHeight w:val="281"/>
        </w:trPr>
        <w:tc>
          <w:tcPr>
            <w:tcW w:w="1812" w:type="dxa"/>
            <w:tcBorders>
              <w:top w:val="nil"/>
              <w:left w:val="single" w:sz="8" w:space="0" w:color="auto"/>
              <w:bottom w:val="nil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34C0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Il-6, </w:t>
            </w:r>
            <w:proofErr w:type="spellStart"/>
            <w:r w:rsidRPr="00D34C0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pg</w:t>
            </w:r>
            <w:proofErr w:type="spellEnd"/>
            <w:r w:rsidRPr="00D34C0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/ml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6.23 ± 1.65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65.4 ± 42.3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42.4 ± 15.1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9.41 ± 3.45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21.8 ± 3.30*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28.5 ± 8.23</w:t>
            </w:r>
          </w:p>
        </w:tc>
      </w:tr>
      <w:tr w:rsidR="00D34C0E" w:rsidRPr="00D34C0E" w:rsidTr="00D34C0E">
        <w:trPr>
          <w:trHeight w:val="281"/>
        </w:trPr>
        <w:tc>
          <w:tcPr>
            <w:tcW w:w="1812" w:type="dxa"/>
            <w:tcBorders>
              <w:top w:val="nil"/>
              <w:left w:val="single" w:sz="8" w:space="0" w:color="auto"/>
              <w:bottom w:val="nil"/>
              <w:right w:val="single" w:sz="8" w:space="0" w:color="A5A5A5"/>
            </w:tcBorders>
            <w:shd w:val="clear" w:color="000000" w:fill="F0F0F0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34C0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Il-10, </w:t>
            </w:r>
            <w:proofErr w:type="spellStart"/>
            <w:r w:rsidRPr="00D34C0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pg</w:t>
            </w:r>
            <w:proofErr w:type="spellEnd"/>
            <w:r w:rsidRPr="00D34C0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/ml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000000" w:fill="F0F0F0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19.7 ± 7.92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0F0F0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70.9 ± 26.1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5A5A5"/>
            </w:tcBorders>
            <w:shd w:val="clear" w:color="000000" w:fill="F0F0F0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23.7 ± 8.78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0F0F0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5.79 ± 0.49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0F0F0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10.1 ± 3.22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0F0F0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24.8 ± 10.9</w:t>
            </w:r>
          </w:p>
        </w:tc>
      </w:tr>
      <w:tr w:rsidR="00D34C0E" w:rsidRPr="00D34C0E" w:rsidTr="00D34C0E">
        <w:trPr>
          <w:trHeight w:val="281"/>
        </w:trPr>
        <w:tc>
          <w:tcPr>
            <w:tcW w:w="1812" w:type="dxa"/>
            <w:tcBorders>
              <w:top w:val="nil"/>
              <w:left w:val="single" w:sz="8" w:space="0" w:color="auto"/>
              <w:bottom w:val="nil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34C0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MCP-1, </w:t>
            </w:r>
            <w:proofErr w:type="spellStart"/>
            <w:r w:rsidRPr="00D34C0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pg</w:t>
            </w:r>
            <w:proofErr w:type="spellEnd"/>
            <w:r w:rsidRPr="00D34C0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/ml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34.4 ± 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197 ± 49.8*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96.1 ± 16.6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34.5 ± 10.3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105 ± 20.5*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73.6 ± 20.5</w:t>
            </w:r>
          </w:p>
        </w:tc>
      </w:tr>
      <w:tr w:rsidR="00D34C0E" w:rsidRPr="00D34C0E" w:rsidTr="00D34C0E">
        <w:trPr>
          <w:trHeight w:val="281"/>
        </w:trPr>
        <w:tc>
          <w:tcPr>
            <w:tcW w:w="1812" w:type="dxa"/>
            <w:tcBorders>
              <w:top w:val="nil"/>
              <w:left w:val="single" w:sz="8" w:space="0" w:color="auto"/>
              <w:bottom w:val="nil"/>
              <w:right w:val="single" w:sz="8" w:space="0" w:color="A5A5A5"/>
            </w:tcBorders>
            <w:shd w:val="clear" w:color="000000" w:fill="F0F0F0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34C0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RANTES, </w:t>
            </w:r>
            <w:proofErr w:type="spellStart"/>
            <w:r w:rsidRPr="00D34C0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pg</w:t>
            </w:r>
            <w:proofErr w:type="spellEnd"/>
            <w:r w:rsidRPr="00D34C0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/ml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000000" w:fill="F0F0F0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19.5 ± 5.06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0F0F0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36.0 ± 12.4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5A5A5"/>
            </w:tcBorders>
            <w:shd w:val="clear" w:color="000000" w:fill="F0F0F0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18.3 ± 4.99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0F0F0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16.5 ± 3.24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0F0F0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27.3 ± 5.31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0F0F0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26.1 ± 7.04</w:t>
            </w:r>
          </w:p>
        </w:tc>
      </w:tr>
      <w:tr w:rsidR="00D34C0E" w:rsidRPr="00D34C0E" w:rsidTr="00D34C0E">
        <w:trPr>
          <w:trHeight w:val="291"/>
        </w:trPr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34C0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TNF-α, </w:t>
            </w:r>
            <w:proofErr w:type="spellStart"/>
            <w:r w:rsidRPr="00D34C0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pg</w:t>
            </w:r>
            <w:proofErr w:type="spellEnd"/>
            <w:r w:rsidRPr="00D34C0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/ml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7.14 ± 0.75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29.3 ± 13.2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8.10 ± 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6.08 ± 0.04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15.5 ± 4.44*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C0E" w:rsidRPr="00D34C0E" w:rsidRDefault="00D34C0E" w:rsidP="00D3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34C0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8.90 ± 1.66</w:t>
            </w:r>
          </w:p>
        </w:tc>
      </w:tr>
    </w:tbl>
    <w:p w:rsidR="00D34C0E" w:rsidRPr="00D34C0E" w:rsidRDefault="00975DE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Supplementa</w:t>
      </w:r>
      <w:r w:rsidR="006E3010">
        <w:rPr>
          <w:rFonts w:asciiTheme="majorHAnsi" w:hAnsiTheme="majorHAnsi" w:cstheme="majorHAnsi"/>
          <w:b/>
        </w:rPr>
        <w:t>l</w:t>
      </w:r>
      <w:bookmarkStart w:id="0" w:name="_GoBack"/>
      <w:bookmarkEnd w:id="0"/>
      <w:r>
        <w:rPr>
          <w:rFonts w:asciiTheme="majorHAnsi" w:hAnsiTheme="majorHAnsi" w:cstheme="majorHAnsi"/>
          <w:b/>
        </w:rPr>
        <w:t xml:space="preserve"> </w:t>
      </w:r>
      <w:r w:rsidR="00D34C0E" w:rsidRPr="00D34C0E">
        <w:rPr>
          <w:rFonts w:asciiTheme="majorHAnsi" w:hAnsiTheme="majorHAnsi" w:cstheme="majorHAnsi"/>
          <w:b/>
        </w:rPr>
        <w:t>Table</w:t>
      </w:r>
      <w:r>
        <w:rPr>
          <w:rFonts w:asciiTheme="majorHAnsi" w:hAnsiTheme="majorHAnsi" w:cstheme="majorHAnsi"/>
          <w:b/>
        </w:rPr>
        <w:t xml:space="preserve"> 1</w:t>
      </w:r>
      <w:r w:rsidR="00D34C0E" w:rsidRPr="00D34C0E">
        <w:rPr>
          <w:rFonts w:asciiTheme="majorHAnsi" w:hAnsiTheme="majorHAnsi" w:cstheme="majorHAnsi"/>
          <w:b/>
        </w:rPr>
        <w:t>:</w:t>
      </w:r>
      <w:r w:rsidR="00D34C0E" w:rsidRPr="00D34C0E">
        <w:rPr>
          <w:rFonts w:asciiTheme="majorHAnsi" w:hAnsiTheme="majorHAnsi" w:cstheme="majorHAnsi"/>
        </w:rPr>
        <w:t xml:space="preserve"> Inflammatory cytokines in plasma of female and male mice.  Results are expressed as mean ± SEM. Statistical analysis was assessed by Student's t test, with significant comparisons in boldface: *P &lt; 0.05 vs. Adult within the same sex.</w:t>
      </w:r>
    </w:p>
    <w:sectPr w:rsidR="00D34C0E" w:rsidRPr="00D34C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C0E"/>
    <w:rsid w:val="006E3010"/>
    <w:rsid w:val="00975DE5"/>
    <w:rsid w:val="00D3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CB4B0"/>
  <w15:chartTrackingRefBased/>
  <w15:docId w15:val="{7A31BD82-757C-4908-B6F3-5EDFD81C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43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University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Perazza, Lais Rossi</dc:creator>
  <cp:keywords/>
  <dc:description/>
  <cp:lastModifiedBy>Perazza, Lais Rossi</cp:lastModifiedBy>
  <cp:revision>3</cp:revision>
  <dcterms:created xsi:type="dcterms:W3CDTF">2022-12-30T15:13:00Z</dcterms:created>
  <dcterms:modified xsi:type="dcterms:W3CDTF">2023-03-09T19:18:00Z</dcterms:modified>
</cp:coreProperties>
</file>