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68"/>
        <w:tblW w:w="10852" w:type="dxa"/>
        <w:tblLook w:val="04A0" w:firstRow="1" w:lastRow="0" w:firstColumn="1" w:lastColumn="0" w:noHBand="0" w:noVBand="1"/>
      </w:tblPr>
      <w:tblGrid>
        <w:gridCol w:w="4341"/>
        <w:gridCol w:w="709"/>
        <w:gridCol w:w="750"/>
        <w:gridCol w:w="1130"/>
        <w:gridCol w:w="1021"/>
        <w:gridCol w:w="750"/>
        <w:gridCol w:w="1130"/>
        <w:gridCol w:w="1021"/>
      </w:tblGrid>
      <w:tr w:rsidR="00F54790" w:rsidRPr="00F54790" w:rsidTr="00F54790">
        <w:trPr>
          <w:trHeight w:val="325"/>
        </w:trPr>
        <w:tc>
          <w:tcPr>
            <w:tcW w:w="4341" w:type="dxa"/>
            <w:tcBorders>
              <w:top w:val="single" w:sz="8" w:space="0" w:color="auto"/>
              <w:left w:val="single" w:sz="8" w:space="0" w:color="auto"/>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sz w:val="20"/>
                <w:szCs w:val="20"/>
              </w:rPr>
            </w:pPr>
            <w:r w:rsidRPr="00F54790">
              <w:rPr>
                <w:rFonts w:ascii="Calibri" w:eastAsia="Times New Roman" w:hAnsi="Calibri" w:cs="Calibri"/>
                <w:sz w:val="20"/>
                <w:szCs w:val="20"/>
              </w:rPr>
              <w:t> </w:t>
            </w:r>
          </w:p>
        </w:tc>
        <w:tc>
          <w:tcPr>
            <w:tcW w:w="709" w:type="dxa"/>
            <w:tcBorders>
              <w:top w:val="single" w:sz="8" w:space="0" w:color="auto"/>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 </w:t>
            </w:r>
          </w:p>
        </w:tc>
        <w:tc>
          <w:tcPr>
            <w:tcW w:w="2901" w:type="dxa"/>
            <w:gridSpan w:val="3"/>
            <w:tcBorders>
              <w:top w:val="single" w:sz="8" w:space="0" w:color="auto"/>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Old vs Adult</w:t>
            </w:r>
          </w:p>
        </w:tc>
        <w:tc>
          <w:tcPr>
            <w:tcW w:w="2901" w:type="dxa"/>
            <w:gridSpan w:val="3"/>
            <w:tcBorders>
              <w:top w:val="single" w:sz="8" w:space="0" w:color="auto"/>
              <w:left w:val="nil"/>
              <w:bottom w:val="nil"/>
              <w:right w:val="single" w:sz="8" w:space="0" w:color="000000"/>
            </w:tcBorders>
            <w:shd w:val="clear" w:color="auto" w:fill="auto"/>
            <w:noWrap/>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PDX vs Old</w:t>
            </w:r>
          </w:p>
        </w:tc>
      </w:tr>
      <w:tr w:rsidR="00F54790" w:rsidRPr="00F54790" w:rsidTr="00F54790">
        <w:trPr>
          <w:trHeight w:val="325"/>
        </w:trPr>
        <w:tc>
          <w:tcPr>
            <w:tcW w:w="4341" w:type="dxa"/>
            <w:tcBorders>
              <w:top w:val="nil"/>
              <w:left w:val="single" w:sz="8" w:space="0" w:color="auto"/>
              <w:bottom w:val="nil"/>
              <w:right w:val="nil"/>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sz w:val="20"/>
                <w:szCs w:val="20"/>
              </w:rPr>
            </w:pPr>
            <w:r w:rsidRPr="00F54790">
              <w:rPr>
                <w:rFonts w:ascii="Calibri" w:eastAsia="Times New Roman" w:hAnsi="Calibri" w:cs="Calibri"/>
                <w:b/>
                <w:bCs/>
                <w:sz w:val="20"/>
                <w:szCs w:val="20"/>
              </w:rPr>
              <w:t>Hallmark gene set name</w:t>
            </w:r>
          </w:p>
        </w:tc>
        <w:tc>
          <w:tcPr>
            <w:tcW w:w="709" w:type="dxa"/>
            <w:tcBorders>
              <w:top w:val="nil"/>
              <w:left w:val="nil"/>
              <w:bottom w:val="nil"/>
              <w:right w:val="single" w:sz="4" w:space="0" w:color="auto"/>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Size</w:t>
            </w:r>
          </w:p>
        </w:tc>
        <w:tc>
          <w:tcPr>
            <w:tcW w:w="750" w:type="dxa"/>
            <w:tcBorders>
              <w:top w:val="nil"/>
              <w:left w:val="nil"/>
              <w:bottom w:val="nil"/>
              <w:right w:val="nil"/>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NES</w:t>
            </w:r>
          </w:p>
        </w:tc>
        <w:tc>
          <w:tcPr>
            <w:tcW w:w="1130" w:type="dxa"/>
            <w:tcBorders>
              <w:top w:val="nil"/>
              <w:left w:val="nil"/>
              <w:bottom w:val="nil"/>
              <w:right w:val="nil"/>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i/>
                <w:iCs/>
                <w:color w:val="000000"/>
                <w:sz w:val="20"/>
                <w:szCs w:val="20"/>
              </w:rPr>
            </w:pPr>
            <w:r w:rsidRPr="00F54790">
              <w:rPr>
                <w:rFonts w:ascii="Calibri" w:eastAsia="Times New Roman" w:hAnsi="Calibri" w:cs="Calibri"/>
                <w:b/>
                <w:bCs/>
                <w:i/>
                <w:iCs/>
                <w:color w:val="000000"/>
                <w:sz w:val="20"/>
                <w:szCs w:val="20"/>
              </w:rPr>
              <w:t>p</w:t>
            </w:r>
          </w:p>
        </w:tc>
        <w:tc>
          <w:tcPr>
            <w:tcW w:w="1021" w:type="dxa"/>
            <w:tcBorders>
              <w:top w:val="nil"/>
              <w:left w:val="nil"/>
              <w:bottom w:val="nil"/>
              <w:right w:val="single" w:sz="4" w:space="0" w:color="auto"/>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 xml:space="preserve">FDR </w:t>
            </w:r>
            <w:r w:rsidRPr="00F54790">
              <w:rPr>
                <w:rFonts w:ascii="Calibri" w:eastAsia="Times New Roman" w:hAnsi="Calibri" w:cs="Calibri"/>
                <w:b/>
                <w:bCs/>
                <w:i/>
                <w:iCs/>
                <w:color w:val="000000"/>
                <w:sz w:val="20"/>
                <w:szCs w:val="20"/>
              </w:rPr>
              <w:t>q</w:t>
            </w:r>
          </w:p>
        </w:tc>
        <w:tc>
          <w:tcPr>
            <w:tcW w:w="750" w:type="dxa"/>
            <w:tcBorders>
              <w:top w:val="nil"/>
              <w:left w:val="nil"/>
              <w:bottom w:val="nil"/>
              <w:right w:val="nil"/>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NES</w:t>
            </w:r>
          </w:p>
        </w:tc>
        <w:tc>
          <w:tcPr>
            <w:tcW w:w="1130" w:type="dxa"/>
            <w:tcBorders>
              <w:top w:val="nil"/>
              <w:left w:val="nil"/>
              <w:bottom w:val="nil"/>
              <w:right w:val="nil"/>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i/>
                <w:iCs/>
                <w:color w:val="000000"/>
                <w:sz w:val="20"/>
                <w:szCs w:val="20"/>
              </w:rPr>
            </w:pPr>
            <w:r w:rsidRPr="00F54790">
              <w:rPr>
                <w:rFonts w:ascii="Calibri" w:eastAsia="Times New Roman" w:hAnsi="Calibri" w:cs="Calibri"/>
                <w:b/>
                <w:bCs/>
                <w:i/>
                <w:iCs/>
                <w:color w:val="000000"/>
                <w:sz w:val="20"/>
                <w:szCs w:val="20"/>
              </w:rPr>
              <w:t>p</w:t>
            </w:r>
          </w:p>
        </w:tc>
        <w:tc>
          <w:tcPr>
            <w:tcW w:w="1021" w:type="dxa"/>
            <w:tcBorders>
              <w:top w:val="nil"/>
              <w:left w:val="nil"/>
              <w:bottom w:val="nil"/>
              <w:right w:val="single" w:sz="8" w:space="0" w:color="auto"/>
            </w:tcBorders>
            <w:shd w:val="clear" w:color="auto" w:fill="auto"/>
            <w:vAlign w:val="bottom"/>
            <w:hideMark/>
          </w:tcPr>
          <w:p w:rsidR="00F54790" w:rsidRPr="00F54790" w:rsidRDefault="00F54790" w:rsidP="00F54790">
            <w:pPr>
              <w:spacing w:after="0" w:line="240" w:lineRule="auto"/>
              <w:jc w:val="center"/>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 xml:space="preserve">FDR </w:t>
            </w:r>
            <w:r w:rsidRPr="00F54790">
              <w:rPr>
                <w:rFonts w:ascii="Calibri" w:eastAsia="Times New Roman" w:hAnsi="Calibri" w:cs="Calibri"/>
                <w:b/>
                <w:bCs/>
                <w:i/>
                <w:iCs/>
                <w:color w:val="000000"/>
                <w:sz w:val="20"/>
                <w:szCs w:val="20"/>
              </w:rPr>
              <w:t>q</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Allograft Rejection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2,50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0,2226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0,4595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IL-6/</w:t>
            </w:r>
            <w:proofErr w:type="spellStart"/>
            <w:r w:rsidRPr="00F54790">
              <w:rPr>
                <w:rFonts w:ascii="Calibri" w:eastAsia="Times New Roman" w:hAnsi="Calibri" w:cs="Calibri"/>
                <w:color w:val="000000"/>
                <w:sz w:val="20"/>
                <w:szCs w:val="20"/>
              </w:rPr>
              <w:t>Jak</w:t>
            </w:r>
            <w:proofErr w:type="spellEnd"/>
            <w:r w:rsidRPr="00F54790">
              <w:rPr>
                <w:rFonts w:ascii="Calibri" w:eastAsia="Times New Roman" w:hAnsi="Calibri" w:cs="Calibri"/>
                <w:color w:val="000000"/>
                <w:sz w:val="20"/>
                <w:szCs w:val="20"/>
              </w:rPr>
              <w:t>/Stat3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81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2,43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0,0565</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0,1330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Inflammatory Response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2,18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0,0963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0,2594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Epithelial-Mesenchymal Transition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2,14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-1,62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0,0060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proofErr w:type="spellStart"/>
            <w:r w:rsidRPr="00F54790">
              <w:rPr>
                <w:rFonts w:ascii="Calibri" w:eastAsia="Times New Roman" w:hAnsi="Calibri" w:cs="Calibri"/>
                <w:color w:val="000000"/>
                <w:sz w:val="20"/>
                <w:szCs w:val="20"/>
              </w:rPr>
              <w:t>TNFa</w:t>
            </w:r>
            <w:proofErr w:type="spellEnd"/>
            <w:r w:rsidRPr="00F54790">
              <w:rPr>
                <w:rFonts w:ascii="Calibri" w:eastAsia="Times New Roman" w:hAnsi="Calibri" w:cs="Calibri"/>
                <w:color w:val="000000"/>
                <w:sz w:val="20"/>
                <w:szCs w:val="20"/>
              </w:rPr>
              <w:t xml:space="preserve"> Signaling Via </w:t>
            </w:r>
            <w:proofErr w:type="spellStart"/>
            <w:r w:rsidRPr="00F54790">
              <w:rPr>
                <w:rFonts w:ascii="Calibri" w:eastAsia="Times New Roman" w:hAnsi="Calibri" w:cs="Calibri"/>
                <w:color w:val="000000"/>
                <w:sz w:val="20"/>
                <w:szCs w:val="20"/>
              </w:rPr>
              <w:t>NFkB</w:t>
            </w:r>
            <w:proofErr w:type="spellEnd"/>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192</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2,13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0,2263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0,4517</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E2F Targets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2,03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-2,23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G2M Checkpoint</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-2,33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KRAS Signaling, Up</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0,5447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0,7353</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Interferon Gamma Response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Angiogenesis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0,0003</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0,1027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0,1342</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Complement</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0,1186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0,3293</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proofErr w:type="spellStart"/>
            <w:r w:rsidRPr="00F54790">
              <w:rPr>
                <w:rFonts w:ascii="Calibri" w:eastAsia="Times New Roman" w:hAnsi="Calibri" w:cs="Calibri"/>
                <w:color w:val="000000"/>
                <w:sz w:val="20"/>
                <w:szCs w:val="20"/>
              </w:rPr>
              <w:t>Myc</w:t>
            </w:r>
            <w:proofErr w:type="spellEnd"/>
            <w:r w:rsidRPr="00F54790">
              <w:rPr>
                <w:rFonts w:ascii="Calibri" w:eastAsia="Times New Roman" w:hAnsi="Calibri" w:cs="Calibri"/>
                <w:color w:val="000000"/>
                <w:sz w:val="20"/>
                <w:szCs w:val="20"/>
              </w:rPr>
              <w:t xml:space="preserve"> Targets V2</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57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0,0005</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-2,33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IL-2/Stat5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0,7520</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0,8824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Apoptosis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158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0,0014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0,4486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0,6597</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Coagulation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0,0013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0,8627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0,9340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Unfolded Protein Response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1,67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0,0002</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0,0019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0,0077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0,0448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Hypoxia</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192</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1,60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0,0002</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0,0048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0,0374</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0,1670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Mitotic Spindle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0,0021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0,0209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0,0023</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Apical Junction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0,0047</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0,0276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0,3471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0,6038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TGF Beta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52</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0,0357</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0,0295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0,1143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0,1634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proofErr w:type="spellStart"/>
            <w:r w:rsidRPr="00F54790">
              <w:rPr>
                <w:rFonts w:ascii="Calibri" w:eastAsia="Times New Roman" w:hAnsi="Calibri" w:cs="Calibri"/>
                <w:color w:val="000000"/>
                <w:sz w:val="20"/>
                <w:szCs w:val="20"/>
              </w:rPr>
              <w:t>Myc</w:t>
            </w:r>
            <w:proofErr w:type="spellEnd"/>
            <w:r w:rsidRPr="00F54790">
              <w:rPr>
                <w:rFonts w:ascii="Calibri" w:eastAsia="Times New Roman" w:hAnsi="Calibri" w:cs="Calibri"/>
                <w:color w:val="000000"/>
                <w:sz w:val="20"/>
                <w:szCs w:val="20"/>
              </w:rPr>
              <w:t xml:space="preserve"> Targets V1</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0,0076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0,0380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0,0001</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p53 Pathway</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0,0167</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0,0606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0,0506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0,1954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Estrogen Response Late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0,0220</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0,0698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0,9787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0,9885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PI3K/</w:t>
            </w:r>
            <w:proofErr w:type="spellStart"/>
            <w:r w:rsidRPr="00F54790">
              <w:rPr>
                <w:rFonts w:ascii="Calibri" w:eastAsia="Times New Roman" w:hAnsi="Calibri" w:cs="Calibri"/>
                <w:color w:val="000000"/>
                <w:sz w:val="20"/>
                <w:szCs w:val="20"/>
              </w:rPr>
              <w:t>Akt</w:t>
            </w:r>
            <w:proofErr w:type="spellEnd"/>
            <w:r w:rsidRPr="00F54790">
              <w:rPr>
                <w:rFonts w:ascii="Calibri" w:eastAsia="Times New Roman" w:hAnsi="Calibri" w:cs="Calibri"/>
                <w:color w:val="000000"/>
                <w:sz w:val="20"/>
                <w:szCs w:val="20"/>
              </w:rPr>
              <w:t>/mTOR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0,0686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0,0923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0,4416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0,6707</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Myogenesis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0,0347</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0,0912</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0,0424</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0,1825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Estrogen Response Early</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0,0485</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0,1083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0,9970</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0,9908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mTORC1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0,0526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0,1210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0,6729</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0,8298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UV Response, Up</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0,0766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0,1228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0,4706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0,6715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Interferon Alpha Response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84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0,1750</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0,2064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3,07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Hedgehog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0,2487</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0,2603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0,3951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0,5995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Androgen Response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96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0,3548</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0,4548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0,5337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0,7184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KRAS Signaling, Down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0,3686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0,4837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0,8501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0,9576</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UV Response, Down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0,3962</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0,4938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-1,56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0,0005</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0,0124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Spermatogenesis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0,4048</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0,4927</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0,0525</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0,1465</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Cholesterol Homeostasis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71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0,4555</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0,5319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2,34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Glycolysis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0,5125</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0,5744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0,8964</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0,9567</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Apical Surface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41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0,5556</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0,6580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0,8371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0,9581</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DNA Repair</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145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0,8250</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0,8834</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-1,22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0,1007</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0,2421</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Heme Metabolism</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0,9019</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0,9190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0,0133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0,1399</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proofErr w:type="spellStart"/>
            <w:r w:rsidRPr="00F54790">
              <w:rPr>
                <w:rFonts w:ascii="Calibri" w:eastAsia="Times New Roman" w:hAnsi="Calibri" w:cs="Calibri"/>
                <w:color w:val="000000"/>
                <w:sz w:val="20"/>
                <w:szCs w:val="20"/>
              </w:rPr>
              <w:t>Wnt</w:t>
            </w:r>
            <w:proofErr w:type="spellEnd"/>
            <w:r w:rsidRPr="00F54790">
              <w:rPr>
                <w:rFonts w:ascii="Calibri" w:eastAsia="Times New Roman" w:hAnsi="Calibri" w:cs="Calibri"/>
                <w:color w:val="000000"/>
                <w:sz w:val="20"/>
                <w:szCs w:val="20"/>
              </w:rPr>
              <w:t>/Beta-catenin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39</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0,70</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0,8974</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0,9786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0,2653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0,3808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Protein Secretion</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91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0,9952</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0,9945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0,7963</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0,9826</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Pancreas Beta Cells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0,3560</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0,3221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0,89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0,6732</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0,7241</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lastRenderedPageBreak/>
              <w:t>Notch Signaling</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-1,19</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0,1981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0,1361</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0,5818</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0,6810</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Reactive Oxygen Species Pathway</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48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-1,34</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0,0624</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0,0508</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0,95</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0,5628</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0,6971</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Xenobiotic Metabolism</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196</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-2,23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1,61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0,0113</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Peroxisome</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103</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-2,31</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1,08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0,2426</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0,3724</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Adipogenesis</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195</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-2,66</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1,77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0,0028</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Fatty Acid Metabolism</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152</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-2,82</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1,58</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0,0122</w:t>
            </w:r>
          </w:p>
        </w:tc>
      </w:tr>
      <w:tr w:rsidR="00F54790" w:rsidRPr="00F54790" w:rsidTr="00F54790">
        <w:trPr>
          <w:trHeight w:val="325"/>
        </w:trPr>
        <w:tc>
          <w:tcPr>
            <w:tcW w:w="4341" w:type="dxa"/>
            <w:tcBorders>
              <w:top w:val="nil"/>
              <w:left w:val="single" w:sz="8" w:space="0" w:color="auto"/>
              <w:bottom w:val="nil"/>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Bile Acid Metabolism</w:t>
            </w:r>
          </w:p>
        </w:tc>
        <w:tc>
          <w:tcPr>
            <w:tcW w:w="709"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110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-2,93</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2,27</w:t>
            </w:r>
          </w:p>
        </w:tc>
        <w:tc>
          <w:tcPr>
            <w:tcW w:w="1130" w:type="dxa"/>
            <w:tcBorders>
              <w:top w:val="nil"/>
              <w:left w:val="nil"/>
              <w:bottom w:val="nil"/>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nil"/>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r w:rsidR="00F54790" w:rsidRPr="00F54790" w:rsidTr="00F54790">
        <w:trPr>
          <w:trHeight w:val="338"/>
        </w:trPr>
        <w:tc>
          <w:tcPr>
            <w:tcW w:w="4341" w:type="dxa"/>
            <w:tcBorders>
              <w:top w:val="nil"/>
              <w:left w:val="single" w:sz="8" w:space="0" w:color="auto"/>
              <w:bottom w:val="single" w:sz="8" w:space="0" w:color="auto"/>
              <w:right w:val="nil"/>
            </w:tcBorders>
            <w:shd w:val="clear" w:color="auto" w:fill="auto"/>
            <w:noWrap/>
            <w:vAlign w:val="center"/>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Oxidative Phosphorylation</w:t>
            </w:r>
          </w:p>
        </w:tc>
        <w:tc>
          <w:tcPr>
            <w:tcW w:w="709" w:type="dxa"/>
            <w:tcBorders>
              <w:top w:val="nil"/>
              <w:left w:val="nil"/>
              <w:bottom w:val="single" w:sz="8" w:space="0" w:color="auto"/>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189</w:t>
            </w:r>
          </w:p>
        </w:tc>
        <w:tc>
          <w:tcPr>
            <w:tcW w:w="750" w:type="dxa"/>
            <w:tcBorders>
              <w:top w:val="nil"/>
              <w:left w:val="nil"/>
              <w:bottom w:val="single" w:sz="8" w:space="0" w:color="auto"/>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-3,32</w:t>
            </w:r>
          </w:p>
        </w:tc>
        <w:tc>
          <w:tcPr>
            <w:tcW w:w="1130" w:type="dxa"/>
            <w:tcBorders>
              <w:top w:val="nil"/>
              <w:left w:val="nil"/>
              <w:bottom w:val="single" w:sz="8" w:space="0" w:color="auto"/>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single" w:sz="8" w:space="0" w:color="auto"/>
              <w:right w:val="single" w:sz="4"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c>
          <w:tcPr>
            <w:tcW w:w="750" w:type="dxa"/>
            <w:tcBorders>
              <w:top w:val="nil"/>
              <w:left w:val="nil"/>
              <w:bottom w:val="single" w:sz="8" w:space="0" w:color="auto"/>
              <w:right w:val="nil"/>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color w:val="000000"/>
                <w:sz w:val="20"/>
                <w:szCs w:val="20"/>
              </w:rPr>
            </w:pPr>
            <w:r w:rsidRPr="00F54790">
              <w:rPr>
                <w:rFonts w:ascii="Calibri" w:eastAsia="Times New Roman" w:hAnsi="Calibri" w:cs="Calibri"/>
                <w:color w:val="000000"/>
                <w:sz w:val="20"/>
                <w:szCs w:val="20"/>
              </w:rPr>
              <w:t>2,08</w:t>
            </w:r>
          </w:p>
        </w:tc>
        <w:tc>
          <w:tcPr>
            <w:tcW w:w="1130" w:type="dxa"/>
            <w:tcBorders>
              <w:top w:val="nil"/>
              <w:left w:val="nil"/>
              <w:bottom w:val="single" w:sz="8" w:space="0" w:color="auto"/>
              <w:right w:val="nil"/>
            </w:tcBorders>
            <w:shd w:val="clear" w:color="auto" w:fill="auto"/>
            <w:noWrap/>
            <w:vAlign w:val="bottom"/>
            <w:hideMark/>
          </w:tcPr>
          <w:p w:rsidR="00F54790" w:rsidRPr="00F54790" w:rsidRDefault="00F54790" w:rsidP="00F54790">
            <w:pPr>
              <w:spacing w:after="0" w:line="240" w:lineRule="auto"/>
              <w:rPr>
                <w:rFonts w:ascii="Calibri" w:eastAsia="Times New Roman" w:hAnsi="Calibri" w:cs="Calibri"/>
                <w:color w:val="000000"/>
                <w:sz w:val="20"/>
                <w:szCs w:val="20"/>
              </w:rPr>
            </w:pPr>
            <w:r w:rsidRPr="00F54790">
              <w:rPr>
                <w:rFonts w:ascii="Calibri" w:eastAsia="Times New Roman" w:hAnsi="Calibri" w:cs="Calibri"/>
                <w:color w:val="000000"/>
                <w:sz w:val="20"/>
                <w:szCs w:val="20"/>
              </w:rPr>
              <w:t>&lt; 0.0001</w:t>
            </w:r>
          </w:p>
        </w:tc>
        <w:tc>
          <w:tcPr>
            <w:tcW w:w="1021" w:type="dxa"/>
            <w:tcBorders>
              <w:top w:val="nil"/>
              <w:left w:val="nil"/>
              <w:bottom w:val="single" w:sz="8" w:space="0" w:color="auto"/>
              <w:right w:val="single" w:sz="8" w:space="0" w:color="auto"/>
            </w:tcBorders>
            <w:shd w:val="clear" w:color="auto" w:fill="auto"/>
            <w:noWrap/>
            <w:vAlign w:val="bottom"/>
            <w:hideMark/>
          </w:tcPr>
          <w:p w:rsidR="00F54790" w:rsidRPr="00F54790" w:rsidRDefault="00F54790" w:rsidP="00F54790">
            <w:pPr>
              <w:spacing w:after="0" w:line="240" w:lineRule="auto"/>
              <w:jc w:val="right"/>
              <w:rPr>
                <w:rFonts w:ascii="Calibri" w:eastAsia="Times New Roman" w:hAnsi="Calibri" w:cs="Calibri"/>
                <w:b/>
                <w:bCs/>
                <w:color w:val="000000"/>
                <w:sz w:val="20"/>
                <w:szCs w:val="20"/>
              </w:rPr>
            </w:pPr>
            <w:r w:rsidRPr="00F54790">
              <w:rPr>
                <w:rFonts w:ascii="Calibri" w:eastAsia="Times New Roman" w:hAnsi="Calibri" w:cs="Calibri"/>
                <w:b/>
                <w:bCs/>
                <w:color w:val="000000"/>
                <w:sz w:val="20"/>
                <w:szCs w:val="20"/>
              </w:rPr>
              <w:t>0,0000</w:t>
            </w:r>
          </w:p>
        </w:tc>
      </w:tr>
    </w:tbl>
    <w:p w:rsidR="00F54790" w:rsidRPr="00F54790" w:rsidRDefault="00C03AD7" w:rsidP="00F54790">
      <w:pPr>
        <w:jc w:val="both"/>
        <w:rPr>
          <w:rFonts w:asciiTheme="majorHAnsi" w:hAnsiTheme="majorHAnsi" w:cstheme="majorHAnsi"/>
        </w:rPr>
      </w:pPr>
      <w:r>
        <w:rPr>
          <w:rFonts w:asciiTheme="majorHAnsi" w:hAnsiTheme="majorHAnsi" w:cstheme="majorHAnsi"/>
          <w:b/>
        </w:rPr>
        <w:t xml:space="preserve">Supplemental </w:t>
      </w:r>
      <w:r w:rsidR="00F54790" w:rsidRPr="00F54790">
        <w:rPr>
          <w:rFonts w:asciiTheme="majorHAnsi" w:hAnsiTheme="majorHAnsi" w:cstheme="majorHAnsi"/>
          <w:b/>
        </w:rPr>
        <w:t xml:space="preserve">Table </w:t>
      </w:r>
      <w:r>
        <w:rPr>
          <w:rFonts w:asciiTheme="majorHAnsi" w:hAnsiTheme="majorHAnsi" w:cstheme="majorHAnsi"/>
          <w:b/>
        </w:rPr>
        <w:t>4</w:t>
      </w:r>
      <w:bookmarkStart w:id="0" w:name="_GoBack"/>
      <w:bookmarkEnd w:id="0"/>
      <w:r w:rsidR="00F54790" w:rsidRPr="00F54790">
        <w:rPr>
          <w:rFonts w:asciiTheme="majorHAnsi" w:hAnsiTheme="majorHAnsi" w:cstheme="majorHAnsi"/>
          <w:b/>
        </w:rPr>
        <w:t>.</w:t>
      </w:r>
      <w:r w:rsidR="00F54790" w:rsidRPr="00F54790">
        <w:rPr>
          <w:rFonts w:asciiTheme="majorHAnsi" w:hAnsiTheme="majorHAnsi" w:cstheme="majorHAnsi"/>
        </w:rPr>
        <w:t xml:space="preserve"> Gene Set Enrichment Analysis (GSEA) performed using Hallmark gene sets in Old vs Adult and PDX vs Old comparisons. Gene sets with positive or negative NES values are coordinately upregulated or downregulated, respectively, with respect to a given comparison. Results with FDR q &lt; 0.05 are highlighted in boldface.</w:t>
      </w:r>
    </w:p>
    <w:sectPr w:rsidR="00F54790" w:rsidRPr="00F54790" w:rsidSect="00F5479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90"/>
    <w:rsid w:val="005C2CB5"/>
    <w:rsid w:val="00C03AD7"/>
    <w:rsid w:val="00F5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C1B3"/>
  <w15:chartTrackingRefBased/>
  <w15:docId w15:val="{DAADDA3A-3E29-4170-8874-2E2D84C4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34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018C3-65F9-4A0C-83BF-34353827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Perazza, Lais Rossi</dc:creator>
  <cp:keywords/>
  <dc:description/>
  <cp:lastModifiedBy>Perazza, Lais Rossi</cp:lastModifiedBy>
  <cp:revision>3</cp:revision>
  <dcterms:created xsi:type="dcterms:W3CDTF">2022-12-30T15:17:00Z</dcterms:created>
  <dcterms:modified xsi:type="dcterms:W3CDTF">2023-03-09T19:24:00Z</dcterms:modified>
</cp:coreProperties>
</file>