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263A" w14:textId="0FC1AC5A" w:rsidR="00733200" w:rsidRPr="00733200" w:rsidRDefault="00733200" w:rsidP="00733200">
      <w:pPr>
        <w:jc w:val="center"/>
        <w:rPr>
          <w:b/>
          <w:bCs/>
          <w:sz w:val="28"/>
          <w:szCs w:val="24"/>
          <w:lang w:val="en-US"/>
        </w:rPr>
      </w:pPr>
      <w:bookmarkStart w:id="0" w:name="_Hlk157773946"/>
      <w:r w:rsidRPr="004B5F82">
        <w:rPr>
          <w:b/>
          <w:bCs/>
          <w:sz w:val="28"/>
          <w:szCs w:val="24"/>
          <w:lang w:val="en-US"/>
        </w:rPr>
        <w:t>Biological aging of different blood cell types</w:t>
      </w:r>
      <w:bookmarkEnd w:id="0"/>
    </w:p>
    <w:p w14:paraId="4567A201" w14:textId="77777777" w:rsidR="00733200" w:rsidRPr="00A6781C" w:rsidRDefault="00733200" w:rsidP="00733200">
      <w:pPr>
        <w:jc w:val="left"/>
        <w:rPr>
          <w:lang w:val="fi-FI"/>
        </w:rPr>
      </w:pPr>
      <w:r w:rsidRPr="00A6781C">
        <w:rPr>
          <w:lang w:val="fi-FI"/>
        </w:rPr>
        <w:t>Saara Marttila</w:t>
      </w:r>
      <w:r w:rsidRPr="0006162E">
        <w:rPr>
          <w:vertAlign w:val="superscript"/>
          <w:lang w:val="fi-FI"/>
        </w:rPr>
        <w:t>1,2</w:t>
      </w:r>
      <w:r>
        <w:rPr>
          <w:vertAlign w:val="superscript"/>
          <w:lang w:val="fi-FI"/>
        </w:rPr>
        <w:t>,3*</w:t>
      </w:r>
      <w:r w:rsidRPr="00A6781C">
        <w:rPr>
          <w:lang w:val="fi-FI"/>
        </w:rPr>
        <w:t>, Sonja Raji</w:t>
      </w:r>
      <w:r>
        <w:rPr>
          <w:rFonts w:cs="Times New Roman"/>
          <w:lang w:val="fi-FI"/>
        </w:rPr>
        <w:t>ć</w:t>
      </w:r>
      <w:r w:rsidRPr="0006162E">
        <w:rPr>
          <w:vertAlign w:val="superscript"/>
          <w:lang w:val="fi-FI"/>
        </w:rPr>
        <w:t>1</w:t>
      </w:r>
      <w:r w:rsidRPr="00A6781C">
        <w:rPr>
          <w:lang w:val="fi-FI"/>
        </w:rPr>
        <w:t>,</w:t>
      </w:r>
      <w:r>
        <w:rPr>
          <w:lang w:val="fi-FI"/>
        </w:rPr>
        <w:t xml:space="preserve"> Joanna Ciantar</w:t>
      </w:r>
      <w:r w:rsidRPr="00D151C5">
        <w:rPr>
          <w:vertAlign w:val="superscript"/>
          <w:lang w:val="fi-FI"/>
        </w:rPr>
        <w:t>1</w:t>
      </w:r>
      <w:r>
        <w:rPr>
          <w:lang w:val="fi-FI"/>
        </w:rPr>
        <w:t>,</w:t>
      </w:r>
      <w:r w:rsidRPr="00A6781C">
        <w:rPr>
          <w:lang w:val="fi-FI"/>
        </w:rPr>
        <w:t xml:space="preserve"> </w:t>
      </w:r>
      <w:r>
        <w:rPr>
          <w:lang w:val="fi-FI"/>
        </w:rPr>
        <w:t>Jonathan KL Mak</w:t>
      </w:r>
      <w:r>
        <w:rPr>
          <w:vertAlign w:val="superscript"/>
          <w:lang w:val="fi-FI"/>
        </w:rPr>
        <w:t>4,5</w:t>
      </w:r>
      <w:r>
        <w:rPr>
          <w:lang w:val="fi-FI"/>
        </w:rPr>
        <w:t>, Ilkka S Junttila</w:t>
      </w:r>
      <w:r>
        <w:rPr>
          <w:vertAlign w:val="superscript"/>
          <w:lang w:val="fi-FI"/>
        </w:rPr>
        <w:t>6-9</w:t>
      </w:r>
      <w:r>
        <w:rPr>
          <w:lang w:val="fi-FI"/>
        </w:rPr>
        <w:t>, Laura Kummola</w:t>
      </w:r>
      <w:r>
        <w:rPr>
          <w:vertAlign w:val="superscript"/>
          <w:lang w:val="fi-FI"/>
        </w:rPr>
        <w:t>6</w:t>
      </w:r>
      <w:r>
        <w:rPr>
          <w:lang w:val="fi-FI"/>
        </w:rPr>
        <w:t>, Sara Hägg</w:t>
      </w:r>
      <w:r>
        <w:rPr>
          <w:vertAlign w:val="superscript"/>
          <w:lang w:val="fi-FI"/>
        </w:rPr>
        <w:t>4</w:t>
      </w:r>
      <w:r>
        <w:rPr>
          <w:lang w:val="fi-FI"/>
        </w:rPr>
        <w:t>, Emma Raitoharju</w:t>
      </w:r>
      <w:r w:rsidRPr="0006162E">
        <w:rPr>
          <w:vertAlign w:val="superscript"/>
          <w:lang w:val="fi-FI"/>
        </w:rPr>
        <w:t>1</w:t>
      </w:r>
      <w:r>
        <w:rPr>
          <w:vertAlign w:val="superscript"/>
          <w:lang w:val="fi-FI"/>
        </w:rPr>
        <w:t>,3</w:t>
      </w:r>
      <w:r>
        <w:rPr>
          <w:lang w:val="fi-FI"/>
        </w:rPr>
        <w:t xml:space="preserve">, </w:t>
      </w:r>
      <w:r w:rsidRPr="00A6781C">
        <w:rPr>
          <w:lang w:val="fi-FI"/>
        </w:rPr>
        <w:t>Laura Kananen</w:t>
      </w:r>
      <w:r w:rsidRPr="00A6781C">
        <w:rPr>
          <w:vertAlign w:val="superscript"/>
          <w:lang w:val="fi-FI"/>
        </w:rPr>
        <w:t>2,</w:t>
      </w:r>
      <w:r>
        <w:rPr>
          <w:vertAlign w:val="superscript"/>
          <w:lang w:val="fi-FI"/>
        </w:rPr>
        <w:t>4,10,11</w:t>
      </w:r>
      <w:r>
        <w:rPr>
          <w:lang w:val="fi-FI"/>
        </w:rPr>
        <w:t>*</w:t>
      </w:r>
    </w:p>
    <w:p w14:paraId="33BECB98" w14:textId="77777777" w:rsidR="00733200" w:rsidRPr="001B0D6A" w:rsidRDefault="00733200" w:rsidP="00733200">
      <w:pPr>
        <w:spacing w:line="240" w:lineRule="auto"/>
        <w:jc w:val="left"/>
        <w:rPr>
          <w:b/>
          <w:bCs/>
          <w:lang w:val="en-US"/>
        </w:rPr>
      </w:pPr>
      <w:r w:rsidRPr="001B0D6A">
        <w:rPr>
          <w:b/>
          <w:bCs/>
          <w:lang w:val="en-US"/>
        </w:rPr>
        <w:t>Affiliations</w:t>
      </w:r>
    </w:p>
    <w:p w14:paraId="399547C8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>1   Molecular Epidemiology (MOLE), Faculty of Medicine and Health Technology, Tampere University, Tampere, Finland</w:t>
      </w:r>
    </w:p>
    <w:p w14:paraId="2EEF9B06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 xml:space="preserve">2   </w:t>
      </w:r>
      <w:r w:rsidRPr="00910497">
        <w:rPr>
          <w:rStyle w:val="eop"/>
          <w:lang w:val="en-US"/>
        </w:rPr>
        <w:t>Gerontology Research Center, Tampere University, Tampere, Finland</w:t>
      </w:r>
    </w:p>
    <w:p w14:paraId="391B0714" w14:textId="77777777" w:rsidR="00733200" w:rsidRPr="001A15A9" w:rsidRDefault="00733200" w:rsidP="00733200">
      <w:pPr>
        <w:spacing w:after="0" w:line="240" w:lineRule="auto"/>
        <w:rPr>
          <w:rStyle w:val="eop"/>
        </w:rPr>
      </w:pPr>
      <w:r>
        <w:rPr>
          <w:rStyle w:val="eop"/>
          <w:lang w:val="en-US"/>
        </w:rPr>
        <w:t>3</w:t>
      </w:r>
      <w:r w:rsidRPr="000F71B2">
        <w:rPr>
          <w:rFonts w:cs="Times New Roman"/>
          <w:szCs w:val="24"/>
        </w:rPr>
        <w:t xml:space="preserve"> </w:t>
      </w:r>
      <w:r w:rsidRPr="00C03D81">
        <w:rPr>
          <w:rFonts w:cs="Times New Roman"/>
          <w:szCs w:val="24"/>
        </w:rPr>
        <w:t>Tays Research Services, Wellbeing Services County of Pirkanmaa, Tampere University Hospital</w:t>
      </w:r>
      <w:r>
        <w:rPr>
          <w:rFonts w:cs="Times New Roman"/>
          <w:szCs w:val="24"/>
        </w:rPr>
        <w:t>, Tampere, Finland</w:t>
      </w:r>
    </w:p>
    <w:p w14:paraId="5CEB5232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 xml:space="preserve">4   </w:t>
      </w:r>
      <w:r w:rsidRPr="00910497">
        <w:rPr>
          <w:rStyle w:val="eop"/>
          <w:lang w:val="en-US"/>
        </w:rPr>
        <w:t>Department of Medical Epidemiology and Biostatistics, Karolinska Institute, Stockholm, Sweden</w:t>
      </w:r>
    </w:p>
    <w:p w14:paraId="4ABD3064" w14:textId="73D704BA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 xml:space="preserve">5   </w:t>
      </w:r>
      <w:r w:rsidRPr="00D151C5">
        <w:rPr>
          <w:rStyle w:val="eop"/>
          <w:lang w:val="en-US"/>
        </w:rPr>
        <w:t>Department of Pharmacology and Pharmacy, Li Ka Shing Faculty of Medicine, The University of Hong Kong, Hong Kong, China</w:t>
      </w:r>
    </w:p>
    <w:p w14:paraId="56F63934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>6   Faculty of Medicine and Health Technology, Tampere University, Tampere, Finland</w:t>
      </w:r>
    </w:p>
    <w:p w14:paraId="3EFD67AB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 xml:space="preserve">7   </w:t>
      </w:r>
      <w:r w:rsidRPr="001A15A9">
        <w:rPr>
          <w:rStyle w:val="eop"/>
          <w:lang w:val="en-US"/>
        </w:rPr>
        <w:t>Fimlab Laboratories, Tampere, Finland</w:t>
      </w:r>
    </w:p>
    <w:p w14:paraId="1A7ED48E" w14:textId="77777777" w:rsidR="00733200" w:rsidRPr="001A15A9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>8</w:t>
      </w:r>
      <w:r w:rsidRPr="001A15A9">
        <w:rPr>
          <w:rStyle w:val="eop"/>
          <w:lang w:val="en-US"/>
        </w:rPr>
        <w:t xml:space="preserve"> </w:t>
      </w:r>
      <w:r>
        <w:rPr>
          <w:rStyle w:val="eop"/>
          <w:lang w:val="en-US"/>
        </w:rPr>
        <w:t xml:space="preserve">  </w:t>
      </w:r>
      <w:r w:rsidRPr="001A15A9">
        <w:rPr>
          <w:rStyle w:val="eop"/>
          <w:lang w:val="en-US"/>
        </w:rPr>
        <w:t>Northern Finland Laboratory Centre (</w:t>
      </w:r>
      <w:proofErr w:type="spellStart"/>
      <w:r w:rsidRPr="001A15A9">
        <w:rPr>
          <w:rStyle w:val="eop"/>
          <w:lang w:val="en-US"/>
        </w:rPr>
        <w:t>NordLab</w:t>
      </w:r>
      <w:proofErr w:type="spellEnd"/>
      <w:r w:rsidRPr="001A15A9">
        <w:rPr>
          <w:rStyle w:val="eop"/>
          <w:lang w:val="en-US"/>
        </w:rPr>
        <w:t>), Oulu, Finland</w:t>
      </w:r>
    </w:p>
    <w:p w14:paraId="0EACFF5D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>9</w:t>
      </w:r>
      <w:r w:rsidRPr="001A15A9">
        <w:rPr>
          <w:rStyle w:val="eop"/>
          <w:lang w:val="en-US"/>
        </w:rPr>
        <w:t xml:space="preserve"> </w:t>
      </w:r>
      <w:r>
        <w:rPr>
          <w:rStyle w:val="eop"/>
          <w:lang w:val="en-US"/>
        </w:rPr>
        <w:t xml:space="preserve">  </w:t>
      </w:r>
      <w:r w:rsidRPr="001A15A9">
        <w:rPr>
          <w:rStyle w:val="eop"/>
          <w:lang w:val="en-US"/>
        </w:rPr>
        <w:t>Research Unit of Biomedicine, University of Oulu, Oulu, Finland</w:t>
      </w:r>
    </w:p>
    <w:p w14:paraId="1DCD59F8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 xml:space="preserve">10 </w:t>
      </w:r>
      <w:r w:rsidRPr="00910497">
        <w:rPr>
          <w:rStyle w:val="eop"/>
          <w:lang w:val="en-US"/>
        </w:rPr>
        <w:t>Faculty of Social Sciences (Health Sciences), Tampere University, Tampere, Finland</w:t>
      </w:r>
    </w:p>
    <w:p w14:paraId="54E6BD2F" w14:textId="4164BA0E" w:rsidR="007C27D4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bookmarkStart w:id="1" w:name="_Hlk165569479"/>
      <w:r>
        <w:rPr>
          <w:rStyle w:val="eop"/>
          <w:lang w:val="en-US"/>
        </w:rPr>
        <w:t xml:space="preserve">11 Department of Neurobiology, Care Sciences and Society (NVS), </w:t>
      </w:r>
      <w:r w:rsidRPr="00910497">
        <w:rPr>
          <w:rStyle w:val="eop"/>
          <w:lang w:val="en-US"/>
        </w:rPr>
        <w:t>Karolinska Institute, Stockholm, Sweden</w:t>
      </w:r>
      <w:bookmarkEnd w:id="1"/>
    </w:p>
    <w:p w14:paraId="554D1F01" w14:textId="77777777" w:rsid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</w:p>
    <w:p w14:paraId="46834106" w14:textId="77777777" w:rsidR="00733200" w:rsidRDefault="00733200" w:rsidP="00733200">
      <w:pPr>
        <w:pStyle w:val="paragraph"/>
        <w:tabs>
          <w:tab w:val="left" w:pos="1715"/>
        </w:tabs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>
        <w:rPr>
          <w:rStyle w:val="eop"/>
          <w:lang w:val="en-US"/>
        </w:rPr>
        <w:t xml:space="preserve">* </w:t>
      </w:r>
      <w:r w:rsidRPr="00910497">
        <w:rPr>
          <w:rStyle w:val="eop"/>
          <w:lang w:val="en-US"/>
        </w:rPr>
        <w:t>Corresponding author</w:t>
      </w:r>
      <w:r>
        <w:rPr>
          <w:rStyle w:val="eop"/>
          <w:lang w:val="en-US"/>
        </w:rPr>
        <w:t>s</w:t>
      </w:r>
      <w:r w:rsidRPr="00910497">
        <w:rPr>
          <w:rStyle w:val="eop"/>
          <w:lang w:val="en-US"/>
        </w:rPr>
        <w:t xml:space="preserve">: </w:t>
      </w:r>
    </w:p>
    <w:p w14:paraId="3462571A" w14:textId="77777777" w:rsidR="00733200" w:rsidRPr="00FA6C2C" w:rsidRDefault="00733200" w:rsidP="00733200">
      <w:pPr>
        <w:pStyle w:val="paragraph"/>
        <w:tabs>
          <w:tab w:val="left" w:pos="1715"/>
        </w:tabs>
        <w:spacing w:before="0" w:beforeAutospacing="0" w:after="0" w:afterAutospacing="0"/>
        <w:jc w:val="left"/>
        <w:textAlignment w:val="baseline"/>
        <w:rPr>
          <w:rStyle w:val="eop"/>
          <w:lang w:val="en-US"/>
        </w:rPr>
      </w:pPr>
      <w:r w:rsidRPr="00FA6C2C">
        <w:rPr>
          <w:rStyle w:val="eop"/>
          <w:lang w:val="en-US"/>
        </w:rPr>
        <w:t xml:space="preserve">Marttila Saara, </w:t>
      </w:r>
      <w:hyperlink r:id="rId6" w:history="1">
        <w:r w:rsidRPr="00FA6C2C">
          <w:rPr>
            <w:rStyle w:val="Hyperlink"/>
            <w:lang w:val="en-US"/>
          </w:rPr>
          <w:t>saara.marttila@tuni.fi</w:t>
        </w:r>
      </w:hyperlink>
      <w:r w:rsidRPr="00FA6C2C">
        <w:rPr>
          <w:rStyle w:val="eop"/>
          <w:lang w:val="en-US"/>
        </w:rPr>
        <w:t xml:space="preserve"> </w:t>
      </w:r>
    </w:p>
    <w:p w14:paraId="3BB444B5" w14:textId="77777777" w:rsidR="00733200" w:rsidRPr="0006162E" w:rsidRDefault="00733200" w:rsidP="00733200">
      <w:pPr>
        <w:pStyle w:val="paragraph"/>
        <w:tabs>
          <w:tab w:val="left" w:pos="1715"/>
        </w:tabs>
        <w:spacing w:before="0" w:beforeAutospacing="0" w:after="0" w:afterAutospacing="0"/>
        <w:jc w:val="left"/>
        <w:textAlignment w:val="baseline"/>
        <w:rPr>
          <w:rStyle w:val="eop"/>
          <w:lang w:val="fi-FI"/>
        </w:rPr>
      </w:pPr>
      <w:r w:rsidRPr="0006162E">
        <w:rPr>
          <w:rStyle w:val="eop"/>
          <w:lang w:val="fi-FI"/>
        </w:rPr>
        <w:t xml:space="preserve">Kananen Laura, </w:t>
      </w:r>
      <w:hyperlink r:id="rId7" w:history="1">
        <w:r w:rsidRPr="0006162E">
          <w:rPr>
            <w:rStyle w:val="Hyperlink"/>
            <w:lang w:val="fi-FI"/>
          </w:rPr>
          <w:t>laura.kananen@ki.se</w:t>
        </w:r>
      </w:hyperlink>
      <w:r w:rsidRPr="0006162E">
        <w:rPr>
          <w:rStyle w:val="eop"/>
          <w:lang w:val="fi-FI"/>
        </w:rPr>
        <w:t xml:space="preserve">, </w:t>
      </w:r>
      <w:hyperlink r:id="rId8" w:history="1">
        <w:r w:rsidRPr="0006162E">
          <w:rPr>
            <w:rStyle w:val="Hyperlink"/>
            <w:lang w:val="fi-FI"/>
          </w:rPr>
          <w:t>laura.kananen@tuni.fi</w:t>
        </w:r>
      </w:hyperlink>
    </w:p>
    <w:p w14:paraId="0DBC9971" w14:textId="77777777" w:rsidR="00733200" w:rsidRPr="0006162E" w:rsidRDefault="00733200" w:rsidP="00733200">
      <w:pPr>
        <w:pStyle w:val="paragraph"/>
        <w:tabs>
          <w:tab w:val="left" w:pos="1715"/>
        </w:tabs>
        <w:spacing w:before="0" w:beforeAutospacing="0" w:after="0" w:afterAutospacing="0"/>
        <w:jc w:val="left"/>
        <w:textAlignment w:val="baseline"/>
        <w:rPr>
          <w:rStyle w:val="eop"/>
          <w:lang w:val="fi-FI"/>
        </w:rPr>
      </w:pPr>
      <w:r w:rsidRPr="0006162E">
        <w:rPr>
          <w:rStyle w:val="eop"/>
          <w:lang w:val="fi-FI"/>
        </w:rPr>
        <w:tab/>
      </w:r>
      <w:r w:rsidRPr="0006162E">
        <w:rPr>
          <w:rStyle w:val="eop"/>
          <w:lang w:val="fi-FI"/>
        </w:rPr>
        <w:tab/>
      </w:r>
    </w:p>
    <w:p w14:paraId="48D3E55D" w14:textId="77777777" w:rsidR="00733200" w:rsidRPr="00733200" w:rsidRDefault="00733200" w:rsidP="00733200">
      <w:pPr>
        <w:pStyle w:val="paragraph"/>
        <w:spacing w:before="0" w:beforeAutospacing="0" w:after="0" w:afterAutospacing="0"/>
        <w:jc w:val="left"/>
        <w:textAlignment w:val="baseline"/>
        <w:rPr>
          <w:b/>
          <w:bCs/>
          <w:lang w:val="fi-FI"/>
        </w:rPr>
      </w:pPr>
    </w:p>
    <w:p w14:paraId="5975DDDC" w14:textId="77777777" w:rsidR="000E28F4" w:rsidRPr="00733200" w:rsidRDefault="000E28F4" w:rsidP="00C64C6A">
      <w:pPr>
        <w:spacing w:line="240" w:lineRule="auto"/>
        <w:rPr>
          <w:b/>
          <w:bCs/>
          <w:lang w:val="fi-FI"/>
        </w:rPr>
      </w:pPr>
    </w:p>
    <w:p w14:paraId="0DD1464B" w14:textId="4C6B2BDD" w:rsidR="00EE27EB" w:rsidRDefault="00EE27EB" w:rsidP="00EE27EB">
      <w:pPr>
        <w:pStyle w:val="ListParagraph"/>
        <w:numPr>
          <w:ilvl w:val="0"/>
          <w:numId w:val="1"/>
        </w:numPr>
        <w:spacing w:line="240" w:lineRule="auto"/>
        <w:rPr>
          <w:b/>
          <w:bCs/>
          <w:lang w:val="en-US"/>
        </w:rPr>
      </w:pPr>
      <w:r w:rsidRPr="00EE27EB">
        <w:rPr>
          <w:b/>
          <w:bCs/>
          <w:lang w:val="en-US"/>
        </w:rPr>
        <w:t>Supplementary Figures S1</w:t>
      </w:r>
      <w:r w:rsidR="00020CEE">
        <w:rPr>
          <w:b/>
          <w:bCs/>
          <w:lang w:val="en-US"/>
        </w:rPr>
        <w:t>–</w:t>
      </w:r>
      <w:r w:rsidRPr="00EE27EB">
        <w:rPr>
          <w:b/>
          <w:bCs/>
          <w:lang w:val="en-US"/>
        </w:rPr>
        <w:t>S3</w:t>
      </w:r>
    </w:p>
    <w:p w14:paraId="20E2E555" w14:textId="5D2C91CC" w:rsidR="00EE27EB" w:rsidRPr="00EE27EB" w:rsidRDefault="00EE27EB" w:rsidP="00EE27EB">
      <w:pPr>
        <w:pStyle w:val="ListParagraph"/>
        <w:numPr>
          <w:ilvl w:val="0"/>
          <w:numId w:val="1"/>
        </w:numPr>
        <w:spacing w:line="240" w:lineRule="auto"/>
        <w:rPr>
          <w:b/>
          <w:bCs/>
          <w:lang w:val="en-US"/>
        </w:rPr>
      </w:pPr>
      <w:r w:rsidRPr="00EE27EB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R</w:t>
      </w:r>
      <w:r w:rsidRPr="00EE27EB">
        <w:rPr>
          <w:b/>
          <w:bCs/>
          <w:lang w:val="en-US"/>
        </w:rPr>
        <w:t>esults</w:t>
      </w:r>
    </w:p>
    <w:p w14:paraId="5EFB81FB" w14:textId="77777777" w:rsidR="000E28F4" w:rsidRDefault="000E28F4" w:rsidP="000E28F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lang w:val="en-US"/>
        </w:rPr>
      </w:pPr>
      <w:r>
        <w:rPr>
          <w:rStyle w:val="eop"/>
          <w:noProof/>
          <w:lang w:val="en-US"/>
        </w:rPr>
        <w:lastRenderedPageBreak/>
        <w:drawing>
          <wp:inline distT="0" distB="0" distL="0" distR="0" wp14:anchorId="33CBEA6C" wp14:editId="30ED11F8">
            <wp:extent cx="5196824" cy="7569642"/>
            <wp:effectExtent l="0" t="0" r="4445" b="0"/>
            <wp:docPr id="523673534" name="Picture 52367353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73534" name="Picture 52367353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498" cy="7598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654EB" w14:textId="215B089B" w:rsidR="000E28F4" w:rsidRDefault="000E28F4" w:rsidP="000E28F4">
      <w:pPr>
        <w:pStyle w:val="paragraph"/>
        <w:spacing w:before="0" w:beforeAutospacing="0" w:after="0" w:afterAutospacing="0"/>
        <w:jc w:val="left"/>
        <w:textAlignment w:val="baseline"/>
        <w:rPr>
          <w:lang w:val="en-US"/>
        </w:rPr>
      </w:pPr>
      <w:r w:rsidRPr="005A2989">
        <w:rPr>
          <w:b/>
          <w:bCs/>
          <w:lang w:val="en-US"/>
        </w:rPr>
        <w:t xml:space="preserve">Figure </w:t>
      </w:r>
      <w:r w:rsidR="00EE0C9E">
        <w:rPr>
          <w:b/>
          <w:bCs/>
          <w:lang w:val="en-US"/>
        </w:rPr>
        <w:t>S</w:t>
      </w:r>
      <w:r>
        <w:rPr>
          <w:b/>
          <w:bCs/>
          <w:lang w:val="en-US"/>
        </w:rPr>
        <w:t>1</w:t>
      </w:r>
      <w:r w:rsidRPr="005A2989">
        <w:rPr>
          <w:b/>
          <w:bCs/>
          <w:lang w:val="en-US"/>
        </w:rPr>
        <w:t>.</w:t>
      </w:r>
      <w:r w:rsidRPr="005A2989">
        <w:rPr>
          <w:lang w:val="en-US"/>
        </w:rPr>
        <w:t xml:space="preserve"> </w:t>
      </w:r>
      <w:r w:rsidRPr="00BB3784">
        <w:rPr>
          <w:b/>
          <w:bCs/>
          <w:lang w:val="en-US"/>
        </w:rPr>
        <w:t>Blood cell type</w:t>
      </w:r>
      <w:r w:rsidR="00020CEE">
        <w:rPr>
          <w:b/>
          <w:bCs/>
          <w:lang w:val="en-US"/>
        </w:rPr>
        <w:t>–</w:t>
      </w:r>
      <w:r w:rsidRPr="00BB3784">
        <w:rPr>
          <w:b/>
          <w:bCs/>
          <w:lang w:val="en-US"/>
        </w:rPr>
        <w:t xml:space="preserve">specific biological ages (BAs) and </w:t>
      </w:r>
      <w:r>
        <w:rPr>
          <w:b/>
          <w:bCs/>
          <w:lang w:val="en-US"/>
        </w:rPr>
        <w:t xml:space="preserve">a </w:t>
      </w:r>
      <w:r w:rsidRPr="00BB3784">
        <w:rPr>
          <w:b/>
          <w:bCs/>
          <w:lang w:val="en-US"/>
        </w:rPr>
        <w:t xml:space="preserve">BA rate </w:t>
      </w:r>
    </w:p>
    <w:p w14:paraId="7AE4BA4C" w14:textId="1250D01D" w:rsidR="000E28F4" w:rsidRPr="006D0389" w:rsidRDefault="000E28F4" w:rsidP="000E28F4">
      <w:pPr>
        <w:pStyle w:val="paragraph"/>
        <w:spacing w:before="0" w:beforeAutospacing="0" w:after="0" w:afterAutospacing="0"/>
        <w:textAlignment w:val="baseline"/>
        <w:rPr>
          <w:b/>
          <w:bCs/>
          <w:lang w:val="en-US"/>
        </w:rPr>
        <w:sectPr w:rsidR="000E28F4" w:rsidRPr="006D0389" w:rsidSect="00972449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 w:rsidRPr="005A2989">
        <w:rPr>
          <w:lang w:val="en-US"/>
        </w:rPr>
        <w:t>DNA methylation</w:t>
      </w:r>
      <w:r w:rsidR="00020CEE">
        <w:rPr>
          <w:lang w:val="en-US"/>
        </w:rPr>
        <w:t>–</w:t>
      </w:r>
      <w:r w:rsidRPr="005A2989">
        <w:rPr>
          <w:lang w:val="en-US"/>
        </w:rPr>
        <w:t xml:space="preserve">based indicators </w:t>
      </w:r>
      <w:r>
        <w:rPr>
          <w:lang w:val="en-US"/>
        </w:rPr>
        <w:t>were assessed in</w:t>
      </w:r>
      <w:r w:rsidRPr="005A2989">
        <w:rPr>
          <w:lang w:val="en-US"/>
        </w:rPr>
        <w:t xml:space="preserve"> three DNA methylation datasets (GSE131989, GSE166844, GSE35069)</w:t>
      </w:r>
      <w:r w:rsidR="00020CEE">
        <w:rPr>
          <w:lang w:val="en-US"/>
        </w:rPr>
        <w:t>,</w:t>
      </w:r>
      <w:r w:rsidRPr="005A2989">
        <w:rPr>
          <w:lang w:val="en-US"/>
        </w:rPr>
        <w:t xml:space="preserve"> with 424 biological samples </w:t>
      </w:r>
      <w:r>
        <w:rPr>
          <w:lang w:val="en-US"/>
        </w:rPr>
        <w:t xml:space="preserve">from </w:t>
      </w:r>
      <w:r w:rsidRPr="005A2989">
        <w:rPr>
          <w:lang w:val="en-US"/>
        </w:rPr>
        <w:t xml:space="preserve">83 individuals and </w:t>
      </w:r>
      <w:r>
        <w:rPr>
          <w:lang w:val="en-US"/>
        </w:rPr>
        <w:t xml:space="preserve">including </w:t>
      </w:r>
      <w:r w:rsidRPr="005A2989">
        <w:rPr>
          <w:lang w:val="en-US"/>
        </w:rPr>
        <w:t xml:space="preserve">12 </w:t>
      </w:r>
      <w:r>
        <w:rPr>
          <w:lang w:val="en-US"/>
        </w:rPr>
        <w:t>cell sample</w:t>
      </w:r>
      <w:r w:rsidRPr="005A2989">
        <w:rPr>
          <w:lang w:val="en-US"/>
        </w:rPr>
        <w:t xml:space="preserve"> types</w:t>
      </w:r>
      <w:r>
        <w:rPr>
          <w:lang w:val="en-US"/>
        </w:rPr>
        <w:t xml:space="preserve">. Lines are colored according to </w:t>
      </w:r>
      <w:r w:rsidR="00020CEE">
        <w:rPr>
          <w:lang w:val="en-US"/>
        </w:rPr>
        <w:t xml:space="preserve">chronological </w:t>
      </w:r>
      <w:r>
        <w:rPr>
          <w:lang w:val="en-US"/>
        </w:rPr>
        <w:t>age for GSE131989, and according</w:t>
      </w:r>
      <w:r w:rsidR="00733200">
        <w:rPr>
          <w:lang w:val="en-US"/>
        </w:rPr>
        <w:t xml:space="preserve"> to</w:t>
      </w:r>
      <w:r>
        <w:rPr>
          <w:lang w:val="en-US"/>
        </w:rPr>
        <w:t xml:space="preserve"> BA indicator values in whole blood sample</w:t>
      </w:r>
      <w:r w:rsidR="00020CEE">
        <w:rPr>
          <w:lang w:val="en-US"/>
        </w:rPr>
        <w:t>s</w:t>
      </w:r>
      <w:r>
        <w:rPr>
          <w:lang w:val="en-US"/>
        </w:rPr>
        <w:t xml:space="preserve"> for </w:t>
      </w:r>
      <w:r w:rsidRPr="005A2989">
        <w:rPr>
          <w:lang w:val="en-US"/>
        </w:rPr>
        <w:t>GSE166844</w:t>
      </w:r>
      <w:r>
        <w:rPr>
          <w:lang w:val="en-US"/>
        </w:rPr>
        <w:t xml:space="preserve"> and </w:t>
      </w:r>
      <w:r w:rsidRPr="005A2989">
        <w:rPr>
          <w:lang w:val="en-US"/>
        </w:rPr>
        <w:t>GSE35069</w:t>
      </w:r>
      <w:r>
        <w:rPr>
          <w:lang w:val="en-US"/>
        </w:rPr>
        <w:t xml:space="preserve"> because </w:t>
      </w:r>
      <w:r w:rsidR="00020CEE">
        <w:rPr>
          <w:lang w:val="en-US"/>
        </w:rPr>
        <w:t xml:space="preserve">chronological </w:t>
      </w:r>
      <w:r>
        <w:rPr>
          <w:lang w:val="en-US"/>
        </w:rPr>
        <w:t>age was either constant or not available. Each line represents one individual.</w:t>
      </w:r>
    </w:p>
    <w:p w14:paraId="5ABC04CF" w14:textId="484EDCF1" w:rsidR="00C206EE" w:rsidRDefault="005B48EA" w:rsidP="00C206EE">
      <w:pPr>
        <w:spacing w:line="240" w:lineRule="auto"/>
        <w:jc w:val="center"/>
        <w:rPr>
          <w:b/>
          <w:bCs/>
          <w:sz w:val="40"/>
          <w:szCs w:val="36"/>
          <w:lang w:val="en-US"/>
        </w:rPr>
      </w:pPr>
      <w:r>
        <w:rPr>
          <w:b/>
          <w:bCs/>
          <w:noProof/>
          <w:sz w:val="40"/>
          <w:szCs w:val="36"/>
          <w:lang w:val="en-US"/>
        </w:rPr>
        <w:lastRenderedPageBreak/>
        <w:drawing>
          <wp:inline distT="0" distB="0" distL="0" distR="0" wp14:anchorId="147ED382" wp14:editId="24E0ACEC">
            <wp:extent cx="5949390" cy="6653048"/>
            <wp:effectExtent l="0" t="0" r="0" b="0"/>
            <wp:docPr id="2049074925" name="Picture 14" descr="A grid of blue and purpl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074925" name="Picture 14" descr="A grid of blue and purpl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92" cy="665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CE2">
        <w:rPr>
          <w:b/>
          <w:bCs/>
          <w:noProof/>
          <w:sz w:val="40"/>
          <w:szCs w:val="36"/>
          <w:lang w:val="en-US"/>
        </w:rPr>
        <w:lastRenderedPageBreak/>
        <w:drawing>
          <wp:inline distT="0" distB="0" distL="0" distR="0" wp14:anchorId="758DD35D" wp14:editId="04987E40">
            <wp:extent cx="4748649" cy="6335513"/>
            <wp:effectExtent l="0" t="0" r="0" b="8255"/>
            <wp:docPr id="21416721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338" cy="636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DB39" w14:textId="7F32CBA9" w:rsidR="004C7CE2" w:rsidRDefault="004C7CE2" w:rsidP="0060392D">
      <w:pPr>
        <w:spacing w:line="240" w:lineRule="auto"/>
        <w:rPr>
          <w:b/>
          <w:bCs/>
          <w:sz w:val="40"/>
          <w:szCs w:val="36"/>
          <w:lang w:val="en-US"/>
        </w:rPr>
      </w:pPr>
      <w:r w:rsidRPr="004C7CE2">
        <w:rPr>
          <w:b/>
          <w:bCs/>
          <w:sz w:val="40"/>
          <w:szCs w:val="36"/>
          <w:lang w:val="en-US"/>
        </w:rPr>
        <w:t xml:space="preserve"> </w:t>
      </w:r>
    </w:p>
    <w:p w14:paraId="6E477FF7" w14:textId="77777777" w:rsidR="004C7CE2" w:rsidRDefault="004C7CE2" w:rsidP="0060392D">
      <w:pPr>
        <w:spacing w:line="240" w:lineRule="auto"/>
        <w:rPr>
          <w:sz w:val="40"/>
          <w:szCs w:val="36"/>
        </w:rPr>
      </w:pPr>
    </w:p>
    <w:p w14:paraId="34683093" w14:textId="278CB706" w:rsidR="009B15C7" w:rsidRDefault="005B48EA" w:rsidP="0060392D">
      <w:pPr>
        <w:spacing w:line="240" w:lineRule="auto"/>
        <w:rPr>
          <w:sz w:val="40"/>
          <w:szCs w:val="36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5C56353F" wp14:editId="7245AA72">
            <wp:extent cx="6212541" cy="6937106"/>
            <wp:effectExtent l="0" t="0" r="0" b="0"/>
            <wp:docPr id="1562909093" name="Picture 11" descr="A chart of a cell divis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09093" name="Picture 11" descr="A chart of a cell divis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245" cy="694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B9114" w14:textId="7CB7D4D5" w:rsidR="00A71375" w:rsidRDefault="00A71375" w:rsidP="00A71375">
      <w:pPr>
        <w:spacing w:line="240" w:lineRule="auto"/>
        <w:jc w:val="left"/>
        <w:rPr>
          <w:b/>
          <w:bCs/>
          <w:lang w:val="en-US"/>
        </w:rPr>
      </w:pPr>
      <w:r w:rsidRPr="00AA1FAF">
        <w:rPr>
          <w:b/>
          <w:bCs/>
          <w:lang w:val="en-US"/>
        </w:rPr>
        <w:t xml:space="preserve">Supplementary Figure </w:t>
      </w:r>
      <w:r w:rsidR="00FE61F9">
        <w:rPr>
          <w:b/>
          <w:bCs/>
          <w:lang w:val="en-US"/>
        </w:rPr>
        <w:t>S</w:t>
      </w:r>
      <w:r w:rsidR="00EE0C9E">
        <w:rPr>
          <w:b/>
          <w:bCs/>
          <w:lang w:val="en-US"/>
        </w:rPr>
        <w:t>2</w:t>
      </w:r>
      <w:r w:rsidRPr="00AA1FAF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Relationship </w:t>
      </w:r>
      <w:r w:rsidRPr="00AA1FAF">
        <w:rPr>
          <w:b/>
          <w:bCs/>
          <w:lang w:val="en-US"/>
        </w:rPr>
        <w:t>between the absolute values of the six BA indicators</w:t>
      </w:r>
      <w:r>
        <w:rPr>
          <w:b/>
          <w:bCs/>
          <w:lang w:val="en-US"/>
        </w:rPr>
        <w:t xml:space="preserve"> and </w:t>
      </w:r>
      <w:r w:rsidR="00020CEE">
        <w:rPr>
          <w:b/>
          <w:bCs/>
          <w:lang w:val="en-US"/>
        </w:rPr>
        <w:t xml:space="preserve">chronological </w:t>
      </w:r>
      <w:r>
        <w:rPr>
          <w:b/>
          <w:bCs/>
          <w:lang w:val="en-US"/>
        </w:rPr>
        <w:t>age in the three data sets, GSE131989 (A), GSE166844 (B)</w:t>
      </w:r>
      <w:r w:rsidR="00020CEE">
        <w:rPr>
          <w:b/>
          <w:bCs/>
          <w:lang w:val="en-US"/>
        </w:rPr>
        <w:t>,</w:t>
      </w:r>
      <w:r>
        <w:rPr>
          <w:b/>
          <w:bCs/>
          <w:lang w:val="en-US"/>
        </w:rPr>
        <w:t xml:space="preserve"> and GSE35069 (C)</w:t>
      </w:r>
    </w:p>
    <w:p w14:paraId="5EC22B7E" w14:textId="5F2B2A9D" w:rsidR="005B48EA" w:rsidRDefault="00A71375" w:rsidP="00A71375">
      <w:pPr>
        <w:spacing w:line="240" w:lineRule="auto"/>
      </w:pPr>
      <w:r>
        <w:rPr>
          <w:lang w:val="en-US"/>
        </w:rPr>
        <w:t xml:space="preserve">In each panel </w:t>
      </w:r>
      <w:r w:rsidR="00020CEE">
        <w:rPr>
          <w:lang w:val="en-US"/>
        </w:rPr>
        <w:t>(</w:t>
      </w:r>
      <w:r>
        <w:rPr>
          <w:lang w:val="en-US"/>
        </w:rPr>
        <w:t>A</w:t>
      </w:r>
      <w:r w:rsidR="00020CEE">
        <w:rPr>
          <w:lang w:val="en-US"/>
        </w:rPr>
        <w:t>-</w:t>
      </w:r>
      <w:r>
        <w:rPr>
          <w:lang w:val="en-US"/>
        </w:rPr>
        <w:t>C</w:t>
      </w:r>
      <w:r w:rsidR="00020CEE">
        <w:rPr>
          <w:lang w:val="en-US"/>
        </w:rPr>
        <w:t>)</w:t>
      </w:r>
      <w:r>
        <w:rPr>
          <w:lang w:val="en-US"/>
        </w:rPr>
        <w:t xml:space="preserve">, pairwise relationships in each dataset are visualized as scatterplots. Thus, </w:t>
      </w:r>
      <w:r w:rsidR="00020CEE">
        <w:rPr>
          <w:lang w:val="en-US"/>
        </w:rPr>
        <w:t xml:space="preserve">in panels A, B, and C, </w:t>
      </w:r>
      <w:r>
        <w:rPr>
          <w:lang w:val="en-US"/>
        </w:rPr>
        <w:t>there are 196, 168</w:t>
      </w:r>
      <w:r w:rsidR="00020CEE">
        <w:rPr>
          <w:lang w:val="en-US"/>
        </w:rPr>
        <w:t xml:space="preserve">, </w:t>
      </w:r>
      <w:r>
        <w:rPr>
          <w:lang w:val="en-US"/>
        </w:rPr>
        <w:t xml:space="preserve">and </w:t>
      </w:r>
      <w:r w:rsidR="00020CEE">
        <w:rPr>
          <w:lang w:val="en-US"/>
        </w:rPr>
        <w:t xml:space="preserve">60 biological samples, respectively, </w:t>
      </w:r>
      <w:r>
        <w:rPr>
          <w:lang w:val="en-US"/>
        </w:rPr>
        <w:t xml:space="preserve">which are colored according </w:t>
      </w:r>
      <w:r w:rsidR="00C94D4F">
        <w:rPr>
          <w:lang w:val="en-US"/>
        </w:rPr>
        <w:t>to</w:t>
      </w:r>
      <w:r w:rsidR="00020CEE">
        <w:rPr>
          <w:lang w:val="en-US"/>
        </w:rPr>
        <w:t xml:space="preserve"> the</w:t>
      </w:r>
      <w:r w:rsidR="00C94D4F">
        <w:rPr>
          <w:lang w:val="en-US"/>
        </w:rPr>
        <w:t xml:space="preserve"> </w:t>
      </w:r>
      <w:r>
        <w:rPr>
          <w:lang w:val="en-US"/>
        </w:rPr>
        <w:t xml:space="preserve">cell subtype population. </w:t>
      </w:r>
      <w:r w:rsidRPr="00A71375">
        <w:t xml:space="preserve">Correlation coefficients within each cell subtype population are shown in Supplementary Table </w:t>
      </w:r>
      <w:r w:rsidR="008612DF">
        <w:t>S8-10</w:t>
      </w:r>
      <w:r w:rsidRPr="00A71375">
        <w:t>.</w:t>
      </w:r>
    </w:p>
    <w:p w14:paraId="1FA66CD0" w14:textId="77777777" w:rsidR="005B48EA" w:rsidRDefault="005B48EA" w:rsidP="0060392D">
      <w:pPr>
        <w:spacing w:line="240" w:lineRule="auto"/>
      </w:pPr>
    </w:p>
    <w:p w14:paraId="7F4B0BC6" w14:textId="77777777" w:rsidR="00441F3C" w:rsidRDefault="00441F3C" w:rsidP="0060392D">
      <w:pPr>
        <w:spacing w:line="240" w:lineRule="auto"/>
      </w:pPr>
    </w:p>
    <w:p w14:paraId="5A9E4645" w14:textId="77777777" w:rsidR="00441F3C" w:rsidRDefault="00441F3C" w:rsidP="0060392D">
      <w:pPr>
        <w:spacing w:line="240" w:lineRule="auto"/>
      </w:pPr>
    </w:p>
    <w:p w14:paraId="20B1594C" w14:textId="77777777" w:rsidR="00441F3C" w:rsidRDefault="00441F3C" w:rsidP="0060392D">
      <w:pPr>
        <w:spacing w:line="240" w:lineRule="auto"/>
      </w:pPr>
    </w:p>
    <w:p w14:paraId="7E699AE3" w14:textId="77777777" w:rsidR="00441F3C" w:rsidRDefault="00441F3C" w:rsidP="0060392D">
      <w:pPr>
        <w:spacing w:line="240" w:lineRule="auto"/>
        <w:rPr>
          <w:sz w:val="40"/>
          <w:szCs w:val="36"/>
        </w:rPr>
      </w:pPr>
    </w:p>
    <w:p w14:paraId="41403440" w14:textId="38A3954F" w:rsidR="009B15C7" w:rsidRDefault="009B15C7" w:rsidP="0060392D">
      <w:pPr>
        <w:spacing w:line="240" w:lineRule="auto"/>
        <w:jc w:val="left"/>
        <w:rPr>
          <w:lang w:val="en-US"/>
        </w:rPr>
        <w:sectPr w:rsidR="009B15C7" w:rsidSect="0097244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62D89A9" w14:textId="77777777" w:rsidR="0060392D" w:rsidRDefault="0060392D" w:rsidP="00A71375">
      <w:pPr>
        <w:spacing w:line="240" w:lineRule="auto"/>
        <w:rPr>
          <w:lang w:val="en-US"/>
        </w:rPr>
      </w:pPr>
    </w:p>
    <w:p w14:paraId="60550E5B" w14:textId="79F46114" w:rsidR="00C64C6A" w:rsidRDefault="00C64C6A" w:rsidP="00C64C6A">
      <w:pPr>
        <w:spacing w:line="240" w:lineRule="auto"/>
        <w:jc w:val="center"/>
        <w:rPr>
          <w:lang w:val="en-US"/>
        </w:rPr>
      </w:pPr>
      <w:r w:rsidRPr="00A61721">
        <w:rPr>
          <w:noProof/>
        </w:rPr>
        <w:drawing>
          <wp:inline distT="0" distB="0" distL="0" distR="0" wp14:anchorId="62DA33B8" wp14:editId="67FF013E">
            <wp:extent cx="5733363" cy="4690753"/>
            <wp:effectExtent l="0" t="0" r="1270" b="0"/>
            <wp:docPr id="3" name="Picture 2" descr="A collage of graphing line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8D899C53-7A04-1EA5-81CB-9291746DD7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ollage of graphing line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8D899C53-7A04-1EA5-81CB-9291746DD7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551" cy="469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4A747" w14:textId="24A3ECE1" w:rsidR="00C64C6A" w:rsidRPr="00A61721" w:rsidRDefault="00C64C6A" w:rsidP="00C64C6A">
      <w:pPr>
        <w:spacing w:line="240" w:lineRule="auto"/>
        <w:rPr>
          <w:lang w:val="en-US"/>
        </w:rPr>
      </w:pPr>
      <w:r w:rsidRPr="00A61721">
        <w:rPr>
          <w:b/>
          <w:bCs/>
          <w:lang w:val="en-US"/>
        </w:rPr>
        <w:t xml:space="preserve">Supplementary Figure </w:t>
      </w:r>
      <w:r w:rsidR="00FE61F9">
        <w:rPr>
          <w:b/>
          <w:bCs/>
          <w:lang w:val="en-US"/>
        </w:rPr>
        <w:t>S</w:t>
      </w:r>
      <w:r w:rsidR="00EE0C9E">
        <w:rPr>
          <w:b/>
          <w:bCs/>
          <w:lang w:val="en-US"/>
        </w:rPr>
        <w:t>3</w:t>
      </w:r>
      <w:r w:rsidRPr="00A61721">
        <w:rPr>
          <w:b/>
          <w:bCs/>
          <w:lang w:val="en-US"/>
        </w:rPr>
        <w:t>. Cell count</w:t>
      </w:r>
      <w:r w:rsidR="008D5888">
        <w:rPr>
          <w:b/>
          <w:bCs/>
          <w:lang w:val="en-US"/>
        </w:rPr>
        <w:t xml:space="preserve"> trajectories </w:t>
      </w:r>
      <w:r>
        <w:rPr>
          <w:b/>
          <w:bCs/>
          <w:lang w:val="en-US"/>
        </w:rPr>
        <w:t xml:space="preserve">in blood </w:t>
      </w:r>
      <w:r w:rsidRPr="00A61721">
        <w:rPr>
          <w:b/>
          <w:bCs/>
          <w:lang w:val="en-US"/>
        </w:rPr>
        <w:t>with advancing calendar age</w:t>
      </w:r>
      <w:r w:rsidRPr="00A61721">
        <w:rPr>
          <w:lang w:val="en-US"/>
        </w:rPr>
        <w:t xml:space="preserve"> </w:t>
      </w:r>
    </w:p>
    <w:p w14:paraId="6A04ABA8" w14:textId="1DC11D92" w:rsidR="00B4464C" w:rsidRDefault="00C64C6A" w:rsidP="00C64C6A">
      <w:pPr>
        <w:spacing w:line="240" w:lineRule="auto"/>
        <w:rPr>
          <w:lang w:val="en-US"/>
        </w:rPr>
      </w:pPr>
      <w:r w:rsidRPr="00A61721">
        <w:rPr>
          <w:lang w:val="en-US"/>
        </w:rPr>
        <w:t xml:space="preserve">Data </w:t>
      </w:r>
      <w:r w:rsidR="003A006D">
        <w:rPr>
          <w:lang w:val="en-US"/>
        </w:rPr>
        <w:t xml:space="preserve">are </w:t>
      </w:r>
      <w:r w:rsidRPr="00A61721">
        <w:rPr>
          <w:lang w:val="en-US"/>
        </w:rPr>
        <w:t>from a longitudinal cohort (SATSA, n=</w:t>
      </w:r>
      <w:r w:rsidR="00020CEE">
        <w:rPr>
          <w:lang w:val="en-US"/>
        </w:rPr>
        <w:t> </w:t>
      </w:r>
      <w:r w:rsidR="00C45CA3">
        <w:rPr>
          <w:lang w:val="en-US"/>
        </w:rPr>
        <w:t>328</w:t>
      </w:r>
      <w:r w:rsidRPr="00A61721">
        <w:rPr>
          <w:lang w:val="en-US"/>
        </w:rPr>
        <w:t xml:space="preserve">). p-value </w:t>
      </w:r>
      <w:r w:rsidR="003A006D">
        <w:rPr>
          <w:lang w:val="en-US"/>
        </w:rPr>
        <w:t xml:space="preserve">is </w:t>
      </w:r>
      <w:r w:rsidR="00105AE4">
        <w:rPr>
          <w:lang w:val="en-US"/>
        </w:rPr>
        <w:t xml:space="preserve">for yearly change </w:t>
      </w:r>
      <w:r w:rsidRPr="00A61721">
        <w:rPr>
          <w:lang w:val="en-US"/>
        </w:rPr>
        <w:t>from</w:t>
      </w:r>
      <w:r w:rsidR="00020CEE">
        <w:rPr>
          <w:lang w:val="en-US"/>
        </w:rPr>
        <w:t xml:space="preserve"> a</w:t>
      </w:r>
      <w:r w:rsidRPr="00A61721">
        <w:rPr>
          <w:lang w:val="en-US"/>
        </w:rPr>
        <w:t xml:space="preserve"> linear mixed model analysis. Cell counts </w:t>
      </w:r>
      <w:r w:rsidR="00817480">
        <w:rPr>
          <w:lang w:val="en-US"/>
        </w:rPr>
        <w:t>were</w:t>
      </w:r>
      <w:r w:rsidRPr="00A61721">
        <w:rPr>
          <w:lang w:val="en-US"/>
        </w:rPr>
        <w:t xml:space="preserve"> estimated from DNA methylation data </w:t>
      </w:r>
      <w:r w:rsidR="004F4E34">
        <w:rPr>
          <w:lang w:val="en-US"/>
        </w:rPr>
        <w:fldChar w:fldCharType="begin"/>
      </w:r>
      <w:r w:rsidR="00A05B5C">
        <w:rPr>
          <w:lang w:val="en-US"/>
        </w:rPr>
        <w:instrText xml:space="preserve"> ADDIN ZOTERO_ITEM CSL_CITATION {"citationID":"MqM5UNkY","properties":{"formattedCitation":"(Wang et al., 2018)","plainCitation":"(Wang et al., 2018)","noteIndex":0},"citationItems":[{"id":2266,"uris":["http://zotero.org/users/8898023/items/R5UE3HGY"],"itemData":{"id":2266,"type":"article-journal","container-title":"Epigenetics","DOI":"10.1080/15592294.2018.1526028","ISSN":"1559-2294, 1559-2308","issue":"9","journalAbbreviation":"Epigenetics","language":"en","page":"975-987","source":"DOI.org (Crossref)","title":"Epigenetic influences on aging: a longitudinal genome-wide methylation study in old Swedish twins","title-short":"Epigenetic influences on aging","volume":"13","author":[{"family":"Wang","given":"Yunzhang"},{"family":"Karlsson","given":"Robert"},{"family":"Lampa","given":"Erik"},{"family":"Zhang","given":"Qian"},{"family":"Hedman","given":"Åsa K."},{"family":"Almgren","given":"Malin"},{"family":"Almqvist","given":"Catarina"},{"family":"McRae","given":"Allan F."},{"family":"Marioni","given":"Riccardo E."},{"family":"Ingelsson","given":"Erik"},{"family":"Visscher","given":"Peter M."},{"family":"Deary","given":"Ian J."},{"family":"Lind","given":"Lars"},{"family":"Morris","given":"Tiffany"},{"family":"Beck","given":"Stephan"},{"family":"Pedersen","given":"Nancy L."},{"family":"Hägg","given":"Sara"}],"issued":{"date-parts":[["2018",9,2]]}}}],"schema":"https://github.com/citation-style-language/schema/raw/master/csl-citation.json"} </w:instrText>
      </w:r>
      <w:r w:rsidR="004F4E34">
        <w:rPr>
          <w:lang w:val="en-US"/>
        </w:rPr>
        <w:fldChar w:fldCharType="separate"/>
      </w:r>
      <w:r w:rsidR="00A05B5C" w:rsidRPr="00A05B5C">
        <w:rPr>
          <w:rFonts w:cs="Times New Roman"/>
        </w:rPr>
        <w:t>(Wang et al., 2018)</w:t>
      </w:r>
      <w:r w:rsidR="004F4E34">
        <w:rPr>
          <w:lang w:val="en-US"/>
        </w:rPr>
        <w:fldChar w:fldCharType="end"/>
      </w:r>
      <w:r w:rsidRPr="00A61721">
        <w:rPr>
          <w:lang w:val="en-US"/>
        </w:rPr>
        <w:t>. For this analysis, ou</w:t>
      </w:r>
      <w:r>
        <w:rPr>
          <w:lang w:val="en-US"/>
        </w:rPr>
        <w:t>t</w:t>
      </w:r>
      <w:r w:rsidRPr="00A61721">
        <w:rPr>
          <w:lang w:val="en-US"/>
        </w:rPr>
        <w:t>lier</w:t>
      </w:r>
      <w:r>
        <w:rPr>
          <w:lang w:val="en-US"/>
        </w:rPr>
        <w:t xml:space="preserve"> values</w:t>
      </w:r>
      <w:r w:rsidRPr="00A61721">
        <w:rPr>
          <w:lang w:val="en-US"/>
        </w:rPr>
        <w:t xml:space="preserve"> were </w:t>
      </w:r>
      <w:r w:rsidR="00020CEE">
        <w:rPr>
          <w:lang w:val="en-US"/>
        </w:rPr>
        <w:t xml:space="preserve">rigorously </w:t>
      </w:r>
      <w:r w:rsidRPr="00A61721">
        <w:rPr>
          <w:lang w:val="en-US"/>
        </w:rPr>
        <w:t xml:space="preserve">filtered out </w:t>
      </w:r>
      <w:r>
        <w:rPr>
          <w:lang w:val="en-US"/>
        </w:rPr>
        <w:t>from</w:t>
      </w:r>
      <w:r w:rsidRPr="00A61721">
        <w:rPr>
          <w:lang w:val="en-US"/>
        </w:rPr>
        <w:t xml:space="preserve"> the cell count data </w:t>
      </w:r>
      <w:r>
        <w:rPr>
          <w:lang w:val="en-US"/>
        </w:rPr>
        <w:t>(excluding values</w:t>
      </w:r>
      <w:r w:rsidR="00DF6161">
        <w:rPr>
          <w:lang w:val="en-US"/>
        </w:rPr>
        <w:t xml:space="preserve"> 0</w:t>
      </w:r>
      <w:r>
        <w:rPr>
          <w:lang w:val="en-US"/>
        </w:rPr>
        <w:t>)</w:t>
      </w:r>
      <w:r w:rsidRPr="00A61721">
        <w:rPr>
          <w:lang w:val="en-US"/>
        </w:rPr>
        <w:t xml:space="preserve">. </w:t>
      </w:r>
    </w:p>
    <w:p w14:paraId="51CE1C0B" w14:textId="77777777" w:rsidR="00B4464C" w:rsidRDefault="00B4464C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05B06B41" w14:textId="2E5C7499" w:rsidR="00603F61" w:rsidRDefault="00B4464C" w:rsidP="00C64C6A">
      <w:pPr>
        <w:spacing w:line="240" w:lineRule="auto"/>
        <w:rPr>
          <w:b/>
          <w:bCs/>
          <w:lang w:val="en-US"/>
        </w:rPr>
      </w:pPr>
      <w:r w:rsidRPr="00E55D4D">
        <w:rPr>
          <w:b/>
          <w:bCs/>
          <w:lang w:val="en-US"/>
        </w:rPr>
        <w:lastRenderedPageBreak/>
        <w:t>Supplementary results</w:t>
      </w:r>
    </w:p>
    <w:p w14:paraId="11C90401" w14:textId="1D1BF7DB" w:rsidR="001870FB" w:rsidRPr="00105AE4" w:rsidRDefault="001870FB" w:rsidP="00C64C6A">
      <w:pPr>
        <w:spacing w:line="240" w:lineRule="auto"/>
        <w:rPr>
          <w:i/>
          <w:iCs/>
          <w:lang w:val="en-US"/>
        </w:rPr>
      </w:pPr>
      <w:r w:rsidRPr="00105AE4">
        <w:rPr>
          <w:i/>
          <w:iCs/>
          <w:lang w:val="en-US"/>
        </w:rPr>
        <w:t>Detailed description of the pairwise comparisons between cell types and whole blood</w:t>
      </w:r>
    </w:p>
    <w:p w14:paraId="37680758" w14:textId="77777777" w:rsidR="001870FB" w:rsidRPr="00E55D4D" w:rsidRDefault="001870FB" w:rsidP="00C64C6A">
      <w:pPr>
        <w:spacing w:line="240" w:lineRule="auto"/>
        <w:rPr>
          <w:lang w:val="en-US"/>
        </w:rPr>
      </w:pPr>
    </w:p>
    <w:p w14:paraId="4C4C4AF1" w14:textId="77777777" w:rsidR="006470F8" w:rsidRPr="00C51196" w:rsidRDefault="006470F8" w:rsidP="006470F8">
      <w:pPr>
        <w:spacing w:line="360" w:lineRule="auto"/>
        <w:ind w:firstLine="1304"/>
        <w:rPr>
          <w:rFonts w:cs="Times New Roman"/>
          <w:i/>
          <w:iCs/>
          <w:szCs w:val="24"/>
          <w:lang w:val="en-US"/>
        </w:rPr>
      </w:pPr>
      <w:r w:rsidRPr="00C51196">
        <w:rPr>
          <w:rFonts w:cs="Times New Roman"/>
          <w:i/>
          <w:iCs/>
          <w:szCs w:val="24"/>
          <w:lang w:val="en-US"/>
        </w:rPr>
        <w:t>CD19+ B cells</w:t>
      </w:r>
    </w:p>
    <w:p w14:paraId="25E3E3F5" w14:textId="7AF146D4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Methylation data </w:t>
      </w:r>
      <w:r w:rsidR="00CA631E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CD19+ B cells </w:t>
      </w:r>
      <w:r w:rsidR="00CA631E">
        <w:rPr>
          <w:rFonts w:cs="Times New Roman"/>
          <w:szCs w:val="24"/>
          <w:lang w:val="en-US"/>
        </w:rPr>
        <w:t xml:space="preserve">were </w:t>
      </w:r>
      <w:r>
        <w:rPr>
          <w:rFonts w:cs="Times New Roman"/>
          <w:szCs w:val="24"/>
          <w:lang w:val="en-US"/>
        </w:rPr>
        <w:t xml:space="preserve">available in three datasets. </w:t>
      </w:r>
      <w:r w:rsidR="00CA631E">
        <w:rPr>
          <w:rFonts w:cs="Times New Roman"/>
          <w:szCs w:val="24"/>
          <w:lang w:val="en-US"/>
        </w:rPr>
        <w:t xml:space="preserve">When </w:t>
      </w:r>
      <w:r>
        <w:rPr>
          <w:rFonts w:cs="Times New Roman"/>
          <w:szCs w:val="24"/>
          <w:lang w:val="en-US"/>
        </w:rPr>
        <w:t>compared to other cell types, CD19+ B cells displayed a statistically significant difference (Mann</w:t>
      </w:r>
      <w:r w:rsidR="00CA631E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>Whitney U test p-value &lt;</w:t>
      </w:r>
      <w:r w:rsidR="00CA631E">
        <w:rPr>
          <w:rFonts w:cs="Times New Roman"/>
          <w:szCs w:val="24"/>
          <w:lang w:val="en-US"/>
        </w:rPr>
        <w:t> </w:t>
      </w:r>
      <w:r>
        <w:rPr>
          <w:rFonts w:cs="Times New Roman"/>
          <w:szCs w:val="24"/>
          <w:lang w:val="en-US"/>
        </w:rPr>
        <w:t xml:space="preserve">0.05) in </w:t>
      </w:r>
      <w:r w:rsidR="00CA631E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>majority of the pairwise comparisons in GSE131989 and GSE166844 (Figure 2, Supplementary S3</w:t>
      </w:r>
      <w:r w:rsidR="00CA631E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 xml:space="preserve">S4). In the smallest dataset, GSE35069, statistically significant differences were mainly observed </w:t>
      </w:r>
      <w:r w:rsidR="00CA631E">
        <w:rPr>
          <w:rFonts w:cs="Times New Roman"/>
          <w:szCs w:val="24"/>
          <w:lang w:val="en-US"/>
        </w:rPr>
        <w:t xml:space="preserve">with </w:t>
      </w:r>
      <w:r>
        <w:rPr>
          <w:rFonts w:cs="Times New Roman"/>
          <w:szCs w:val="24"/>
          <w:lang w:val="en-US"/>
        </w:rPr>
        <w:t xml:space="preserve">DunedinPACE (Figure 2, Supplementary Figure S1, Supplementary Table S5). </w:t>
      </w:r>
      <w:r w:rsidRPr="00702AB1">
        <w:rPr>
          <w:rFonts w:cs="Times New Roman"/>
          <w:szCs w:val="24"/>
          <w:lang w:val="en-US"/>
        </w:rPr>
        <w:t xml:space="preserve">In summary, our results suggest </w:t>
      </w:r>
      <w:r w:rsidR="00CA631E">
        <w:rPr>
          <w:rFonts w:cs="Times New Roman"/>
          <w:szCs w:val="24"/>
          <w:lang w:val="en-US"/>
        </w:rPr>
        <w:t xml:space="preserve">that </w:t>
      </w:r>
      <w:r w:rsidRPr="00702AB1">
        <w:rPr>
          <w:rFonts w:cs="Times New Roman"/>
          <w:szCs w:val="24"/>
          <w:lang w:val="en-US"/>
        </w:rPr>
        <w:t xml:space="preserve">CD19+ B cells are, according to the studied BA indicators, </w:t>
      </w:r>
      <w:r w:rsidR="00CA631E">
        <w:rPr>
          <w:rFonts w:cs="Times New Roman"/>
          <w:szCs w:val="24"/>
          <w:lang w:val="en-US"/>
        </w:rPr>
        <w:t>“</w:t>
      </w:r>
      <w:r w:rsidRPr="00702AB1">
        <w:rPr>
          <w:rFonts w:cs="Times New Roman"/>
          <w:szCs w:val="24"/>
          <w:lang w:val="en-US"/>
        </w:rPr>
        <w:t>younger</w:t>
      </w:r>
      <w:r w:rsidR="00CA631E">
        <w:rPr>
          <w:rFonts w:cs="Times New Roman"/>
          <w:szCs w:val="24"/>
          <w:lang w:val="en-US"/>
        </w:rPr>
        <w:t>” than</w:t>
      </w:r>
      <w:r w:rsidRPr="00702AB1">
        <w:rPr>
          <w:rFonts w:cs="Times New Roman"/>
          <w:szCs w:val="24"/>
          <w:lang w:val="en-US"/>
        </w:rPr>
        <w:t xml:space="preserve"> CD14+ cells, but </w:t>
      </w:r>
      <w:r w:rsidR="00CA631E">
        <w:rPr>
          <w:rFonts w:cs="Times New Roman"/>
          <w:szCs w:val="24"/>
          <w:lang w:val="en-US"/>
        </w:rPr>
        <w:t>“</w:t>
      </w:r>
      <w:r w:rsidRPr="00702AB1">
        <w:rPr>
          <w:rFonts w:cs="Times New Roman"/>
          <w:szCs w:val="24"/>
          <w:lang w:val="en-US"/>
        </w:rPr>
        <w:t>older</w:t>
      </w:r>
      <w:r w:rsidR="00CA631E">
        <w:rPr>
          <w:rFonts w:cs="Times New Roman"/>
          <w:szCs w:val="24"/>
          <w:lang w:val="en-US"/>
        </w:rPr>
        <w:t>” than</w:t>
      </w:r>
      <w:r w:rsidRPr="00702AB1">
        <w:rPr>
          <w:rFonts w:cs="Times New Roman"/>
          <w:szCs w:val="24"/>
          <w:lang w:val="en-US"/>
        </w:rPr>
        <w:t xml:space="preserve"> naïve CD4+ cells and total CD8+ T cells, although there are some discrepancies between the different BAs (Figure 2, Supplementary Table S3</w:t>
      </w:r>
      <w:r w:rsidR="00CA631E">
        <w:rPr>
          <w:rFonts w:cs="Times New Roman"/>
          <w:szCs w:val="24"/>
          <w:lang w:val="en-US"/>
        </w:rPr>
        <w:t>–</w:t>
      </w:r>
      <w:r w:rsidRPr="00702AB1">
        <w:rPr>
          <w:rFonts w:cs="Times New Roman"/>
          <w:szCs w:val="24"/>
          <w:lang w:val="en-US"/>
        </w:rPr>
        <w:t>S5). In comparison to whole blood, no clear pattern was observed for CD19+ B cells.</w:t>
      </w:r>
    </w:p>
    <w:p w14:paraId="32ACF0C4" w14:textId="333F4313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When comparing CD19+ B cells with CD14+ monocytes, l</w:t>
      </w:r>
      <w:r w:rsidRPr="00793BD5">
        <w:rPr>
          <w:rFonts w:cs="Times New Roman"/>
          <w:szCs w:val="24"/>
          <w:lang w:val="en-US"/>
        </w:rPr>
        <w:t>ower Horvath, DNAmPhenoAge</w:t>
      </w:r>
      <w:r w:rsidR="00CA631E">
        <w:rPr>
          <w:rFonts w:cs="Times New Roman"/>
          <w:szCs w:val="24"/>
          <w:lang w:val="en-US"/>
        </w:rPr>
        <w:t>,</w:t>
      </w:r>
      <w:r w:rsidRPr="00793BD5">
        <w:rPr>
          <w:rFonts w:cs="Times New Roman"/>
          <w:szCs w:val="24"/>
          <w:lang w:val="en-US"/>
        </w:rPr>
        <w:t xml:space="preserve"> and DunedinPACE </w:t>
      </w:r>
      <w:r w:rsidR="00CA631E">
        <w:rPr>
          <w:rFonts w:cs="Times New Roman"/>
          <w:szCs w:val="24"/>
          <w:lang w:val="en-US"/>
        </w:rPr>
        <w:t xml:space="preserve">values </w:t>
      </w:r>
      <w:r w:rsidRPr="00793BD5">
        <w:rPr>
          <w:rFonts w:cs="Times New Roman"/>
          <w:szCs w:val="24"/>
          <w:lang w:val="en-US"/>
        </w:rPr>
        <w:t xml:space="preserve">were detected </w:t>
      </w:r>
      <w:r>
        <w:rPr>
          <w:rFonts w:cs="Times New Roman"/>
          <w:szCs w:val="24"/>
          <w:lang w:val="en-US"/>
        </w:rPr>
        <w:t xml:space="preserve">in </w:t>
      </w:r>
      <w:r w:rsidRPr="00793BD5">
        <w:rPr>
          <w:rFonts w:cs="Times New Roman"/>
          <w:szCs w:val="24"/>
          <w:lang w:val="en-US"/>
        </w:rPr>
        <w:t>GSE131989 and GSE166844</w:t>
      </w:r>
      <w:r>
        <w:rPr>
          <w:rFonts w:cs="Times New Roman"/>
          <w:szCs w:val="24"/>
          <w:lang w:val="en-US"/>
        </w:rPr>
        <w:t xml:space="preserve">, suggesting that CD19+ cells are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CA631E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CD14+ monocytes. In contrast,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was higher </w:t>
      </w:r>
      <w:r w:rsidR="00203790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CD19+ B cells </w:t>
      </w:r>
      <w:r w:rsidR="00CA631E">
        <w:rPr>
          <w:rFonts w:cs="Times New Roman"/>
          <w:szCs w:val="24"/>
          <w:lang w:val="en-US"/>
        </w:rPr>
        <w:t xml:space="preserve">than </w:t>
      </w:r>
      <w:r w:rsidR="00203790">
        <w:rPr>
          <w:rFonts w:cs="Times New Roman"/>
          <w:szCs w:val="24"/>
          <w:lang w:val="en-US"/>
        </w:rPr>
        <w:t>for</w:t>
      </w:r>
      <w:r>
        <w:rPr>
          <w:rFonts w:cs="Times New Roman"/>
          <w:szCs w:val="24"/>
          <w:lang w:val="en-US"/>
        </w:rPr>
        <w:t xml:space="preserve"> CD14+ monocytes in</w:t>
      </w:r>
      <w:r w:rsidR="00CA631E">
        <w:rPr>
          <w:rFonts w:cs="Times New Roman"/>
          <w:szCs w:val="24"/>
          <w:lang w:val="en-US"/>
        </w:rPr>
        <w:t xml:space="preserve"> the</w:t>
      </w:r>
      <w:r>
        <w:rPr>
          <w:rFonts w:cs="Times New Roman"/>
          <w:szCs w:val="24"/>
          <w:lang w:val="en-US"/>
        </w:rPr>
        <w:t xml:space="preserve"> GSE35069 and GSE131989</w:t>
      </w:r>
      <w:r w:rsidR="00CA631E">
        <w:rPr>
          <w:rFonts w:cs="Times New Roman"/>
          <w:szCs w:val="24"/>
          <w:lang w:val="en-US"/>
        </w:rPr>
        <w:t xml:space="preserve"> datasets</w:t>
      </w:r>
      <w:r>
        <w:rPr>
          <w:rFonts w:cs="Times New Roman"/>
          <w:szCs w:val="24"/>
          <w:lang w:val="en-US"/>
        </w:rPr>
        <w:t xml:space="preserve">, suggesting </w:t>
      </w:r>
      <w:r w:rsidR="00CA631E">
        <w:rPr>
          <w:rFonts w:cs="Times New Roman"/>
          <w:szCs w:val="24"/>
          <w:lang w:val="en-US"/>
        </w:rPr>
        <w:t xml:space="preserve">that </w:t>
      </w:r>
      <w:r>
        <w:rPr>
          <w:rFonts w:cs="Times New Roman"/>
          <w:szCs w:val="24"/>
          <w:lang w:val="en-US"/>
        </w:rPr>
        <w:t xml:space="preserve">they are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CA631E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, as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hypermethylation has been shown to be associated with aging</w:t>
      </w:r>
      <w:r w:rsidR="00CA631E">
        <w:rPr>
          <w:rFonts w:cs="Times New Roman"/>
          <w:szCs w:val="24"/>
          <w:lang w:val="en-US"/>
        </w:rPr>
        <w:t xml:space="preserve"> </w:t>
      </w:r>
      <w:r w:rsidR="00105AE4">
        <w:rPr>
          <w:rFonts w:cs="Times New Roman"/>
          <w:szCs w:val="24"/>
          <w:lang w:val="en-US"/>
        </w:rPr>
        <w:fldChar w:fldCharType="begin"/>
      </w:r>
      <w:r w:rsidR="00105AE4">
        <w:rPr>
          <w:rFonts w:cs="Times New Roman"/>
          <w:szCs w:val="24"/>
          <w:lang w:val="en-US"/>
        </w:rPr>
        <w:instrText xml:space="preserve"> ADDIN ZOTERO_ITEM CSL_CITATION {"citationID":"KFqcTYBH","properties":{"formattedCitation":"(Garagnani et al., 2012)","plainCitation":"(Garagnani et al., 2012)","noteIndex":0},"citationItems":[{"id":274,"uris":["http://zotero.org/users/8898023/items/RN3K3JYG"],"itemData":{"id":274,"type":"article-journal","abstract":"The discovery of biomarkers able to predict biological age of individuals is a crucial goal in aging research. Recently, researchers' attention has turn toward epigenetic markers of aging. Using the Illumina Infinium HumanMethylation450 BeadChip on whole blood DNA from a small cohort of 64 subjects of different ages, we identified 3 regions, the CpG islands of ELOVL2, FHL2, and PENK genes, whose methylation level strongly correlates with age. These results were confirmed by the Sequenom's EpiTYPER assay on a larger cohort of 501 subjects from 9 to 99 years, including 7 cord blood samples. Among the 3 genes, ELOVL2 shows a progressive increase in methylation that begins since the very first stage of life (Spearman's correlation coefficient = 0.92) and appears to be a very promising biomarker of aging.","container-title":"Aging cell","DOI":"10.1111/acel.12005","ISSN":"1474-9726; 1474-9718","issue":"6","journalAbbreviation":"Aging Cell.","language":"eng","note":"publisher-place: England\npublisher: Blackwell Publishing Ltd/Anatomical Society of Great Britain and Ireland","page":"1132-1134","title":"Methylation of ELOVL2 gene as a new epigenetic marker of age","volume":"11","author":[{"family":"Garagnani","given":"P."},{"family":"Bacalini","given":"M. G."},{"family":"Pirazzini","given":"C."},{"family":"Gori","given":"D."},{"family":"Giuliani","given":"C."},{"family":"Mari","given":"D."},{"family":"Di Blasio","given":"A. M."},{"family":"Gentilini","given":"D."},{"family":"Vitale","given":"G."},{"family":"Collino","given":"S."},{"family":"Rezzi","given":"S."},{"family":"Castellani","given":"G."},{"family":"Capri","given":"M."},{"family":"Salvioli","given":"S."},{"family":"Franceschi","given":"C."}],"issued":{"date-parts":[["2012"]]}}}],"schema":"https://github.com/citation-style-language/schema/raw/master/csl-citation.json"} </w:instrText>
      </w:r>
      <w:r w:rsidR="00105AE4">
        <w:rPr>
          <w:rFonts w:cs="Times New Roman"/>
          <w:szCs w:val="24"/>
          <w:lang w:val="en-US"/>
        </w:rPr>
        <w:fldChar w:fldCharType="separate"/>
      </w:r>
      <w:r w:rsidR="00105AE4" w:rsidRPr="00105AE4">
        <w:rPr>
          <w:rFonts w:cs="Times New Roman"/>
        </w:rPr>
        <w:t>(Garagnani et al., 2012)</w:t>
      </w:r>
      <w:r w:rsidR="00105AE4">
        <w:rPr>
          <w:rFonts w:cs="Times New Roman"/>
          <w:szCs w:val="24"/>
          <w:lang w:val="en-US"/>
        </w:rPr>
        <w:fldChar w:fldCharType="end"/>
      </w:r>
      <w:r>
        <w:rPr>
          <w:rFonts w:cs="Times New Roman"/>
          <w:szCs w:val="24"/>
          <w:lang w:val="en-US"/>
        </w:rPr>
        <w:t xml:space="preserve"> (Figure 2, Supplementary Tables S3</w:t>
      </w:r>
      <w:r w:rsidR="00CA631E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 xml:space="preserve">S5). </w:t>
      </w:r>
    </w:p>
    <w:p w14:paraId="2F9D62F9" w14:textId="365907D7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When comparing CD19+ B cells with CD4+ naïve T cells, we observe</w:t>
      </w:r>
      <w:r w:rsidR="00CA631E">
        <w:rPr>
          <w:rFonts w:cs="Times New Roman"/>
          <w:szCs w:val="24"/>
          <w:lang w:val="en-US"/>
        </w:rPr>
        <w:t>d</w:t>
      </w:r>
      <w:r>
        <w:rPr>
          <w:rFonts w:cs="Times New Roman"/>
          <w:szCs w:val="24"/>
          <w:lang w:val="en-US"/>
        </w:rPr>
        <w:t xml:space="preserve"> a concordant pattern across different BA indicators</w:t>
      </w:r>
      <w:r w:rsidR="00CA631E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suggesting</w:t>
      </w:r>
      <w:r w:rsidR="00CA631E">
        <w:rPr>
          <w:rFonts w:cs="Times New Roman"/>
          <w:szCs w:val="24"/>
          <w:lang w:val="en-US"/>
        </w:rPr>
        <w:t xml:space="preserve"> that</w:t>
      </w:r>
      <w:r>
        <w:rPr>
          <w:rFonts w:cs="Times New Roman"/>
          <w:szCs w:val="24"/>
          <w:lang w:val="en-US"/>
        </w:rPr>
        <w:t xml:space="preserve"> CD19+ B cells are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CA631E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CD4+ naïve </w:t>
      </w:r>
      <w:r w:rsidRPr="00CA21C1">
        <w:rPr>
          <w:rFonts w:cs="Times New Roman"/>
          <w:szCs w:val="24"/>
          <w:lang w:val="en-US"/>
        </w:rPr>
        <w:t xml:space="preserve">T cells. CD19+ B cells had higher </w:t>
      </w:r>
      <w:proofErr w:type="spellStart"/>
      <w:r w:rsidRPr="00CA21C1">
        <w:rPr>
          <w:rFonts w:cs="Times New Roman"/>
          <w:szCs w:val="24"/>
          <w:lang w:val="en-US"/>
        </w:rPr>
        <w:t>DNAmHannum</w:t>
      </w:r>
      <w:proofErr w:type="spellEnd"/>
      <w:r w:rsidRPr="00CA21C1">
        <w:rPr>
          <w:rFonts w:cs="Times New Roman"/>
          <w:szCs w:val="24"/>
          <w:lang w:val="en-US"/>
        </w:rPr>
        <w:t xml:space="preserve">, </w:t>
      </w:r>
      <w:proofErr w:type="spellStart"/>
      <w:r w:rsidRPr="00CA21C1">
        <w:rPr>
          <w:rFonts w:cs="Times New Roman"/>
          <w:szCs w:val="24"/>
          <w:lang w:val="en-US"/>
        </w:rPr>
        <w:t>DNAmPhenoAge</w:t>
      </w:r>
      <w:proofErr w:type="spellEnd"/>
      <w:r w:rsidRPr="00CA21C1">
        <w:rPr>
          <w:rFonts w:cs="Times New Roman"/>
          <w:szCs w:val="24"/>
          <w:lang w:val="en-US"/>
        </w:rPr>
        <w:t xml:space="preserve">, </w:t>
      </w:r>
      <w:proofErr w:type="spellStart"/>
      <w:r w:rsidRPr="00CA21C1">
        <w:rPr>
          <w:rFonts w:cs="Times New Roman"/>
          <w:szCs w:val="24"/>
          <w:lang w:val="en-US"/>
        </w:rPr>
        <w:t>DunedinPACE</w:t>
      </w:r>
      <w:proofErr w:type="spellEnd"/>
      <w:r w:rsidR="00CA631E">
        <w:rPr>
          <w:rFonts w:cs="Times New Roman"/>
          <w:szCs w:val="24"/>
          <w:lang w:val="en-US"/>
        </w:rPr>
        <w:t>,</w:t>
      </w:r>
      <w:r w:rsidRPr="00CA21C1">
        <w:rPr>
          <w:rFonts w:cs="Times New Roman"/>
          <w:szCs w:val="24"/>
          <w:lang w:val="en-US"/>
        </w:rPr>
        <w:t xml:space="preserve"> and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 w:rsidRPr="00CA21C1">
        <w:rPr>
          <w:rFonts w:cs="Times New Roman"/>
          <w:szCs w:val="24"/>
          <w:lang w:val="en-US"/>
        </w:rPr>
        <w:t xml:space="preserve"> methylation</w:t>
      </w:r>
      <w:r w:rsidRPr="00B3146F">
        <w:rPr>
          <w:rFonts w:cs="Times New Roman"/>
          <w:szCs w:val="24"/>
          <w:lang w:val="en-US"/>
        </w:rPr>
        <w:t xml:space="preserve"> </w:t>
      </w:r>
      <w:r w:rsidR="00CA631E">
        <w:rPr>
          <w:rFonts w:cs="Times New Roman"/>
          <w:szCs w:val="24"/>
          <w:lang w:val="en-US"/>
        </w:rPr>
        <w:t xml:space="preserve">values, </w:t>
      </w:r>
      <w:r w:rsidRPr="00B3146F">
        <w:rPr>
          <w:rFonts w:cs="Times New Roman"/>
          <w:szCs w:val="24"/>
          <w:lang w:val="en-US"/>
        </w:rPr>
        <w:t>and</w:t>
      </w:r>
      <w:r w:rsidR="00CA631E">
        <w:rPr>
          <w:rFonts w:cs="Times New Roman"/>
          <w:szCs w:val="24"/>
          <w:lang w:val="en-US"/>
        </w:rPr>
        <w:t xml:space="preserve"> a</w:t>
      </w:r>
      <w:r w:rsidRPr="00B3146F">
        <w:rPr>
          <w:rFonts w:cs="Times New Roman"/>
          <w:szCs w:val="24"/>
          <w:lang w:val="en-US"/>
        </w:rPr>
        <w:t xml:space="preserve"> lower DNAmTL </w:t>
      </w:r>
      <w:r w:rsidR="00CA631E">
        <w:rPr>
          <w:rFonts w:cs="Times New Roman"/>
          <w:szCs w:val="24"/>
          <w:lang w:val="en-US"/>
        </w:rPr>
        <w:t xml:space="preserve">value than did </w:t>
      </w:r>
      <w:r w:rsidRPr="00CA21C1">
        <w:rPr>
          <w:rFonts w:cs="Times New Roman"/>
          <w:szCs w:val="24"/>
          <w:lang w:val="en-US"/>
        </w:rPr>
        <w:t>CD4+ naïve T cells</w:t>
      </w:r>
      <w:r w:rsidRPr="00B3146F">
        <w:rPr>
          <w:rFonts w:cs="Times New Roman"/>
          <w:szCs w:val="24"/>
          <w:lang w:val="en-US"/>
        </w:rPr>
        <w:t>.</w:t>
      </w:r>
      <w:r>
        <w:rPr>
          <w:rFonts w:cs="Times New Roman"/>
          <w:szCs w:val="24"/>
          <w:lang w:val="en-US"/>
        </w:rPr>
        <w:t xml:space="preserve"> When comparing CD19+ B cells to CD4+ memory T cells, a similar pattern of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CA631E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 values for CD19+ B cells can be observed for DunedinPACE and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methylation, both of which are higher </w:t>
      </w:r>
      <w:r w:rsidR="00203790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CD19+ B cells </w:t>
      </w:r>
      <w:r w:rsidR="00CA631E">
        <w:rPr>
          <w:rFonts w:cs="Times New Roman"/>
          <w:szCs w:val="24"/>
          <w:lang w:val="en-US"/>
        </w:rPr>
        <w:t xml:space="preserve">than </w:t>
      </w:r>
      <w:r w:rsidR="00203790">
        <w:rPr>
          <w:rFonts w:cs="Times New Roman"/>
          <w:szCs w:val="24"/>
          <w:lang w:val="en-US"/>
        </w:rPr>
        <w:t>for</w:t>
      </w:r>
      <w:r>
        <w:rPr>
          <w:rFonts w:cs="Times New Roman"/>
          <w:szCs w:val="24"/>
          <w:lang w:val="en-US"/>
        </w:rPr>
        <w:t xml:space="preserve"> CD4+ memory cells. In contrast, CD19+ B cells showed </w:t>
      </w:r>
      <w:r w:rsidR="00CA631E">
        <w:rPr>
          <w:rFonts w:cs="Times New Roman"/>
          <w:szCs w:val="24"/>
          <w:lang w:val="en-US"/>
        </w:rPr>
        <w:t>a “</w:t>
      </w:r>
      <w:r>
        <w:rPr>
          <w:rFonts w:cs="Times New Roman"/>
          <w:szCs w:val="24"/>
          <w:lang w:val="en-US"/>
        </w:rPr>
        <w:t>younger</w:t>
      </w:r>
      <w:r w:rsidR="00CA631E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>, i.e. lower</w:t>
      </w:r>
      <w:r w:rsidR="00CA631E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Horvath </w:t>
      </w:r>
      <w:r w:rsidR="00CA631E">
        <w:rPr>
          <w:rFonts w:cs="Times New Roman"/>
          <w:szCs w:val="24"/>
          <w:lang w:val="en-US"/>
        </w:rPr>
        <w:t xml:space="preserve">value when </w:t>
      </w:r>
      <w:r>
        <w:rPr>
          <w:rFonts w:cs="Times New Roman"/>
          <w:szCs w:val="24"/>
          <w:lang w:val="en-US"/>
        </w:rPr>
        <w:t xml:space="preserve">compared to CD4+ memory T cells (Figure 2, Supplementary Table S3).  </w:t>
      </w:r>
    </w:p>
    <w:p w14:paraId="43EAC725" w14:textId="0936C78A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 w:rsidRPr="00B3146F">
        <w:rPr>
          <w:rFonts w:cs="Times New Roman"/>
          <w:szCs w:val="24"/>
          <w:lang w:val="en-US"/>
        </w:rPr>
        <w:t>When comparing CD19+ B cells</w:t>
      </w:r>
      <w:r>
        <w:rPr>
          <w:rFonts w:cs="Times New Roman"/>
          <w:szCs w:val="24"/>
          <w:lang w:val="en-US"/>
        </w:rPr>
        <w:t xml:space="preserve"> with total CD4+ T cells, four out of the six BA indicators suggested CD19+ cells to be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CA631E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total CD4+ T cells, whereas two of the six BA indicators suggested CD19+ B cells to be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CA631E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total CD4+ T cells.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CA631E">
        <w:rPr>
          <w:rFonts w:cs="Times New Roman"/>
          <w:szCs w:val="24"/>
          <w:lang w:val="en-US"/>
        </w:rPr>
        <w:t>” BAs</w:t>
      </w:r>
      <w:r>
        <w:rPr>
          <w:rFonts w:cs="Times New Roman"/>
          <w:szCs w:val="24"/>
          <w:lang w:val="en-US"/>
        </w:rPr>
        <w:t xml:space="preserve"> for </w:t>
      </w:r>
      <w:r>
        <w:rPr>
          <w:rFonts w:cs="Times New Roman"/>
          <w:szCs w:val="24"/>
          <w:lang w:val="en-US"/>
        </w:rPr>
        <w:lastRenderedPageBreak/>
        <w:t xml:space="preserve">CD19+ B cells </w:t>
      </w:r>
      <w:r w:rsidR="00CA631E">
        <w:rPr>
          <w:rFonts w:cs="Times New Roman"/>
          <w:szCs w:val="24"/>
          <w:lang w:val="en-US"/>
        </w:rPr>
        <w:t>in comparison</w:t>
      </w:r>
      <w:r>
        <w:rPr>
          <w:rFonts w:cs="Times New Roman"/>
          <w:szCs w:val="24"/>
          <w:lang w:val="en-US"/>
        </w:rPr>
        <w:t xml:space="preserve"> to total CD4+ T cells were suggested by higher DunedinPACE</w:t>
      </w:r>
      <w:r w:rsidR="00CA631E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and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and lower of DNAmTL </w:t>
      </w:r>
      <w:r w:rsidR="00CA631E">
        <w:rPr>
          <w:rFonts w:cs="Times New Roman"/>
          <w:szCs w:val="24"/>
          <w:lang w:val="en-US"/>
        </w:rPr>
        <w:t xml:space="preserve">values in </w:t>
      </w:r>
      <w:r>
        <w:rPr>
          <w:rFonts w:cs="Times New Roman"/>
          <w:szCs w:val="24"/>
          <w:lang w:val="en-US"/>
        </w:rPr>
        <w:t>two datasets (GSE35069 and GSE166844) and by higher DNAmPhenoAge</w:t>
      </w:r>
      <w:r w:rsidR="00CA631E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in one dataset (GSE166844). In contrast, </w:t>
      </w:r>
      <w:r w:rsidR="00CA631E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CA631E">
        <w:rPr>
          <w:rFonts w:cs="Times New Roman"/>
          <w:szCs w:val="24"/>
          <w:lang w:val="en-US"/>
        </w:rPr>
        <w:t>” BA</w:t>
      </w:r>
      <w:r>
        <w:rPr>
          <w:rFonts w:cs="Times New Roman"/>
          <w:szCs w:val="24"/>
          <w:lang w:val="en-US"/>
        </w:rPr>
        <w:t xml:space="preserve"> values for CD19+ B cells as </w:t>
      </w:r>
      <w:r w:rsidR="00CA631E">
        <w:rPr>
          <w:rFonts w:cs="Times New Roman"/>
          <w:szCs w:val="24"/>
          <w:lang w:val="en-US"/>
        </w:rPr>
        <w:t xml:space="preserve">opposed </w:t>
      </w:r>
      <w:r>
        <w:rPr>
          <w:rFonts w:cs="Times New Roman"/>
          <w:szCs w:val="24"/>
          <w:lang w:val="en-US"/>
        </w:rPr>
        <w:t>to total CD4+ T cells were suggested by lower Horvath and Hannum</w:t>
      </w:r>
      <w:r w:rsidR="00CA631E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(Figure 2, Supplementary Tables S4</w:t>
      </w:r>
      <w:r w:rsidR="00975843">
        <w:rPr>
          <w:rFonts w:cs="Times New Roman"/>
          <w:szCs w:val="24"/>
          <w:lang w:val="en-US"/>
        </w:rPr>
        <w:t xml:space="preserve"> and</w:t>
      </w:r>
      <w:r>
        <w:rPr>
          <w:rFonts w:cs="Times New Roman"/>
          <w:szCs w:val="24"/>
          <w:lang w:val="en-US"/>
        </w:rPr>
        <w:t xml:space="preserve"> S5).</w:t>
      </w:r>
    </w:p>
    <w:p w14:paraId="20E6A45E" w14:textId="2121352D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When comparing CD19+ B cells with total CD8+ T cells, we observe</w:t>
      </w:r>
      <w:r w:rsidR="00975843">
        <w:rPr>
          <w:rFonts w:cs="Times New Roman"/>
          <w:szCs w:val="24"/>
          <w:lang w:val="en-US"/>
        </w:rPr>
        <w:t>d</w:t>
      </w:r>
      <w:r>
        <w:rPr>
          <w:rFonts w:cs="Times New Roman"/>
          <w:szCs w:val="24"/>
          <w:lang w:val="en-US"/>
        </w:rPr>
        <w:t xml:space="preserve"> a clear pattern across different BA indicators</w:t>
      </w:r>
      <w:r w:rsidR="00975843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suggesting</w:t>
      </w:r>
      <w:r w:rsidR="00975843">
        <w:rPr>
          <w:rFonts w:cs="Times New Roman"/>
          <w:szCs w:val="24"/>
          <w:lang w:val="en-US"/>
        </w:rPr>
        <w:t xml:space="preserve"> that</w:t>
      </w:r>
      <w:r>
        <w:rPr>
          <w:rFonts w:cs="Times New Roman"/>
          <w:szCs w:val="24"/>
          <w:lang w:val="en-US"/>
        </w:rPr>
        <w:t xml:space="preserve"> CD19+ B cells are </w:t>
      </w:r>
      <w:r w:rsidR="00975843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975843">
        <w:rPr>
          <w:rFonts w:cs="Times New Roman"/>
          <w:szCs w:val="24"/>
          <w:lang w:val="en-US"/>
        </w:rPr>
        <w:t>” in comparison</w:t>
      </w:r>
      <w:r>
        <w:rPr>
          <w:rFonts w:cs="Times New Roman"/>
          <w:szCs w:val="24"/>
          <w:lang w:val="en-US"/>
        </w:rPr>
        <w:t xml:space="preserve"> to total CD8+ </w:t>
      </w:r>
      <w:r w:rsidRPr="00CA21C1">
        <w:rPr>
          <w:rFonts w:cs="Times New Roman"/>
          <w:szCs w:val="24"/>
          <w:lang w:val="en-US"/>
        </w:rPr>
        <w:t>T cells.</w:t>
      </w:r>
      <w:r>
        <w:rPr>
          <w:rFonts w:cs="Times New Roman"/>
          <w:szCs w:val="24"/>
          <w:lang w:val="en-US"/>
        </w:rPr>
        <w:t xml:space="preserve"> CD19+ B cells had higher Hannum, DNAmPhenoAge, DunedinPACE</w:t>
      </w:r>
      <w:r w:rsidR="00975843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</w:t>
      </w:r>
      <w:r w:rsidR="00975843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>and</w:t>
      </w:r>
      <w:r w:rsidR="00975843">
        <w:rPr>
          <w:rFonts w:cs="Times New Roman"/>
          <w:szCs w:val="24"/>
          <w:lang w:val="en-US"/>
        </w:rPr>
        <w:t xml:space="preserve"> a</w:t>
      </w:r>
      <w:r>
        <w:rPr>
          <w:rFonts w:cs="Times New Roman"/>
          <w:szCs w:val="24"/>
          <w:lang w:val="en-US"/>
        </w:rPr>
        <w:t xml:space="preserve"> lower DNAmTL </w:t>
      </w:r>
      <w:r w:rsidR="00975843">
        <w:rPr>
          <w:rFonts w:cs="Times New Roman"/>
          <w:szCs w:val="24"/>
          <w:lang w:val="en-US"/>
        </w:rPr>
        <w:t>value than did</w:t>
      </w:r>
      <w:r>
        <w:rPr>
          <w:rFonts w:cs="Times New Roman"/>
          <w:szCs w:val="24"/>
          <w:lang w:val="en-US"/>
        </w:rPr>
        <w:t xml:space="preserve"> total CD8+ T cells in GSE166844, and this was replicated </w:t>
      </w:r>
      <w:r w:rsidR="00975843">
        <w:rPr>
          <w:rFonts w:cs="Times New Roman"/>
          <w:szCs w:val="24"/>
          <w:lang w:val="en-US"/>
        </w:rPr>
        <w:t xml:space="preserve">with the </w:t>
      </w:r>
      <w:r>
        <w:rPr>
          <w:rFonts w:cs="Times New Roman"/>
          <w:szCs w:val="24"/>
          <w:lang w:val="en-US"/>
        </w:rPr>
        <w:t>Hannum and DunedinPACE</w:t>
      </w:r>
      <w:r w:rsidR="00975843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in GSE35069. The only contrasting BA indicator was Horvath, for which CD19+ B cells showed </w:t>
      </w:r>
      <w:r w:rsidR="00975843">
        <w:rPr>
          <w:rFonts w:cs="Times New Roman"/>
          <w:szCs w:val="24"/>
          <w:lang w:val="en-US"/>
        </w:rPr>
        <w:t xml:space="preserve">a </w:t>
      </w:r>
      <w:r>
        <w:rPr>
          <w:rFonts w:cs="Times New Roman"/>
          <w:szCs w:val="24"/>
          <w:lang w:val="en-US"/>
        </w:rPr>
        <w:t xml:space="preserve">lower value in GSE166844 </w:t>
      </w:r>
      <w:r w:rsidR="00975843">
        <w:rPr>
          <w:rFonts w:cs="Times New Roman"/>
          <w:szCs w:val="24"/>
          <w:lang w:val="en-US"/>
        </w:rPr>
        <w:t xml:space="preserve">when </w:t>
      </w:r>
      <w:r>
        <w:rPr>
          <w:rFonts w:cs="Times New Roman"/>
          <w:szCs w:val="24"/>
          <w:lang w:val="en-US"/>
        </w:rPr>
        <w:t>compared to total CD8+ T cells (Figure 2, Supplementary Tables S4, S5).</w:t>
      </w:r>
    </w:p>
    <w:p w14:paraId="4B3C8064" w14:textId="677158FE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 w:rsidRPr="00B3146F">
        <w:rPr>
          <w:rFonts w:cs="Times New Roman"/>
          <w:szCs w:val="24"/>
          <w:lang w:val="en-US"/>
        </w:rPr>
        <w:t xml:space="preserve">When comparing </w:t>
      </w:r>
      <w:r>
        <w:rPr>
          <w:rFonts w:cs="Times New Roman"/>
          <w:szCs w:val="24"/>
          <w:lang w:val="en-US"/>
        </w:rPr>
        <w:t xml:space="preserve">CD19+ B cells with whole blood samples, there was no clear pattern regarding the direction of difference. Two of the BA indicators suggested CD19+ B cells to be </w:t>
      </w:r>
      <w:r w:rsidR="00975843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975843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whole blood, as </w:t>
      </w:r>
      <w:r w:rsidR="00975843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Horvath and DNAmPhenoAge </w:t>
      </w:r>
      <w:r w:rsidR="00975843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were lower </w:t>
      </w:r>
      <w:r w:rsidR="00975843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CD19+ B cells </w:t>
      </w:r>
      <w:r w:rsidR="00975843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whole blood in GSE166844. However, three of the BA indicators suggested CD19+ B cells to be </w:t>
      </w:r>
      <w:r w:rsidR="00975843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975843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whole blood, as </w:t>
      </w:r>
      <w:r w:rsidR="00975843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DunedinPACE </w:t>
      </w:r>
      <w:r w:rsidR="00975843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and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</w:t>
      </w:r>
      <w:r w:rsidR="00616E32">
        <w:rPr>
          <w:rFonts w:cs="Times New Roman"/>
          <w:szCs w:val="24"/>
          <w:lang w:val="en-US"/>
        </w:rPr>
        <w:t>levels</w:t>
      </w:r>
      <w:r w:rsidR="00975843">
        <w:rPr>
          <w:rFonts w:cs="Times New Roman"/>
          <w:szCs w:val="24"/>
          <w:lang w:val="en-US"/>
        </w:rPr>
        <w:t xml:space="preserve"> of CD19+ B cells </w:t>
      </w:r>
      <w:r>
        <w:rPr>
          <w:rFonts w:cs="Times New Roman"/>
          <w:szCs w:val="24"/>
          <w:lang w:val="en-US"/>
        </w:rPr>
        <w:t xml:space="preserve">were higher in GSE166844 and GSE35069 and </w:t>
      </w:r>
      <w:r w:rsidR="00975843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>DNAmTL</w:t>
      </w:r>
      <w:r w:rsidR="00975843">
        <w:rPr>
          <w:rFonts w:cs="Times New Roman"/>
          <w:szCs w:val="24"/>
          <w:lang w:val="en-US"/>
        </w:rPr>
        <w:t xml:space="preserve"> value</w:t>
      </w:r>
      <w:r>
        <w:rPr>
          <w:rFonts w:cs="Times New Roman"/>
          <w:szCs w:val="24"/>
          <w:lang w:val="en-US"/>
        </w:rPr>
        <w:t xml:space="preserve"> was lower in GSE166844 in </w:t>
      </w:r>
      <w:r w:rsidR="00975843">
        <w:rPr>
          <w:rFonts w:cs="Times New Roman"/>
          <w:szCs w:val="24"/>
          <w:lang w:val="en-US"/>
        </w:rPr>
        <w:t>comparison to those of</w:t>
      </w:r>
      <w:r>
        <w:rPr>
          <w:rFonts w:cs="Times New Roman"/>
          <w:szCs w:val="24"/>
          <w:lang w:val="en-US"/>
        </w:rPr>
        <w:t xml:space="preserve"> whole blood (Figure 2, Supplementary Tables S4, S5).</w:t>
      </w:r>
    </w:p>
    <w:p w14:paraId="6B1658CA" w14:textId="77777777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</w:p>
    <w:p w14:paraId="53591CC4" w14:textId="77777777" w:rsidR="006470F8" w:rsidRPr="00C51196" w:rsidRDefault="006470F8" w:rsidP="006470F8">
      <w:pPr>
        <w:spacing w:line="360" w:lineRule="auto"/>
        <w:ind w:firstLine="1304"/>
        <w:rPr>
          <w:rFonts w:cs="Times New Roman"/>
          <w:i/>
          <w:iCs/>
          <w:szCs w:val="24"/>
          <w:lang w:val="en-US"/>
        </w:rPr>
      </w:pPr>
      <w:r w:rsidRPr="00C51196">
        <w:rPr>
          <w:rFonts w:cs="Times New Roman"/>
          <w:i/>
          <w:iCs/>
          <w:szCs w:val="24"/>
          <w:lang w:val="en-US"/>
        </w:rPr>
        <w:t>T cell subsets</w:t>
      </w:r>
    </w:p>
    <w:p w14:paraId="1CB16DE3" w14:textId="581AF935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 w:rsidRPr="00907195">
        <w:rPr>
          <w:rFonts w:cs="Times New Roman"/>
          <w:szCs w:val="24"/>
          <w:lang w:val="en-US"/>
        </w:rPr>
        <w:t xml:space="preserve">Data on </w:t>
      </w:r>
      <w:r>
        <w:rPr>
          <w:rFonts w:cs="Times New Roman"/>
          <w:szCs w:val="24"/>
          <w:lang w:val="en-US"/>
        </w:rPr>
        <w:t xml:space="preserve">various subsets of </w:t>
      </w:r>
      <w:r w:rsidRPr="00907195">
        <w:rPr>
          <w:rFonts w:cs="Times New Roman"/>
          <w:szCs w:val="24"/>
          <w:lang w:val="en-US"/>
        </w:rPr>
        <w:t>T cells</w:t>
      </w:r>
      <w:r>
        <w:rPr>
          <w:rFonts w:cs="Times New Roman"/>
          <w:szCs w:val="24"/>
          <w:lang w:val="en-US"/>
        </w:rPr>
        <w:t xml:space="preserve"> </w:t>
      </w:r>
      <w:r w:rsidR="00975843">
        <w:rPr>
          <w:rFonts w:cs="Times New Roman"/>
          <w:szCs w:val="24"/>
          <w:lang w:val="en-US"/>
        </w:rPr>
        <w:t xml:space="preserve">were </w:t>
      </w:r>
      <w:r>
        <w:rPr>
          <w:rFonts w:cs="Times New Roman"/>
          <w:szCs w:val="24"/>
          <w:lang w:val="en-US"/>
        </w:rPr>
        <w:t>available in four datasets, including total CD4+ and CD8+ T cells (GSE166844 and GSE35069), CD4+ naïve and memory T cells (GSE131989)</w:t>
      </w:r>
      <w:r w:rsidR="00975843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CD4+CD28- and CD4+CD28+ T cells (GSE78942). </w:t>
      </w:r>
      <w:r w:rsidR="00975843">
        <w:rPr>
          <w:rFonts w:cs="Times New Roman"/>
          <w:szCs w:val="24"/>
          <w:lang w:val="en-US"/>
        </w:rPr>
        <w:t>The m</w:t>
      </w:r>
      <w:r>
        <w:rPr>
          <w:rFonts w:cs="Times New Roman"/>
          <w:szCs w:val="24"/>
          <w:lang w:val="en-US"/>
        </w:rPr>
        <w:t>ajority of pairwise comparisons across these cell types were statistically significant (Figure 2, Table 2, Supplementary Tables S3</w:t>
      </w:r>
      <w:r w:rsidR="00975843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>S5).</w:t>
      </w:r>
      <w:r w:rsidRPr="00907195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Our results suggest that CD8+ T cells are </w:t>
      </w:r>
      <w:r w:rsidR="00975843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975843">
        <w:rPr>
          <w:rFonts w:cs="Times New Roman"/>
          <w:szCs w:val="24"/>
          <w:lang w:val="en-US"/>
        </w:rPr>
        <w:t>” when</w:t>
      </w:r>
      <w:r>
        <w:rPr>
          <w:rFonts w:cs="Times New Roman"/>
          <w:szCs w:val="24"/>
          <w:lang w:val="en-US"/>
        </w:rPr>
        <w:t xml:space="preserve"> compared to CD4+ T cells and that naïve CD4+ T cells are </w:t>
      </w:r>
      <w:r w:rsidR="00975843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975843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memory CD4+ T cells (Figure 2, Supplementary Table S3</w:t>
      </w:r>
      <w:r w:rsidR="00975843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 xml:space="preserve">S5). In addition, </w:t>
      </w:r>
      <w:r w:rsidRPr="00702AB1">
        <w:rPr>
          <w:rFonts w:cs="Times New Roman"/>
          <w:szCs w:val="24"/>
          <w:lang w:val="en-US"/>
        </w:rPr>
        <w:t xml:space="preserve">CD4+CD28+ cells were identified to be </w:t>
      </w:r>
      <w:r w:rsidR="00975843">
        <w:rPr>
          <w:rFonts w:cs="Times New Roman"/>
          <w:szCs w:val="24"/>
          <w:lang w:val="en-US"/>
        </w:rPr>
        <w:t>“</w:t>
      </w:r>
      <w:r w:rsidRPr="00702AB1">
        <w:rPr>
          <w:rFonts w:cs="Times New Roman"/>
          <w:szCs w:val="24"/>
          <w:lang w:val="en-US"/>
        </w:rPr>
        <w:t>younger</w:t>
      </w:r>
      <w:r w:rsidR="00975843">
        <w:rPr>
          <w:rFonts w:cs="Times New Roman"/>
          <w:szCs w:val="24"/>
          <w:lang w:val="en-US"/>
        </w:rPr>
        <w:t>” than</w:t>
      </w:r>
      <w:r w:rsidRPr="00702AB1">
        <w:rPr>
          <w:rFonts w:cs="Times New Roman"/>
          <w:szCs w:val="24"/>
          <w:lang w:val="en-US"/>
        </w:rPr>
        <w:t xml:space="preserve"> CD4+CD28- according to both BA indicators</w:t>
      </w:r>
      <w:r>
        <w:rPr>
          <w:rFonts w:cs="Times New Roman"/>
          <w:szCs w:val="24"/>
          <w:lang w:val="en-US"/>
        </w:rPr>
        <w:t xml:space="preserve"> available for this dataset</w:t>
      </w:r>
      <w:r w:rsidRPr="00702AB1">
        <w:rPr>
          <w:rFonts w:cs="Times New Roman"/>
          <w:szCs w:val="24"/>
          <w:lang w:val="en-US"/>
        </w:rPr>
        <w:t>, Horvath and DNAmPhenoAge</w:t>
      </w:r>
      <w:r>
        <w:rPr>
          <w:rFonts w:cs="Times New Roman"/>
          <w:szCs w:val="24"/>
          <w:lang w:val="en-US"/>
        </w:rPr>
        <w:t xml:space="preserve"> (Table 2)</w:t>
      </w:r>
      <w:r w:rsidRPr="00702AB1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although no statistical tests could be performed</w:t>
      </w:r>
      <w:r w:rsidR="00975843">
        <w:rPr>
          <w:rFonts w:cs="Times New Roman"/>
          <w:szCs w:val="24"/>
          <w:lang w:val="en-US"/>
        </w:rPr>
        <w:t xml:space="preserve"> on these data</w:t>
      </w:r>
      <w:r>
        <w:rPr>
          <w:rFonts w:cs="Times New Roman"/>
          <w:szCs w:val="24"/>
          <w:lang w:val="en-US"/>
        </w:rPr>
        <w:t xml:space="preserve">, as there were only four biological samples. </w:t>
      </w:r>
      <w:r w:rsidR="00975843">
        <w:rPr>
          <w:rFonts w:cs="Times New Roman"/>
          <w:szCs w:val="24"/>
          <w:lang w:val="en-US"/>
        </w:rPr>
        <w:t xml:space="preserve">When </w:t>
      </w:r>
      <w:r>
        <w:rPr>
          <w:rFonts w:cs="Times New Roman"/>
          <w:szCs w:val="24"/>
          <w:lang w:val="en-US"/>
        </w:rPr>
        <w:t xml:space="preserve">compared to whole blood, both CD4+ and </w:t>
      </w:r>
      <w:r>
        <w:rPr>
          <w:rFonts w:cs="Times New Roman"/>
          <w:szCs w:val="24"/>
          <w:lang w:val="en-US"/>
        </w:rPr>
        <w:lastRenderedPageBreak/>
        <w:t xml:space="preserve">CD8+ T cells are </w:t>
      </w:r>
      <w:r w:rsidR="00975843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975843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>, although there are discrepancies between different BA indicators (Figure 2, Supplementary Table S3</w:t>
      </w:r>
      <w:r w:rsidR="00975843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 xml:space="preserve">S5). The magnitude of </w:t>
      </w:r>
      <w:r w:rsidR="00975843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>difference was larger between CD8+ T cells and whole blood</w:t>
      </w:r>
      <w:r w:rsidR="00975843">
        <w:rPr>
          <w:rFonts w:cs="Times New Roman"/>
          <w:szCs w:val="24"/>
          <w:lang w:val="en-US"/>
        </w:rPr>
        <w:t xml:space="preserve"> than between</w:t>
      </w:r>
      <w:r>
        <w:rPr>
          <w:rFonts w:cs="Times New Roman"/>
          <w:szCs w:val="24"/>
          <w:lang w:val="en-US"/>
        </w:rPr>
        <w:t xml:space="preserve"> CD4+ T cells and whole blood (Figure 1, Figure 2).</w:t>
      </w:r>
    </w:p>
    <w:p w14:paraId="5DD15968" w14:textId="2376AD89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When comparing CD8+ T cells to CD4+ T cells, a clear pattern could be observed, suggesting that CD8+ T cells are </w:t>
      </w:r>
      <w:r w:rsidR="000A7909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0A7909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CD4+ T cells. </w:t>
      </w:r>
      <w:r w:rsidR="000A7909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Horvath, Hannum, DNAmPhenoAge</w:t>
      </w:r>
      <w:r w:rsidR="000A7909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 </w:t>
      </w:r>
      <w:r w:rsidR="000A7909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were lower and </w:t>
      </w:r>
      <w:r w:rsidR="000A7909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DNAmTL</w:t>
      </w:r>
      <w:r w:rsidR="000A7909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were higher </w:t>
      </w:r>
      <w:r w:rsidR="00203790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CD8+ T cells </w:t>
      </w:r>
      <w:r w:rsidR="000A7909">
        <w:rPr>
          <w:rFonts w:cs="Times New Roman"/>
          <w:szCs w:val="24"/>
          <w:lang w:val="en-US"/>
        </w:rPr>
        <w:t xml:space="preserve">than </w:t>
      </w:r>
      <w:r w:rsidR="00203790">
        <w:rPr>
          <w:rFonts w:cs="Times New Roman"/>
          <w:szCs w:val="24"/>
          <w:lang w:val="en-US"/>
        </w:rPr>
        <w:t>for</w:t>
      </w:r>
      <w:r>
        <w:rPr>
          <w:rFonts w:cs="Times New Roman"/>
          <w:szCs w:val="24"/>
          <w:lang w:val="en-US"/>
        </w:rPr>
        <w:t xml:space="preserve"> CD4+ T cells (GSE166844, Figure 2, Supplementary Table S4). In GSE35069 the difference between CD8+ and CD4+ T cells was not statistically significant, but a similar trend could be observed for Hannum and DNAmPhenoAge (Figure 2). In contrast,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</w:t>
      </w:r>
      <w:r w:rsidR="00616E32">
        <w:rPr>
          <w:rFonts w:cs="Times New Roman"/>
          <w:szCs w:val="24"/>
          <w:lang w:val="en-US"/>
        </w:rPr>
        <w:t>levels</w:t>
      </w:r>
      <w:r w:rsidR="000A7909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suggested CD8+ T cells to be </w:t>
      </w:r>
      <w:r w:rsidR="000A7909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0A7909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 </w:t>
      </w:r>
      <w:r w:rsidR="000A7909">
        <w:rPr>
          <w:rFonts w:cs="Times New Roman"/>
          <w:szCs w:val="24"/>
          <w:lang w:val="en-US"/>
        </w:rPr>
        <w:t>than</w:t>
      </w:r>
      <w:r>
        <w:rPr>
          <w:rFonts w:cs="Times New Roman"/>
          <w:szCs w:val="24"/>
          <w:lang w:val="en-US"/>
        </w:rPr>
        <w:t xml:space="preserve"> CD4+ T cells, as the value of this BA indicator was higher for CD8+ T cells (GSE166844, Figure 2, Supplementary Table S4).</w:t>
      </w:r>
    </w:p>
    <w:p w14:paraId="435FD09C" w14:textId="22739D0B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When comparing CD4+ naïve T cells to CD4+ memory T cells, we observed a concordant pattern</w:t>
      </w:r>
      <w:r w:rsidR="000A7909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suggesting that CD4+ naïve T cells are </w:t>
      </w:r>
      <w:r w:rsidR="000A7909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0A7909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CD4+ memory T cells. </w:t>
      </w:r>
      <w:r w:rsidR="000A7909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Horvath, Hannum, DNAmPhenoAge</w:t>
      </w:r>
      <w:r w:rsidR="000A7909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</w:t>
      </w:r>
      <w:r w:rsidR="000A7909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were lower and DNAmTL </w:t>
      </w:r>
      <w:r w:rsidR="000A7909">
        <w:rPr>
          <w:rFonts w:cs="Times New Roman"/>
          <w:szCs w:val="24"/>
          <w:lang w:val="en-US"/>
        </w:rPr>
        <w:t>values</w:t>
      </w:r>
      <w:r>
        <w:rPr>
          <w:rFonts w:cs="Times New Roman"/>
          <w:szCs w:val="24"/>
          <w:lang w:val="en-US"/>
        </w:rPr>
        <w:t xml:space="preserve"> higher </w:t>
      </w:r>
      <w:r w:rsidR="00A61310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CD4+ naïve T cells </w:t>
      </w:r>
      <w:r w:rsidR="000A7909">
        <w:rPr>
          <w:rFonts w:cs="Times New Roman"/>
          <w:szCs w:val="24"/>
          <w:lang w:val="en-US"/>
        </w:rPr>
        <w:t xml:space="preserve">than </w:t>
      </w:r>
      <w:r w:rsidR="00A61310">
        <w:rPr>
          <w:rFonts w:cs="Times New Roman"/>
          <w:szCs w:val="24"/>
          <w:lang w:val="en-US"/>
        </w:rPr>
        <w:t>for</w:t>
      </w:r>
      <w:r>
        <w:rPr>
          <w:rFonts w:cs="Times New Roman"/>
          <w:szCs w:val="24"/>
          <w:lang w:val="en-US"/>
        </w:rPr>
        <w:t xml:space="preserve"> CD4+ memory T cells (GSE131989, Figure 2, Supplementary Table S3). Another CD4+ T cell subset</w:t>
      </w:r>
      <w:r w:rsidR="000A7909">
        <w:rPr>
          <w:rFonts w:cs="Times New Roman"/>
          <w:szCs w:val="24"/>
          <w:lang w:val="en-US"/>
        </w:rPr>
        <w:t xml:space="preserve"> for which</w:t>
      </w:r>
      <w:r>
        <w:rPr>
          <w:rFonts w:cs="Times New Roman"/>
          <w:szCs w:val="24"/>
          <w:lang w:val="en-US"/>
        </w:rPr>
        <w:t xml:space="preserve"> we had data available were CD4+CD28+ and CD4+CD28- cells (GSE78942). As this dataset consisted of only 4 biological samples, no statistical test could be performed. However, CD4+CD28+ cells were identified to be </w:t>
      </w:r>
      <w:r w:rsidR="000A7909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0A7909">
        <w:rPr>
          <w:rFonts w:cs="Times New Roman"/>
          <w:szCs w:val="24"/>
          <w:lang w:val="en-US"/>
        </w:rPr>
        <w:t>” in comparison</w:t>
      </w:r>
      <w:r>
        <w:rPr>
          <w:rFonts w:cs="Times New Roman"/>
          <w:szCs w:val="24"/>
          <w:lang w:val="en-US"/>
        </w:rPr>
        <w:t xml:space="preserve"> to CD4+CD28- according to both BA indicators, Horvath and DNAmPhenoAge, available in th</w:t>
      </w:r>
      <w:r w:rsidR="00A61310">
        <w:rPr>
          <w:rFonts w:cs="Times New Roman"/>
          <w:szCs w:val="24"/>
          <w:lang w:val="en-US"/>
        </w:rPr>
        <w:t>e</w:t>
      </w:r>
      <w:r>
        <w:rPr>
          <w:rFonts w:cs="Times New Roman"/>
          <w:szCs w:val="24"/>
          <w:lang w:val="en-US"/>
        </w:rPr>
        <w:t xml:space="preserve"> dataset (Table 2).</w:t>
      </w:r>
    </w:p>
    <w:p w14:paraId="4DD2C4BE" w14:textId="5832A4E1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When comparing the different T cell populations to whole blood, we observed a clear pattern suggesting that CD8+ T cells are </w:t>
      </w:r>
      <w:r w:rsidR="00A61310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A61310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 compared to whole blood sample</w:t>
      </w:r>
      <w:r w:rsidR="00A61310"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  <w:lang w:val="en-US"/>
        </w:rPr>
        <w:t xml:space="preserve">. </w:t>
      </w:r>
      <w:r w:rsidR="00A61310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>Horvath, Hannum, DNAmPhenoAge</w:t>
      </w:r>
      <w:r w:rsidR="00A61310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 </w:t>
      </w:r>
      <w:r w:rsidR="00A61310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were lower and </w:t>
      </w:r>
      <w:r w:rsidR="00A61310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DNAmTL </w:t>
      </w:r>
      <w:r w:rsidR="00A61310">
        <w:rPr>
          <w:rFonts w:cs="Times New Roman"/>
          <w:szCs w:val="24"/>
          <w:lang w:val="en-US"/>
        </w:rPr>
        <w:t xml:space="preserve">value </w:t>
      </w:r>
      <w:r>
        <w:rPr>
          <w:rFonts w:cs="Times New Roman"/>
          <w:szCs w:val="24"/>
          <w:lang w:val="en-US"/>
        </w:rPr>
        <w:t xml:space="preserve">was higher for CD8+ T cells </w:t>
      </w:r>
      <w:r w:rsidR="00A61310">
        <w:rPr>
          <w:rFonts w:cs="Times New Roman"/>
          <w:szCs w:val="24"/>
          <w:lang w:val="en-US"/>
        </w:rPr>
        <w:t xml:space="preserve">when </w:t>
      </w:r>
      <w:r>
        <w:rPr>
          <w:rFonts w:cs="Times New Roman"/>
          <w:szCs w:val="24"/>
          <w:lang w:val="en-US"/>
        </w:rPr>
        <w:t xml:space="preserve">compared to whole blood (GSE166844, Figure 2, Supplementary Table S4). A similar pattern could be observed for Hannum and DunedinPACE in the small dataset GSE35069 (Figure 2, Supplementary Table S5). However,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</w:t>
      </w:r>
      <w:r w:rsidR="00616E32">
        <w:rPr>
          <w:rFonts w:cs="Times New Roman"/>
          <w:szCs w:val="24"/>
          <w:lang w:val="en-US"/>
        </w:rPr>
        <w:t>levels</w:t>
      </w:r>
      <w:r w:rsidR="00A61310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in GSE166844 suggested an </w:t>
      </w:r>
      <w:r w:rsidR="00A61310">
        <w:rPr>
          <w:rFonts w:cs="Times New Roman"/>
          <w:szCs w:val="24"/>
          <w:lang w:val="en-US"/>
        </w:rPr>
        <w:t>opposite</w:t>
      </w:r>
      <w:r>
        <w:rPr>
          <w:rFonts w:cs="Times New Roman"/>
          <w:szCs w:val="24"/>
          <w:lang w:val="en-US"/>
        </w:rPr>
        <w:t xml:space="preserve"> pattern of CD8+ T cells being </w:t>
      </w:r>
      <w:r w:rsidR="00A61310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A61310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whole blood, as the value of this indicator was higher </w:t>
      </w:r>
      <w:r w:rsidR="00A61310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CD8+ T cells (Figure 2, Supplementary Table S4). </w:t>
      </w:r>
    </w:p>
    <w:p w14:paraId="29D27F39" w14:textId="503E5FAD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lastRenderedPageBreak/>
        <w:t xml:space="preserve">When comparing CD4+ T cells to whole blood, </w:t>
      </w:r>
      <w:r w:rsidR="00D63804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results were similar to those for CD8+ T cells. Based on four of the six BA indicators, CD4+ T cells were suggested to be </w:t>
      </w:r>
      <w:r w:rsidR="00D63804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D63804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whole blood. </w:t>
      </w:r>
      <w:r w:rsidR="00D63804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Horvath, DNAmPhenoAge</w:t>
      </w:r>
      <w:r w:rsidR="00D63804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 </w:t>
      </w:r>
      <w:r w:rsidR="00D63804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were lower and </w:t>
      </w:r>
      <w:r w:rsidR="00D63804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DNAmTL </w:t>
      </w:r>
      <w:r w:rsidR="00D63804">
        <w:rPr>
          <w:rFonts w:cs="Times New Roman"/>
          <w:szCs w:val="24"/>
          <w:lang w:val="en-US"/>
        </w:rPr>
        <w:t xml:space="preserve">value </w:t>
      </w:r>
      <w:r>
        <w:rPr>
          <w:rFonts w:cs="Times New Roman"/>
          <w:szCs w:val="24"/>
          <w:lang w:val="en-US"/>
        </w:rPr>
        <w:t xml:space="preserve">was higher for CD4+ T cells </w:t>
      </w:r>
      <w:r w:rsidR="00D63804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whole blood (GSE166844, Figure 2, Supplementary Table S4). A similar pattern was observed for DunedinPACE in GSE35069 (Figure 2, Supplementary Table S5). </w:t>
      </w:r>
      <w:r w:rsidR="00D63804">
        <w:rPr>
          <w:rFonts w:cs="Times New Roman"/>
          <w:szCs w:val="24"/>
          <w:lang w:val="en-US"/>
        </w:rPr>
        <w:t xml:space="preserve">As regards </w:t>
      </w:r>
      <w:r>
        <w:rPr>
          <w:rFonts w:cs="Times New Roman"/>
          <w:szCs w:val="24"/>
          <w:lang w:val="en-US"/>
        </w:rPr>
        <w:t>CD4+ T cells, two BA indicators suggested the</w:t>
      </w:r>
      <w:r w:rsidR="00D63804">
        <w:rPr>
          <w:rFonts w:cs="Times New Roman"/>
          <w:szCs w:val="24"/>
          <w:lang w:val="en-US"/>
        </w:rPr>
        <w:t>m</w:t>
      </w:r>
      <w:r>
        <w:rPr>
          <w:rFonts w:cs="Times New Roman"/>
          <w:szCs w:val="24"/>
          <w:lang w:val="en-US"/>
        </w:rPr>
        <w:t xml:space="preserve"> to be </w:t>
      </w:r>
      <w:r w:rsidR="00D63804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D63804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 </w:t>
      </w:r>
      <w:r w:rsidR="00D63804">
        <w:rPr>
          <w:rFonts w:cs="Times New Roman"/>
          <w:szCs w:val="24"/>
          <w:lang w:val="en-US"/>
        </w:rPr>
        <w:t>than</w:t>
      </w:r>
      <w:r>
        <w:rPr>
          <w:rFonts w:cs="Times New Roman"/>
          <w:szCs w:val="24"/>
          <w:lang w:val="en-US"/>
        </w:rPr>
        <w:t xml:space="preserve"> whole blood, as </w:t>
      </w:r>
      <w:r w:rsidR="00D63804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Hannum </w:t>
      </w:r>
      <w:r w:rsidR="00D63804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and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</w:t>
      </w:r>
      <w:r w:rsidR="00616E32">
        <w:rPr>
          <w:rFonts w:cs="Times New Roman"/>
          <w:szCs w:val="24"/>
          <w:lang w:val="en-US"/>
        </w:rPr>
        <w:t>levels</w:t>
      </w:r>
      <w:r w:rsidR="00D63804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were higher for CD8+ T cells </w:t>
      </w:r>
      <w:r w:rsidR="00D63804">
        <w:rPr>
          <w:rFonts w:cs="Times New Roman"/>
          <w:szCs w:val="24"/>
          <w:lang w:val="en-US"/>
        </w:rPr>
        <w:t xml:space="preserve">than for </w:t>
      </w:r>
      <w:r>
        <w:rPr>
          <w:rFonts w:cs="Times New Roman"/>
          <w:szCs w:val="24"/>
          <w:lang w:val="en-US"/>
        </w:rPr>
        <w:t xml:space="preserve">whole blood (Figure 2, Supplementary Table S4). For </w:t>
      </w:r>
      <w:proofErr w:type="gramStart"/>
      <w:r>
        <w:rPr>
          <w:rFonts w:cs="Times New Roman"/>
          <w:szCs w:val="24"/>
          <w:lang w:val="en-US"/>
        </w:rPr>
        <w:t>the majority of</w:t>
      </w:r>
      <w:proofErr w:type="gramEnd"/>
      <w:r>
        <w:rPr>
          <w:rFonts w:cs="Times New Roman"/>
          <w:szCs w:val="24"/>
          <w:lang w:val="en-US"/>
        </w:rPr>
        <w:t xml:space="preserve"> these differences, the magnitude of </w:t>
      </w:r>
      <w:r w:rsidR="00D63804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difference was larger between CD8+ T cells and whole blood </w:t>
      </w:r>
      <w:r w:rsidR="00D63804">
        <w:rPr>
          <w:rFonts w:cs="Times New Roman"/>
          <w:szCs w:val="24"/>
          <w:lang w:val="en-US"/>
        </w:rPr>
        <w:t>than between</w:t>
      </w:r>
      <w:r>
        <w:rPr>
          <w:rFonts w:cs="Times New Roman"/>
          <w:szCs w:val="24"/>
          <w:lang w:val="en-US"/>
        </w:rPr>
        <w:t xml:space="preserve"> CD4+ T cells and whole blood (Figure 1, Figure 2).</w:t>
      </w:r>
    </w:p>
    <w:p w14:paraId="0B676B27" w14:textId="77777777" w:rsidR="006470F8" w:rsidRDefault="006470F8" w:rsidP="006470F8">
      <w:pPr>
        <w:spacing w:line="360" w:lineRule="auto"/>
        <w:rPr>
          <w:rFonts w:cs="Times New Roman"/>
          <w:i/>
          <w:iCs/>
          <w:szCs w:val="24"/>
          <w:lang w:val="en-US"/>
        </w:rPr>
      </w:pPr>
    </w:p>
    <w:p w14:paraId="1986688C" w14:textId="77777777" w:rsidR="006470F8" w:rsidRPr="0011005C" w:rsidRDefault="006470F8" w:rsidP="006470F8">
      <w:pPr>
        <w:spacing w:line="360" w:lineRule="auto"/>
        <w:ind w:firstLine="1304"/>
        <w:rPr>
          <w:rFonts w:cs="Times New Roman"/>
          <w:i/>
          <w:iCs/>
          <w:szCs w:val="24"/>
          <w:lang w:val="en-US"/>
        </w:rPr>
      </w:pPr>
      <w:r w:rsidRPr="0011005C">
        <w:rPr>
          <w:rFonts w:cs="Times New Roman"/>
          <w:i/>
          <w:iCs/>
          <w:szCs w:val="24"/>
          <w:lang w:val="en-US"/>
        </w:rPr>
        <w:t>CD14+ monocytes</w:t>
      </w:r>
    </w:p>
    <w:p w14:paraId="5465913C" w14:textId="36E84421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Data on CD14+ monocytes </w:t>
      </w:r>
      <w:r w:rsidR="00D63804">
        <w:rPr>
          <w:rFonts w:cs="Times New Roman"/>
          <w:szCs w:val="24"/>
          <w:lang w:val="en-US"/>
        </w:rPr>
        <w:t xml:space="preserve">were </w:t>
      </w:r>
      <w:r>
        <w:rPr>
          <w:rFonts w:cs="Times New Roman"/>
          <w:szCs w:val="24"/>
          <w:lang w:val="en-US"/>
        </w:rPr>
        <w:t xml:space="preserve">available </w:t>
      </w:r>
      <w:r w:rsidRPr="006570B5">
        <w:rPr>
          <w:rFonts w:cs="Times New Roman"/>
          <w:szCs w:val="24"/>
          <w:lang w:val="en-US"/>
        </w:rPr>
        <w:t>in three datasets.</w:t>
      </w:r>
      <w:r>
        <w:rPr>
          <w:rFonts w:cs="Times New Roman"/>
          <w:szCs w:val="24"/>
          <w:lang w:val="en-US"/>
        </w:rPr>
        <w:t xml:space="preserve"> </w:t>
      </w:r>
      <w:r w:rsidR="00D63804">
        <w:rPr>
          <w:rFonts w:cs="Times New Roman"/>
          <w:szCs w:val="24"/>
          <w:lang w:val="en-US"/>
        </w:rPr>
        <w:t xml:space="preserve">When </w:t>
      </w:r>
      <w:r>
        <w:rPr>
          <w:rFonts w:cs="Times New Roman"/>
          <w:szCs w:val="24"/>
          <w:lang w:val="en-US"/>
        </w:rPr>
        <w:t xml:space="preserve">compared to other cell types, </w:t>
      </w:r>
      <w:r w:rsidR="00D63804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>majority of</w:t>
      </w:r>
      <w:r w:rsidR="00D63804">
        <w:rPr>
          <w:rFonts w:cs="Times New Roman"/>
          <w:szCs w:val="24"/>
          <w:lang w:val="en-US"/>
        </w:rPr>
        <w:t xml:space="preserve"> the</w:t>
      </w:r>
      <w:r>
        <w:rPr>
          <w:rFonts w:cs="Times New Roman"/>
          <w:szCs w:val="24"/>
          <w:lang w:val="en-US"/>
        </w:rPr>
        <w:t xml:space="preserve"> pairwise comparisons between CD14+ monocytes were statistically significant in GSE166844 and GSE131989 (Figure 2, Supplementary Figure S1, Supplementary Table</w:t>
      </w:r>
      <w:r w:rsidR="00D63804"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  <w:lang w:val="en-US"/>
        </w:rPr>
        <w:t xml:space="preserve"> S3 and S4). The prominent differences between CD14+ monocytes and CD19+ B cells have been described in detail in </w:t>
      </w:r>
      <w:r w:rsidR="00D63804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previous </w:t>
      </w:r>
      <w:r w:rsidR="00D63804">
        <w:rPr>
          <w:rFonts w:cs="Times New Roman"/>
          <w:szCs w:val="24"/>
          <w:lang w:val="en-US"/>
        </w:rPr>
        <w:t>section</w:t>
      </w:r>
      <w:r w:rsidRPr="00B3146F">
        <w:rPr>
          <w:rFonts w:cs="Times New Roman"/>
          <w:szCs w:val="24"/>
          <w:lang w:val="en-US"/>
        </w:rPr>
        <w:t xml:space="preserve">. </w:t>
      </w:r>
      <w:r>
        <w:rPr>
          <w:rFonts w:cs="Times New Roman"/>
          <w:szCs w:val="24"/>
          <w:lang w:val="en-US"/>
        </w:rPr>
        <w:t xml:space="preserve">Our results suggest that CD14+ monocytes are </w:t>
      </w:r>
      <w:r w:rsidR="00D63804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D63804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 </w:t>
      </w:r>
      <w:r w:rsidR="00D63804">
        <w:rPr>
          <w:rFonts w:cs="Times New Roman"/>
          <w:szCs w:val="24"/>
          <w:lang w:val="en-US"/>
        </w:rPr>
        <w:t>in comparison</w:t>
      </w:r>
      <w:r>
        <w:rPr>
          <w:rFonts w:cs="Times New Roman"/>
          <w:szCs w:val="24"/>
          <w:lang w:val="en-US"/>
        </w:rPr>
        <w:t xml:space="preserve"> to various T cell subsets </w:t>
      </w:r>
      <w:r w:rsidR="00D63804">
        <w:rPr>
          <w:rFonts w:cs="Times New Roman"/>
          <w:szCs w:val="24"/>
          <w:lang w:val="en-US"/>
        </w:rPr>
        <w:t>as well as</w:t>
      </w:r>
      <w:r>
        <w:rPr>
          <w:rFonts w:cs="Times New Roman"/>
          <w:szCs w:val="24"/>
          <w:lang w:val="en-US"/>
        </w:rPr>
        <w:t xml:space="preserve"> whole blood samples (Figure 2, Supplementary Tables S3</w:t>
      </w:r>
      <w:r w:rsidR="00D63804">
        <w:rPr>
          <w:rFonts w:cs="Times New Roman"/>
          <w:szCs w:val="24"/>
          <w:lang w:val="en-US"/>
        </w:rPr>
        <w:t>–</w:t>
      </w:r>
      <w:r>
        <w:rPr>
          <w:rFonts w:cs="Times New Roman"/>
          <w:szCs w:val="24"/>
          <w:lang w:val="en-US"/>
        </w:rPr>
        <w:t>S5).</w:t>
      </w:r>
    </w:p>
    <w:p w14:paraId="5781847C" w14:textId="1F572D12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When comparing CD14+ monocytes to CD8+ T cells, we observe</w:t>
      </w:r>
      <w:r w:rsidR="004D6DED">
        <w:rPr>
          <w:rFonts w:cs="Times New Roman"/>
          <w:szCs w:val="24"/>
          <w:lang w:val="en-US"/>
        </w:rPr>
        <w:t>d</w:t>
      </w:r>
      <w:r>
        <w:rPr>
          <w:rFonts w:cs="Times New Roman"/>
          <w:szCs w:val="24"/>
          <w:lang w:val="en-US"/>
        </w:rPr>
        <w:t xml:space="preserve"> a clear pattern suggesting that CD14+ monocytes are </w:t>
      </w:r>
      <w:r w:rsidR="004D6DED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4D6DED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CD8+ T cells. </w:t>
      </w:r>
      <w:r w:rsidR="004D6DED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Horvath, Hannum, DNAmPhenoAge</w:t>
      </w:r>
      <w:r w:rsidR="004D6DED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 </w:t>
      </w:r>
      <w:r w:rsidR="004D6DED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were higher and </w:t>
      </w:r>
      <w:r w:rsidR="004D6DED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DNAmTL </w:t>
      </w:r>
      <w:r w:rsidR="004D6DED">
        <w:rPr>
          <w:rFonts w:cs="Times New Roman"/>
          <w:szCs w:val="24"/>
          <w:lang w:val="en-US"/>
        </w:rPr>
        <w:t xml:space="preserve">value </w:t>
      </w:r>
      <w:r>
        <w:rPr>
          <w:rFonts w:cs="Times New Roman"/>
          <w:szCs w:val="24"/>
          <w:lang w:val="en-US"/>
        </w:rPr>
        <w:t xml:space="preserve">was lower for CD14+ monocytes </w:t>
      </w:r>
      <w:r w:rsidR="004D6DED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CD8+ T cells in GSE166844, and the same pattern was observed for Hannum, DNAmPhenoAge</w:t>
      </w:r>
      <w:r w:rsidR="004D6DED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</w:t>
      </w:r>
      <w:r w:rsidR="004D6DED">
        <w:rPr>
          <w:rFonts w:cs="Times New Roman"/>
          <w:szCs w:val="24"/>
          <w:lang w:val="en-US"/>
        </w:rPr>
        <w:t xml:space="preserve"> values</w:t>
      </w:r>
      <w:r>
        <w:rPr>
          <w:rFonts w:cs="Times New Roman"/>
          <w:szCs w:val="24"/>
          <w:lang w:val="en-US"/>
        </w:rPr>
        <w:t xml:space="preserve"> in GSE35069 (Figure 2, Supplementary Tables S4, S5). In contrast, </w:t>
      </w:r>
      <w:r w:rsidR="004D6DED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lower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</w:t>
      </w:r>
      <w:r w:rsidR="00616E32">
        <w:rPr>
          <w:rFonts w:cs="Times New Roman"/>
          <w:szCs w:val="24"/>
          <w:lang w:val="en-US"/>
        </w:rPr>
        <w:t>level</w:t>
      </w:r>
      <w:r w:rsidR="004D6DED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 xml:space="preserve">suggested CD14+ monocytes to be </w:t>
      </w:r>
      <w:r w:rsidR="004D6DED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4D6DED">
        <w:rPr>
          <w:rFonts w:cs="Times New Roman"/>
          <w:szCs w:val="24"/>
          <w:lang w:val="en-US"/>
        </w:rPr>
        <w:t>” in comparison</w:t>
      </w:r>
      <w:r>
        <w:rPr>
          <w:rFonts w:cs="Times New Roman"/>
          <w:szCs w:val="24"/>
          <w:lang w:val="en-US"/>
        </w:rPr>
        <w:t xml:space="preserve"> to CD8+ T cells (GSE166844, Figure 2, Supplementary Table S4).</w:t>
      </w:r>
    </w:p>
    <w:p w14:paraId="1EC47326" w14:textId="324ECB31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When comparing CD14+ monocytes to CD4+ T cells, three of the studied BA indicators suggested CD14+ monocytes to be older. </w:t>
      </w:r>
      <w:r w:rsidR="004D6DED">
        <w:rPr>
          <w:rFonts w:cs="Times New Roman"/>
          <w:szCs w:val="24"/>
          <w:lang w:val="en-US"/>
        </w:rPr>
        <w:t>The values obtained with</w:t>
      </w:r>
      <w:r>
        <w:rPr>
          <w:rFonts w:cs="Times New Roman"/>
          <w:szCs w:val="24"/>
          <w:lang w:val="en-US"/>
        </w:rPr>
        <w:t xml:space="preserve"> DNAmPhenoAge and DunedinPACE were higher and </w:t>
      </w:r>
      <w:r w:rsidR="004D6DED">
        <w:rPr>
          <w:rFonts w:cs="Times New Roman"/>
          <w:szCs w:val="24"/>
          <w:lang w:val="en-US"/>
        </w:rPr>
        <w:t>those obtained with</w:t>
      </w:r>
      <w:r>
        <w:rPr>
          <w:rFonts w:cs="Times New Roman"/>
          <w:szCs w:val="24"/>
          <w:lang w:val="en-US"/>
        </w:rPr>
        <w:t xml:space="preserve"> DNAmTL were lower </w:t>
      </w:r>
      <w:r w:rsidR="004D6DED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CD14+ monocytes </w:t>
      </w:r>
      <w:r w:rsidR="004D6DED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CD4+ T cells in two datasets (GSE166844 and GSE35069, Figure 2, Supplementary Tables S4, S5). Only the lower </w:t>
      </w:r>
      <w:r w:rsidR="004D6DED">
        <w:rPr>
          <w:rFonts w:cs="Times New Roman"/>
          <w:szCs w:val="24"/>
          <w:lang w:val="en-US"/>
        </w:rPr>
        <w:t xml:space="preserve">rate </w:t>
      </w:r>
      <w:r>
        <w:rPr>
          <w:rFonts w:cs="Times New Roman"/>
          <w:szCs w:val="24"/>
          <w:lang w:val="en-US"/>
        </w:rPr>
        <w:t xml:space="preserve">of </w:t>
      </w:r>
      <w:r w:rsidR="00105AE4" w:rsidRPr="00105AE4">
        <w:rPr>
          <w:rFonts w:cs="Times New Roman"/>
          <w:i/>
          <w:szCs w:val="24"/>
          <w:lang w:val="en-US"/>
        </w:rPr>
        <w:t>ELOVL2</w:t>
      </w:r>
      <w:r>
        <w:rPr>
          <w:rFonts w:cs="Times New Roman"/>
          <w:szCs w:val="24"/>
          <w:lang w:val="en-US"/>
        </w:rPr>
        <w:t xml:space="preserve"> methylation suggested CD14+ </w:t>
      </w:r>
      <w:r>
        <w:rPr>
          <w:rFonts w:cs="Times New Roman"/>
          <w:szCs w:val="24"/>
          <w:lang w:val="en-US"/>
        </w:rPr>
        <w:lastRenderedPageBreak/>
        <w:t xml:space="preserve">monocytes to be </w:t>
      </w:r>
      <w:r w:rsidR="004D6DED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younger</w:t>
      </w:r>
      <w:r w:rsidR="004D6DED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CD4+ T cells (GSE166844, Figure 2, Supplementary Table S4).</w:t>
      </w:r>
    </w:p>
    <w:p w14:paraId="71823412" w14:textId="3F0D9055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When comparing CD14+ monocytes to naïve and memory subsets of CD4+ T cells, a </w:t>
      </w:r>
      <w:r w:rsidR="004D6DED">
        <w:rPr>
          <w:rFonts w:cs="Times New Roman"/>
          <w:szCs w:val="24"/>
          <w:lang w:val="en-US"/>
        </w:rPr>
        <w:t xml:space="preserve">pattern </w:t>
      </w:r>
      <w:proofErr w:type="gramStart"/>
      <w:r>
        <w:rPr>
          <w:rFonts w:cs="Times New Roman"/>
          <w:szCs w:val="24"/>
          <w:lang w:val="en-US"/>
        </w:rPr>
        <w:t xml:space="preserve">similar </w:t>
      </w:r>
      <w:r w:rsidR="004D6DED">
        <w:rPr>
          <w:rFonts w:cs="Times New Roman"/>
          <w:szCs w:val="24"/>
          <w:lang w:val="en-US"/>
        </w:rPr>
        <w:t>to</w:t>
      </w:r>
      <w:proofErr w:type="gramEnd"/>
      <w:r w:rsidR="004D6DED">
        <w:rPr>
          <w:rFonts w:cs="Times New Roman"/>
          <w:szCs w:val="24"/>
          <w:lang w:val="en-US"/>
        </w:rPr>
        <w:t xml:space="preserve"> the one detected with</w:t>
      </w:r>
      <w:r>
        <w:rPr>
          <w:rFonts w:cs="Times New Roman"/>
          <w:szCs w:val="24"/>
          <w:lang w:val="en-US"/>
        </w:rPr>
        <w:t xml:space="preserve"> CD4+ T cells can be observed, </w:t>
      </w:r>
      <w:r w:rsidR="004D6DED">
        <w:rPr>
          <w:rFonts w:cs="Times New Roman"/>
          <w:szCs w:val="24"/>
          <w:lang w:val="en-US"/>
        </w:rPr>
        <w:t xml:space="preserve">which </w:t>
      </w:r>
      <w:r>
        <w:rPr>
          <w:rFonts w:cs="Times New Roman"/>
          <w:szCs w:val="24"/>
          <w:lang w:val="en-US"/>
        </w:rPr>
        <w:t xml:space="preserve">is </w:t>
      </w:r>
      <w:r w:rsidR="004D6DED">
        <w:rPr>
          <w:rFonts w:cs="Times New Roman"/>
          <w:szCs w:val="24"/>
          <w:lang w:val="en-US"/>
        </w:rPr>
        <w:t xml:space="preserve">to say </w:t>
      </w:r>
      <w:r>
        <w:rPr>
          <w:rFonts w:cs="Times New Roman"/>
          <w:szCs w:val="24"/>
          <w:lang w:val="en-US"/>
        </w:rPr>
        <w:t>that CD14+</w:t>
      </w:r>
      <w:r w:rsidR="004D6DED">
        <w:rPr>
          <w:rFonts w:cs="Times New Roman"/>
          <w:szCs w:val="24"/>
          <w:lang w:val="en-US"/>
        </w:rPr>
        <w:t xml:space="preserve"> cells</w:t>
      </w:r>
      <w:r>
        <w:rPr>
          <w:rFonts w:cs="Times New Roman"/>
          <w:szCs w:val="24"/>
          <w:lang w:val="en-US"/>
        </w:rPr>
        <w:t xml:space="preserve"> are </w:t>
      </w:r>
      <w:r w:rsidR="004D6DED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4D6DED">
        <w:rPr>
          <w:rFonts w:cs="Times New Roman"/>
          <w:szCs w:val="24"/>
          <w:lang w:val="en-US"/>
        </w:rPr>
        <w:t>”</w:t>
      </w:r>
      <w:r>
        <w:rPr>
          <w:rFonts w:cs="Times New Roman"/>
          <w:szCs w:val="24"/>
          <w:lang w:val="en-US"/>
        </w:rPr>
        <w:t xml:space="preserve">. </w:t>
      </w:r>
      <w:r w:rsidR="004D6DED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Horvath, Hannum, DNAmPhenoAge</w:t>
      </w:r>
      <w:r w:rsidR="004D6DED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 </w:t>
      </w:r>
      <w:r w:rsidR="004D6DED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are higher and </w:t>
      </w:r>
      <w:r w:rsidR="004D6DED">
        <w:rPr>
          <w:rFonts w:cs="Times New Roman"/>
          <w:szCs w:val="24"/>
          <w:lang w:val="en-US"/>
        </w:rPr>
        <w:t>the</w:t>
      </w:r>
      <w:r>
        <w:rPr>
          <w:rFonts w:cs="Times New Roman"/>
          <w:szCs w:val="24"/>
          <w:lang w:val="en-US"/>
        </w:rPr>
        <w:t xml:space="preserve"> DNAmTL </w:t>
      </w:r>
      <w:r w:rsidR="004D6DED">
        <w:rPr>
          <w:rFonts w:cs="Times New Roman"/>
          <w:szCs w:val="24"/>
          <w:lang w:val="en-US"/>
        </w:rPr>
        <w:t xml:space="preserve">value </w:t>
      </w:r>
      <w:r>
        <w:rPr>
          <w:rFonts w:cs="Times New Roman"/>
          <w:szCs w:val="24"/>
          <w:lang w:val="en-US"/>
        </w:rPr>
        <w:t xml:space="preserve">is lower </w:t>
      </w:r>
      <w:r w:rsidR="004D6DED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CD14+ monocytes </w:t>
      </w:r>
      <w:r w:rsidR="004D6DED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CD4+ naïve T cells. DNAmPhenoAge and DunedinPACE </w:t>
      </w:r>
      <w:r w:rsidR="004D6DED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are higher </w:t>
      </w:r>
      <w:r w:rsidR="004D6DED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CD14+ monocytes </w:t>
      </w:r>
      <w:r w:rsidR="004D6DED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CD4+ memory T cells (GSE131989, Figure 2, Supplementary Table S3).</w:t>
      </w:r>
    </w:p>
    <w:p w14:paraId="2B148A61" w14:textId="7620F3C8" w:rsidR="006470F8" w:rsidRDefault="006470F8" w:rsidP="006470F8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When comparing CD14+ monocytes to whole blood, we observed a concordant pattern suggesting</w:t>
      </w:r>
      <w:r w:rsidR="004D6DED">
        <w:rPr>
          <w:rFonts w:cs="Times New Roman"/>
          <w:szCs w:val="24"/>
          <w:lang w:val="en-US"/>
        </w:rPr>
        <w:t xml:space="preserve"> that</w:t>
      </w:r>
      <w:r>
        <w:rPr>
          <w:rFonts w:cs="Times New Roman"/>
          <w:szCs w:val="24"/>
          <w:lang w:val="en-US"/>
        </w:rPr>
        <w:t xml:space="preserve"> CD14+ monocytes are </w:t>
      </w:r>
      <w:r w:rsidR="004D6DED">
        <w:rPr>
          <w:rFonts w:cs="Times New Roman"/>
          <w:szCs w:val="24"/>
          <w:lang w:val="en-US"/>
        </w:rPr>
        <w:t>“</w:t>
      </w:r>
      <w:r>
        <w:rPr>
          <w:rFonts w:cs="Times New Roman"/>
          <w:szCs w:val="24"/>
          <w:lang w:val="en-US"/>
        </w:rPr>
        <w:t>older</w:t>
      </w:r>
      <w:r w:rsidR="004D6DED">
        <w:rPr>
          <w:rFonts w:cs="Times New Roman"/>
          <w:szCs w:val="24"/>
          <w:lang w:val="en-US"/>
        </w:rPr>
        <w:t>” than</w:t>
      </w:r>
      <w:r>
        <w:rPr>
          <w:rFonts w:cs="Times New Roman"/>
          <w:szCs w:val="24"/>
          <w:lang w:val="en-US"/>
        </w:rPr>
        <w:t xml:space="preserve"> whole blood sample</w:t>
      </w:r>
      <w:r w:rsidR="004D6DED">
        <w:rPr>
          <w:rFonts w:cs="Times New Roman"/>
          <w:szCs w:val="24"/>
          <w:lang w:val="en-US"/>
        </w:rPr>
        <w:t>s</w:t>
      </w:r>
      <w:r>
        <w:rPr>
          <w:rFonts w:cs="Times New Roman"/>
          <w:szCs w:val="24"/>
          <w:lang w:val="en-US"/>
        </w:rPr>
        <w:t>. Hannum, DNAmPhenoAge</w:t>
      </w:r>
      <w:r w:rsidR="004D6DED">
        <w:rPr>
          <w:rFonts w:cs="Times New Roman"/>
          <w:szCs w:val="24"/>
          <w:lang w:val="en-US"/>
        </w:rPr>
        <w:t>,</w:t>
      </w:r>
      <w:r>
        <w:rPr>
          <w:rFonts w:cs="Times New Roman"/>
          <w:szCs w:val="24"/>
          <w:lang w:val="en-US"/>
        </w:rPr>
        <w:t xml:space="preserve"> and DunedinPACE </w:t>
      </w:r>
      <w:r w:rsidR="004D6DED">
        <w:rPr>
          <w:rFonts w:cs="Times New Roman"/>
          <w:szCs w:val="24"/>
          <w:lang w:val="en-US"/>
        </w:rPr>
        <w:t xml:space="preserve">values </w:t>
      </w:r>
      <w:r>
        <w:rPr>
          <w:rFonts w:cs="Times New Roman"/>
          <w:szCs w:val="24"/>
          <w:lang w:val="en-US"/>
        </w:rPr>
        <w:t xml:space="preserve">were higher and </w:t>
      </w:r>
      <w:r w:rsidR="004D6DED">
        <w:rPr>
          <w:rFonts w:cs="Times New Roman"/>
          <w:szCs w:val="24"/>
          <w:lang w:val="en-US"/>
        </w:rPr>
        <w:t xml:space="preserve">the </w:t>
      </w:r>
      <w:r>
        <w:rPr>
          <w:rFonts w:cs="Times New Roman"/>
          <w:szCs w:val="24"/>
          <w:lang w:val="en-US"/>
        </w:rPr>
        <w:t xml:space="preserve">DNAmTL </w:t>
      </w:r>
      <w:r w:rsidR="004D6DED">
        <w:rPr>
          <w:rFonts w:cs="Times New Roman"/>
          <w:szCs w:val="24"/>
          <w:lang w:val="en-US"/>
        </w:rPr>
        <w:t xml:space="preserve">value </w:t>
      </w:r>
      <w:r>
        <w:rPr>
          <w:rFonts w:cs="Times New Roman"/>
          <w:szCs w:val="24"/>
          <w:lang w:val="en-US"/>
        </w:rPr>
        <w:t xml:space="preserve">was lower </w:t>
      </w:r>
      <w:r w:rsidR="004D6DED">
        <w:rPr>
          <w:rFonts w:cs="Times New Roman"/>
          <w:szCs w:val="24"/>
          <w:lang w:val="en-US"/>
        </w:rPr>
        <w:t xml:space="preserve">for </w:t>
      </w:r>
      <w:r>
        <w:rPr>
          <w:rFonts w:cs="Times New Roman"/>
          <w:szCs w:val="24"/>
          <w:lang w:val="en-US"/>
        </w:rPr>
        <w:t xml:space="preserve">CD14+ monocytes </w:t>
      </w:r>
      <w:r w:rsidR="004D6DED">
        <w:rPr>
          <w:rFonts w:cs="Times New Roman"/>
          <w:szCs w:val="24"/>
          <w:lang w:val="en-US"/>
        </w:rPr>
        <w:t>than for</w:t>
      </w:r>
      <w:r>
        <w:rPr>
          <w:rFonts w:cs="Times New Roman"/>
          <w:szCs w:val="24"/>
          <w:lang w:val="en-US"/>
        </w:rPr>
        <w:t xml:space="preserve"> whole blood (GSE166844, Figure 2, Supplementary Table S4). For DunedinPACE, this finding was replicated in</w:t>
      </w:r>
      <w:r w:rsidR="004D6DED">
        <w:rPr>
          <w:rFonts w:cs="Times New Roman"/>
          <w:szCs w:val="24"/>
          <w:lang w:val="en-US"/>
        </w:rPr>
        <w:t xml:space="preserve"> the</w:t>
      </w:r>
      <w:r>
        <w:rPr>
          <w:rFonts w:cs="Times New Roman"/>
          <w:szCs w:val="24"/>
          <w:lang w:val="en-US"/>
        </w:rPr>
        <w:t xml:space="preserve"> GSE35069</w:t>
      </w:r>
      <w:r w:rsidR="004D6DED">
        <w:rPr>
          <w:rFonts w:cs="Times New Roman"/>
          <w:szCs w:val="24"/>
          <w:lang w:val="en-US"/>
        </w:rPr>
        <w:t xml:space="preserve"> dataset</w:t>
      </w:r>
      <w:r>
        <w:rPr>
          <w:rFonts w:cs="Times New Roman"/>
          <w:szCs w:val="24"/>
          <w:lang w:val="en-US"/>
        </w:rPr>
        <w:t xml:space="preserve"> (Figure 2, Supplementary Table S5). </w:t>
      </w:r>
    </w:p>
    <w:p w14:paraId="4B3571FA" w14:textId="77777777" w:rsidR="006470F8" w:rsidRPr="00E55D4D" w:rsidRDefault="006470F8" w:rsidP="00C64C6A">
      <w:pPr>
        <w:spacing w:line="240" w:lineRule="auto"/>
        <w:rPr>
          <w:b/>
          <w:bCs/>
          <w:lang w:val="en-US"/>
        </w:rPr>
      </w:pPr>
    </w:p>
    <w:p w14:paraId="059079ED" w14:textId="77777777" w:rsidR="004F4E34" w:rsidRDefault="004F4E34" w:rsidP="004F4E34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lang w:val="en-US"/>
        </w:rPr>
      </w:pPr>
    </w:p>
    <w:p w14:paraId="5D33E509" w14:textId="77777777" w:rsidR="00031C2B" w:rsidRDefault="00031C2B" w:rsidP="00C64C6A">
      <w:pPr>
        <w:spacing w:line="240" w:lineRule="auto"/>
        <w:rPr>
          <w:b/>
          <w:bCs/>
          <w:lang w:val="en-US"/>
        </w:rPr>
      </w:pPr>
    </w:p>
    <w:p w14:paraId="0A62E039" w14:textId="753F5582" w:rsidR="00031C2B" w:rsidRDefault="00031C2B" w:rsidP="00C64C6A">
      <w:pPr>
        <w:spacing w:line="240" w:lineRule="auto"/>
        <w:rPr>
          <w:b/>
          <w:bCs/>
          <w:lang w:val="en-US"/>
        </w:rPr>
        <w:sectPr w:rsidR="00031C2B" w:rsidSect="0097244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D225291" w14:textId="41C0255B" w:rsidR="00751EFF" w:rsidRPr="00733200" w:rsidRDefault="00751EFF" w:rsidP="00EF3D9D">
      <w:pPr>
        <w:spacing w:line="240" w:lineRule="auto"/>
        <w:jc w:val="left"/>
        <w:rPr>
          <w:b/>
          <w:bCs/>
          <w:lang w:val="en-US"/>
        </w:rPr>
      </w:pPr>
      <w:r w:rsidRPr="00733200">
        <w:rPr>
          <w:b/>
          <w:bCs/>
          <w:lang w:val="en-US"/>
        </w:rPr>
        <w:lastRenderedPageBreak/>
        <w:t xml:space="preserve">References </w:t>
      </w:r>
    </w:p>
    <w:p w14:paraId="652132DA" w14:textId="77777777" w:rsidR="00105AE4" w:rsidRPr="00733200" w:rsidRDefault="00105AE4" w:rsidP="00EF3D9D">
      <w:pPr>
        <w:spacing w:line="240" w:lineRule="auto"/>
        <w:jc w:val="left"/>
        <w:rPr>
          <w:b/>
          <w:bCs/>
          <w:lang w:val="en-US"/>
        </w:rPr>
      </w:pPr>
    </w:p>
    <w:p w14:paraId="0017799A" w14:textId="77777777" w:rsidR="00105AE4" w:rsidRPr="00105AE4" w:rsidRDefault="00105AE4" w:rsidP="00105AE4">
      <w:pPr>
        <w:pStyle w:val="Bibliography"/>
        <w:spacing w:line="276" w:lineRule="auto"/>
        <w:rPr>
          <w:rFonts w:cs="Times New Roman"/>
        </w:rPr>
      </w:pPr>
      <w:r>
        <w:rPr>
          <w:lang w:val="en-US"/>
        </w:rPr>
        <w:fldChar w:fldCharType="begin"/>
      </w:r>
      <w:r w:rsidRPr="00733200">
        <w:rPr>
          <w:lang w:val="en-US"/>
        </w:rPr>
        <w:instrText xml:space="preserve"> ADDIN ZOTERO_BIBL {"uncited":[],"omitted":[],"custom":[]} CSL_BIBLIOGRAPHY </w:instrText>
      </w:r>
      <w:r>
        <w:rPr>
          <w:lang w:val="en-US"/>
        </w:rPr>
        <w:fldChar w:fldCharType="separate"/>
      </w:r>
      <w:r w:rsidRPr="00733200">
        <w:rPr>
          <w:rFonts w:cs="Times New Roman"/>
          <w:lang w:val="en-US"/>
        </w:rPr>
        <w:t xml:space="preserve">Garagnani, P., Bacalini, M. G., Pirazzini, C., Gori, D., Giuliani, C., Mari, D., Di Blasio, A. M., Gentilini, D., Vitale, G., Collino, S., Rezzi, S., Castellani, G., Capri, M., Salvioli, S., &amp; Franceschi, C. (2012). </w:t>
      </w:r>
      <w:r w:rsidRPr="00105AE4">
        <w:rPr>
          <w:rFonts w:cs="Times New Roman"/>
        </w:rPr>
        <w:t xml:space="preserve">Methylation of ELOVL2 gene as a new epigenetic marker of age. </w:t>
      </w:r>
      <w:r w:rsidRPr="00105AE4">
        <w:rPr>
          <w:rFonts w:cs="Times New Roman"/>
          <w:i/>
          <w:iCs/>
        </w:rPr>
        <w:t>Aging Cell</w:t>
      </w:r>
      <w:r w:rsidRPr="00105AE4">
        <w:rPr>
          <w:rFonts w:cs="Times New Roman"/>
        </w:rPr>
        <w:t xml:space="preserve">, </w:t>
      </w:r>
      <w:r w:rsidRPr="00105AE4">
        <w:rPr>
          <w:rFonts w:cs="Times New Roman"/>
          <w:i/>
          <w:iCs/>
        </w:rPr>
        <w:t>11</w:t>
      </w:r>
      <w:r w:rsidRPr="00105AE4">
        <w:rPr>
          <w:rFonts w:cs="Times New Roman"/>
        </w:rPr>
        <w:t>(6), 1132–1134. https://doi.org/10.1111/acel.12005</w:t>
      </w:r>
    </w:p>
    <w:p w14:paraId="1FA0CA0F" w14:textId="77777777" w:rsidR="00105AE4" w:rsidRPr="00105AE4" w:rsidRDefault="00105AE4" w:rsidP="00105AE4">
      <w:pPr>
        <w:pStyle w:val="Bibliography"/>
        <w:spacing w:line="276" w:lineRule="auto"/>
        <w:rPr>
          <w:rFonts w:cs="Times New Roman"/>
        </w:rPr>
      </w:pPr>
      <w:r w:rsidRPr="00105AE4">
        <w:rPr>
          <w:rFonts w:cs="Times New Roman"/>
        </w:rPr>
        <w:t xml:space="preserve">Wang, Y., Karlsson, R., Lampa, E., Zhang, Q., Hedman, Å. K., Almgren, M., Almqvist, C., McRae, A. F., Marioni, R. E., Ingelsson, E., Visscher, P. M., Deary, I. J., Lind, L., Morris, T., Beck, S., Pedersen, N. L., &amp; Hägg, S. (2018). Epigenetic influences on aging: A longitudinal genome-wide methylation study in old Swedish twins. </w:t>
      </w:r>
      <w:r w:rsidRPr="00105AE4">
        <w:rPr>
          <w:rFonts w:cs="Times New Roman"/>
          <w:i/>
          <w:iCs/>
        </w:rPr>
        <w:t>Epigenetics</w:t>
      </w:r>
      <w:r w:rsidRPr="00105AE4">
        <w:rPr>
          <w:rFonts w:cs="Times New Roman"/>
        </w:rPr>
        <w:t xml:space="preserve">, </w:t>
      </w:r>
      <w:r w:rsidRPr="00105AE4">
        <w:rPr>
          <w:rFonts w:cs="Times New Roman"/>
          <w:i/>
          <w:iCs/>
        </w:rPr>
        <w:t>13</w:t>
      </w:r>
      <w:r w:rsidRPr="00105AE4">
        <w:rPr>
          <w:rFonts w:cs="Times New Roman"/>
        </w:rPr>
        <w:t>(9), 975–987. https://doi.org/10.1080/15592294.2018.1526028</w:t>
      </w:r>
    </w:p>
    <w:p w14:paraId="776A647A" w14:textId="3ED57727" w:rsidR="00751EFF" w:rsidRPr="00FD02EA" w:rsidRDefault="00105AE4" w:rsidP="00105AE4">
      <w:pPr>
        <w:pStyle w:val="Bibliography"/>
        <w:spacing w:line="276" w:lineRule="auto"/>
        <w:rPr>
          <w:lang w:val="en-US"/>
        </w:rPr>
      </w:pPr>
      <w:r>
        <w:rPr>
          <w:lang w:val="en-US"/>
        </w:rPr>
        <w:fldChar w:fldCharType="end"/>
      </w:r>
    </w:p>
    <w:sectPr w:rsidR="00751EFF" w:rsidRPr="00FD02EA" w:rsidSect="009724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7469"/>
    <w:multiLevelType w:val="hybridMultilevel"/>
    <w:tmpl w:val="7C763E2C"/>
    <w:lvl w:ilvl="0" w:tplc="B28C3A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237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D41"/>
    <w:rsid w:val="00020CEE"/>
    <w:rsid w:val="00022AC0"/>
    <w:rsid w:val="00031C2B"/>
    <w:rsid w:val="00043312"/>
    <w:rsid w:val="000800C4"/>
    <w:rsid w:val="000A7909"/>
    <w:rsid w:val="000D46B4"/>
    <w:rsid w:val="000E28F4"/>
    <w:rsid w:val="00105AE4"/>
    <w:rsid w:val="00112AC1"/>
    <w:rsid w:val="00121A2C"/>
    <w:rsid w:val="001843E9"/>
    <w:rsid w:val="001870FB"/>
    <w:rsid w:val="0019559F"/>
    <w:rsid w:val="001E7D41"/>
    <w:rsid w:val="00203790"/>
    <w:rsid w:val="002075A5"/>
    <w:rsid w:val="00260E16"/>
    <w:rsid w:val="002A3676"/>
    <w:rsid w:val="002E0064"/>
    <w:rsid w:val="00321345"/>
    <w:rsid w:val="00330920"/>
    <w:rsid w:val="00361C42"/>
    <w:rsid w:val="003A006D"/>
    <w:rsid w:val="004047A8"/>
    <w:rsid w:val="00410163"/>
    <w:rsid w:val="00441F3C"/>
    <w:rsid w:val="00471684"/>
    <w:rsid w:val="004C7CE2"/>
    <w:rsid w:val="004D6DED"/>
    <w:rsid w:val="004D7FA1"/>
    <w:rsid w:val="004F4E34"/>
    <w:rsid w:val="00545735"/>
    <w:rsid w:val="0055042A"/>
    <w:rsid w:val="00554B07"/>
    <w:rsid w:val="005B48EA"/>
    <w:rsid w:val="005E2A80"/>
    <w:rsid w:val="0060392D"/>
    <w:rsid w:val="00603F61"/>
    <w:rsid w:val="00616E32"/>
    <w:rsid w:val="006470F8"/>
    <w:rsid w:val="00650E8B"/>
    <w:rsid w:val="00681482"/>
    <w:rsid w:val="00690954"/>
    <w:rsid w:val="006A27D4"/>
    <w:rsid w:val="00733200"/>
    <w:rsid w:val="00751EFF"/>
    <w:rsid w:val="00756ECB"/>
    <w:rsid w:val="007B380C"/>
    <w:rsid w:val="007C27D4"/>
    <w:rsid w:val="00817480"/>
    <w:rsid w:val="008226B6"/>
    <w:rsid w:val="008612DF"/>
    <w:rsid w:val="008D15DD"/>
    <w:rsid w:val="008D5888"/>
    <w:rsid w:val="00905831"/>
    <w:rsid w:val="0093688F"/>
    <w:rsid w:val="00972449"/>
    <w:rsid w:val="00975843"/>
    <w:rsid w:val="009A2089"/>
    <w:rsid w:val="009B15C7"/>
    <w:rsid w:val="009C1F97"/>
    <w:rsid w:val="009E12CD"/>
    <w:rsid w:val="009E40E8"/>
    <w:rsid w:val="00A05B5C"/>
    <w:rsid w:val="00A61310"/>
    <w:rsid w:val="00A71375"/>
    <w:rsid w:val="00A71B39"/>
    <w:rsid w:val="00AF77B8"/>
    <w:rsid w:val="00B168C4"/>
    <w:rsid w:val="00B4464C"/>
    <w:rsid w:val="00BA24B4"/>
    <w:rsid w:val="00BD1D76"/>
    <w:rsid w:val="00C12F51"/>
    <w:rsid w:val="00C206EE"/>
    <w:rsid w:val="00C45CA3"/>
    <w:rsid w:val="00C64C6A"/>
    <w:rsid w:val="00C86300"/>
    <w:rsid w:val="00C94D4F"/>
    <w:rsid w:val="00CA631E"/>
    <w:rsid w:val="00CB192C"/>
    <w:rsid w:val="00CC4B35"/>
    <w:rsid w:val="00CE3158"/>
    <w:rsid w:val="00D63804"/>
    <w:rsid w:val="00D85425"/>
    <w:rsid w:val="00D87CEF"/>
    <w:rsid w:val="00DA14B9"/>
    <w:rsid w:val="00DF6161"/>
    <w:rsid w:val="00E13A03"/>
    <w:rsid w:val="00E55D4D"/>
    <w:rsid w:val="00E73CD5"/>
    <w:rsid w:val="00EA0C18"/>
    <w:rsid w:val="00EA7C0D"/>
    <w:rsid w:val="00EE0C9E"/>
    <w:rsid w:val="00EE27EB"/>
    <w:rsid w:val="00EF3D9D"/>
    <w:rsid w:val="00F32E93"/>
    <w:rsid w:val="00F42C55"/>
    <w:rsid w:val="00F576ED"/>
    <w:rsid w:val="00FB3C67"/>
    <w:rsid w:val="00FC277F"/>
    <w:rsid w:val="00FC4C5A"/>
    <w:rsid w:val="00FD02EA"/>
    <w:rsid w:val="00FE61F9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EAB8"/>
  <w15:chartTrackingRefBased/>
  <w15:docId w15:val="{0A60E25D-EF22-4DAE-B8E2-0D6B2CA1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12"/>
    <w:pPr>
      <w:spacing w:line="480" w:lineRule="auto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1C2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en-US"/>
    </w:rPr>
  </w:style>
  <w:style w:type="paragraph" w:customStyle="1" w:styleId="paragraph">
    <w:name w:val="paragraph"/>
    <w:basedOn w:val="Normal"/>
    <w:rsid w:val="004F4E3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i-FI"/>
    </w:rPr>
  </w:style>
  <w:style w:type="character" w:customStyle="1" w:styleId="eop">
    <w:name w:val="eop"/>
    <w:basedOn w:val="DefaultParagraphFont"/>
    <w:rsid w:val="004F4E34"/>
  </w:style>
  <w:style w:type="character" w:styleId="Hyperlink">
    <w:name w:val="Hyperlink"/>
    <w:basedOn w:val="DefaultParagraphFont"/>
    <w:uiPriority w:val="99"/>
    <w:unhideWhenUsed/>
    <w:rsid w:val="004F4E3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4E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E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E34"/>
    <w:rPr>
      <w:rFonts w:ascii="Times New Roman" w:hAnsi="Times New Roman"/>
      <w:kern w:val="0"/>
      <w:sz w:val="20"/>
      <w:szCs w:val="20"/>
      <w:lang w:val="en-GB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FD02EA"/>
    <w:pPr>
      <w:spacing w:after="0"/>
      <w:ind w:left="720" w:hanging="720"/>
    </w:pPr>
  </w:style>
  <w:style w:type="character" w:styleId="LineNumber">
    <w:name w:val="line number"/>
    <w:basedOn w:val="DefaultParagraphFont"/>
    <w:uiPriority w:val="99"/>
    <w:semiHidden/>
    <w:unhideWhenUsed/>
    <w:rsid w:val="000E28F4"/>
  </w:style>
  <w:style w:type="paragraph" w:styleId="Revision">
    <w:name w:val="Revision"/>
    <w:hidden/>
    <w:uiPriority w:val="99"/>
    <w:semiHidden/>
    <w:rsid w:val="00545735"/>
    <w:pPr>
      <w:spacing w:after="0" w:line="240" w:lineRule="auto"/>
    </w:pPr>
    <w:rPr>
      <w:rFonts w:ascii="Times New Roman" w:hAnsi="Times New Roman"/>
      <w:kern w:val="0"/>
      <w:sz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EE2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7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kananen@tuni.fi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mailto:laura.kananen@ki.se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ara.marttila@tuni.fi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57F42-95B6-4C98-B203-F1444D21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2020</Words>
  <Characters>16363</Characters>
  <Application>Microsoft Office Word</Application>
  <DocSecurity>0</DocSecurity>
  <Lines>136</Lines>
  <Paragraphs>36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Tampere University</Company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Kananen (TAU)</dc:creator>
  <cp:keywords/>
  <dc:description/>
  <cp:lastModifiedBy>Saara Marttila (TAU)</cp:lastModifiedBy>
  <cp:revision>4</cp:revision>
  <dcterms:created xsi:type="dcterms:W3CDTF">2024-05-13T09:49:00Z</dcterms:created>
  <dcterms:modified xsi:type="dcterms:W3CDTF">2024-07-04T08:24:00Z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id="0Ipqq1y2"/&gt;&lt;style id="http://www.zotero.org/styles/apa" locale="en-GB" hasBibliography="1" bibliographyStyleHasBeenSet="1"/&gt;&lt;prefs&gt;&lt;pref name="fieldType" value="Field"/&gt;&lt;/prefs&gt;&lt;/data&gt;</vt:lpwstr>
  </property>
</Properties>
</file>