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aconcuadrcula"/>
        <w:tblW w:w="1056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
        <w:gridCol w:w="568"/>
        <w:gridCol w:w="702"/>
        <w:gridCol w:w="109"/>
        <w:gridCol w:w="2018"/>
        <w:gridCol w:w="109"/>
        <w:gridCol w:w="741"/>
        <w:gridCol w:w="109"/>
        <w:gridCol w:w="1020"/>
        <w:gridCol w:w="109"/>
        <w:gridCol w:w="458"/>
        <w:gridCol w:w="109"/>
        <w:gridCol w:w="1024"/>
        <w:gridCol w:w="1133"/>
        <w:gridCol w:w="861"/>
        <w:gridCol w:w="109"/>
        <w:gridCol w:w="599"/>
        <w:gridCol w:w="568"/>
        <w:gridCol w:w="109"/>
      </w:tblGrid>
      <w:tr w:rsidR="005C7C84" w:rsidRPr="006C6A2A" w14:paraId="3E5E0F55" w14:textId="77777777" w:rsidTr="00270E87">
        <w:trPr>
          <w:jc w:val="center"/>
        </w:trPr>
        <w:tc>
          <w:tcPr>
            <w:tcW w:w="10563" w:type="dxa"/>
            <w:gridSpan w:val="19"/>
            <w:tcBorders>
              <w:left w:val="nil"/>
              <w:bottom w:val="single" w:sz="4" w:space="0" w:color="auto"/>
              <w:right w:val="nil"/>
            </w:tcBorders>
          </w:tcPr>
          <w:p w14:paraId="4CFA2F08" w14:textId="2B7D90A9" w:rsidR="005C7C84" w:rsidRPr="006C6A2A" w:rsidRDefault="005C7C84" w:rsidP="00270E87">
            <w:pPr>
              <w:jc w:val="both"/>
              <w:rPr>
                <w:rFonts w:ascii="Times New Roman" w:hAnsi="Times New Roman" w:cs="Times New Roman"/>
              </w:rPr>
            </w:pPr>
            <w:r w:rsidRPr="006C6A2A">
              <w:rPr>
                <w:rFonts w:ascii="Times New Roman" w:hAnsi="Times New Roman" w:cs="Times New Roman"/>
                <w:b/>
              </w:rPr>
              <w:t xml:space="preserve">Table </w:t>
            </w:r>
            <w:r w:rsidR="00192EB1">
              <w:rPr>
                <w:rFonts w:ascii="Times New Roman" w:hAnsi="Times New Roman" w:cs="Times New Roman"/>
                <w:b/>
              </w:rPr>
              <w:t>3</w:t>
            </w:r>
            <w:r w:rsidRPr="006C6A2A">
              <w:rPr>
                <w:rFonts w:ascii="Times New Roman" w:hAnsi="Times New Roman" w:cs="Times New Roman"/>
                <w:b/>
              </w:rPr>
              <w:t>.</w:t>
            </w:r>
            <w:r w:rsidRPr="006C6A2A">
              <w:rPr>
                <w:rFonts w:ascii="Times New Roman" w:hAnsi="Times New Roman" w:cs="Times New Roman"/>
              </w:rPr>
              <w:t xml:space="preserve"> Brain regions that showed significant functional connectivity differences in the SBA across-group analyses of the left </w:t>
            </w:r>
            <w:r w:rsidR="00F262EE" w:rsidRPr="006C6A2A">
              <w:rPr>
                <w:rFonts w:ascii="Times New Roman" w:hAnsi="Times New Roman" w:cs="Times New Roman"/>
              </w:rPr>
              <w:t>p</w:t>
            </w:r>
            <w:r w:rsidRPr="006C6A2A">
              <w:rPr>
                <w:rFonts w:ascii="Times New Roman" w:hAnsi="Times New Roman" w:cs="Times New Roman"/>
              </w:rPr>
              <w:t xml:space="preserve">PHG. </w:t>
            </w:r>
          </w:p>
          <w:p w14:paraId="34EB3507" w14:textId="77777777" w:rsidR="005C7C84" w:rsidRPr="006C6A2A" w:rsidRDefault="005C7C84" w:rsidP="00270E87">
            <w:pPr>
              <w:jc w:val="both"/>
              <w:rPr>
                <w:rFonts w:ascii="Times New Roman" w:hAnsi="Times New Roman" w:cs="Times New Roman"/>
                <w:b/>
                <w:sz w:val="20"/>
                <w:szCs w:val="20"/>
              </w:rPr>
            </w:pPr>
          </w:p>
        </w:tc>
      </w:tr>
      <w:tr w:rsidR="005C7C84" w:rsidRPr="006C6A2A" w14:paraId="1F973ACB" w14:textId="77777777" w:rsidTr="00270E87">
        <w:trPr>
          <w:jc w:val="center"/>
        </w:trPr>
        <w:tc>
          <w:tcPr>
            <w:tcW w:w="1487" w:type="dxa"/>
            <w:gridSpan w:val="4"/>
            <w:tcBorders>
              <w:top w:val="single" w:sz="4" w:space="0" w:color="auto"/>
              <w:left w:val="nil"/>
              <w:bottom w:val="single" w:sz="4" w:space="0" w:color="auto"/>
              <w:right w:val="nil"/>
            </w:tcBorders>
          </w:tcPr>
          <w:p w14:paraId="397EF5CA" w14:textId="77777777" w:rsidR="005C7C84" w:rsidRPr="006C6A2A" w:rsidRDefault="005C7C84" w:rsidP="00270E87">
            <w:pPr>
              <w:jc w:val="center"/>
              <w:rPr>
                <w:rFonts w:ascii="Times New Roman" w:hAnsi="Times New Roman" w:cs="Times New Roman"/>
                <w:b/>
                <w:sz w:val="20"/>
                <w:szCs w:val="20"/>
              </w:rPr>
            </w:pPr>
          </w:p>
        </w:tc>
        <w:tc>
          <w:tcPr>
            <w:tcW w:w="2127" w:type="dxa"/>
            <w:gridSpan w:val="2"/>
            <w:tcBorders>
              <w:top w:val="single" w:sz="4" w:space="0" w:color="auto"/>
              <w:left w:val="nil"/>
              <w:bottom w:val="single" w:sz="4" w:space="0" w:color="auto"/>
              <w:right w:val="nil"/>
            </w:tcBorders>
            <w:hideMark/>
          </w:tcPr>
          <w:p w14:paraId="56A80BEA" w14:textId="77777777" w:rsidR="005C7C84" w:rsidRPr="006C6A2A" w:rsidRDefault="005C7C84" w:rsidP="00270E87">
            <w:pPr>
              <w:jc w:val="center"/>
              <w:rPr>
                <w:rFonts w:ascii="Times New Roman" w:hAnsi="Times New Roman" w:cs="Times New Roman"/>
                <w:b/>
                <w:sz w:val="20"/>
                <w:szCs w:val="20"/>
              </w:rPr>
            </w:pPr>
            <w:r w:rsidRPr="006C6A2A">
              <w:rPr>
                <w:rFonts w:ascii="Times New Roman" w:hAnsi="Times New Roman" w:cs="Times New Roman"/>
                <w:b/>
                <w:sz w:val="20"/>
                <w:szCs w:val="20"/>
              </w:rPr>
              <w:t>Brain region</w:t>
            </w:r>
          </w:p>
        </w:tc>
        <w:tc>
          <w:tcPr>
            <w:tcW w:w="850" w:type="dxa"/>
            <w:gridSpan w:val="2"/>
            <w:tcBorders>
              <w:top w:val="single" w:sz="4" w:space="0" w:color="auto"/>
              <w:left w:val="nil"/>
              <w:bottom w:val="single" w:sz="4" w:space="0" w:color="auto"/>
              <w:right w:val="nil"/>
            </w:tcBorders>
            <w:hideMark/>
          </w:tcPr>
          <w:p w14:paraId="07DDFF6E" w14:textId="77777777" w:rsidR="005C7C84" w:rsidRPr="006C6A2A" w:rsidRDefault="005C7C84" w:rsidP="00270E87">
            <w:pPr>
              <w:jc w:val="center"/>
              <w:rPr>
                <w:rFonts w:ascii="Times New Roman" w:hAnsi="Times New Roman" w:cs="Times New Roman"/>
                <w:b/>
                <w:sz w:val="20"/>
                <w:szCs w:val="20"/>
              </w:rPr>
            </w:pPr>
            <w:r w:rsidRPr="006C6A2A">
              <w:rPr>
                <w:rFonts w:ascii="Times New Roman" w:hAnsi="Times New Roman" w:cs="Times New Roman"/>
                <w:b/>
                <w:sz w:val="20"/>
                <w:szCs w:val="20"/>
              </w:rPr>
              <w:t>Cluster size</w:t>
            </w:r>
          </w:p>
        </w:tc>
        <w:tc>
          <w:tcPr>
            <w:tcW w:w="1129" w:type="dxa"/>
            <w:gridSpan w:val="2"/>
            <w:tcBorders>
              <w:top w:val="single" w:sz="4" w:space="0" w:color="auto"/>
              <w:left w:val="nil"/>
              <w:bottom w:val="single" w:sz="4" w:space="0" w:color="auto"/>
              <w:right w:val="nil"/>
            </w:tcBorders>
            <w:hideMark/>
          </w:tcPr>
          <w:p w14:paraId="6A9CD641" w14:textId="77777777" w:rsidR="005C7C84" w:rsidRPr="006C6A2A" w:rsidRDefault="005C7C84" w:rsidP="00270E87">
            <w:pPr>
              <w:jc w:val="center"/>
              <w:rPr>
                <w:rFonts w:ascii="Times New Roman" w:hAnsi="Times New Roman" w:cs="Times New Roman"/>
                <w:b/>
                <w:sz w:val="20"/>
                <w:szCs w:val="18"/>
              </w:rPr>
            </w:pPr>
            <w:r w:rsidRPr="006C6A2A">
              <w:rPr>
                <w:rFonts w:ascii="Times New Roman" w:hAnsi="Times New Roman" w:cs="Times New Roman"/>
                <w:b/>
                <w:sz w:val="20"/>
                <w:szCs w:val="18"/>
              </w:rPr>
              <w:t xml:space="preserve"># voxels in specific region </w:t>
            </w:r>
          </w:p>
          <w:p w14:paraId="1DD47DC4" w14:textId="77777777" w:rsidR="005C7C84" w:rsidRPr="006C6A2A" w:rsidRDefault="005C7C84" w:rsidP="00270E87">
            <w:pPr>
              <w:jc w:val="center"/>
              <w:rPr>
                <w:rFonts w:ascii="Times New Roman" w:hAnsi="Times New Roman" w:cs="Times New Roman"/>
                <w:b/>
                <w:sz w:val="20"/>
                <w:szCs w:val="20"/>
              </w:rPr>
            </w:pPr>
            <w:r w:rsidRPr="006C6A2A">
              <w:rPr>
                <w:rFonts w:ascii="Times New Roman" w:hAnsi="Times New Roman" w:cs="Times New Roman"/>
                <w:b/>
                <w:sz w:val="20"/>
                <w:szCs w:val="18"/>
              </w:rPr>
              <w:t>(% overlap)</w:t>
            </w:r>
          </w:p>
        </w:tc>
        <w:tc>
          <w:tcPr>
            <w:tcW w:w="567" w:type="dxa"/>
            <w:gridSpan w:val="2"/>
            <w:tcBorders>
              <w:top w:val="single" w:sz="4" w:space="0" w:color="auto"/>
              <w:left w:val="nil"/>
              <w:bottom w:val="single" w:sz="4" w:space="0" w:color="auto"/>
              <w:right w:val="nil"/>
            </w:tcBorders>
            <w:hideMark/>
          </w:tcPr>
          <w:p w14:paraId="7BE98F3B" w14:textId="77777777" w:rsidR="005C7C84" w:rsidRPr="006C6A2A" w:rsidRDefault="005C7C84" w:rsidP="00270E87">
            <w:pPr>
              <w:jc w:val="center"/>
              <w:rPr>
                <w:rFonts w:ascii="Times New Roman" w:hAnsi="Times New Roman" w:cs="Times New Roman"/>
                <w:b/>
                <w:sz w:val="20"/>
                <w:szCs w:val="20"/>
              </w:rPr>
            </w:pPr>
            <w:r w:rsidRPr="006C6A2A">
              <w:rPr>
                <w:rFonts w:ascii="Times New Roman" w:hAnsi="Times New Roman" w:cs="Times New Roman"/>
                <w:b/>
                <w:sz w:val="20"/>
                <w:szCs w:val="20"/>
              </w:rPr>
              <w:t>L/R</w:t>
            </w:r>
          </w:p>
        </w:tc>
        <w:tc>
          <w:tcPr>
            <w:tcW w:w="3127" w:type="dxa"/>
            <w:gridSpan w:val="4"/>
            <w:tcBorders>
              <w:top w:val="single" w:sz="4" w:space="0" w:color="auto"/>
              <w:left w:val="nil"/>
              <w:bottom w:val="single" w:sz="4" w:space="0" w:color="auto"/>
              <w:right w:val="nil"/>
            </w:tcBorders>
            <w:hideMark/>
          </w:tcPr>
          <w:p w14:paraId="4A28D221" w14:textId="77777777" w:rsidR="005C7C84" w:rsidRPr="006C6A2A" w:rsidRDefault="005C7C84" w:rsidP="00270E87">
            <w:pPr>
              <w:jc w:val="center"/>
              <w:rPr>
                <w:rFonts w:ascii="Times New Roman" w:hAnsi="Times New Roman" w:cs="Times New Roman"/>
                <w:b/>
                <w:sz w:val="20"/>
                <w:szCs w:val="20"/>
                <w:lang w:val="es-ES"/>
              </w:rPr>
            </w:pPr>
            <w:r w:rsidRPr="006C6A2A">
              <w:rPr>
                <w:rFonts w:ascii="Times New Roman" w:hAnsi="Times New Roman" w:cs="Times New Roman"/>
                <w:b/>
                <w:sz w:val="20"/>
                <w:szCs w:val="20"/>
                <w:lang w:val="es-ES"/>
              </w:rPr>
              <w:t xml:space="preserve">MNI </w:t>
            </w:r>
            <w:proofErr w:type="spellStart"/>
            <w:r w:rsidRPr="006C6A2A">
              <w:rPr>
                <w:rFonts w:ascii="Times New Roman" w:hAnsi="Times New Roman" w:cs="Times New Roman"/>
                <w:b/>
                <w:sz w:val="20"/>
                <w:szCs w:val="20"/>
                <w:lang w:val="es-ES"/>
              </w:rPr>
              <w:t>Coordinates</w:t>
            </w:r>
            <w:proofErr w:type="spellEnd"/>
            <w:r w:rsidRPr="006C6A2A">
              <w:rPr>
                <w:rFonts w:ascii="Times New Roman" w:hAnsi="Times New Roman" w:cs="Times New Roman"/>
                <w:b/>
                <w:sz w:val="20"/>
                <w:szCs w:val="20"/>
                <w:lang w:val="es-ES"/>
              </w:rPr>
              <w:t xml:space="preserve"> (</w:t>
            </w:r>
            <w:proofErr w:type="gramStart"/>
            <w:r w:rsidRPr="006C6A2A">
              <w:rPr>
                <w:rFonts w:ascii="Times New Roman" w:hAnsi="Times New Roman" w:cs="Times New Roman"/>
                <w:b/>
                <w:sz w:val="20"/>
                <w:szCs w:val="20"/>
                <w:lang w:val="es-ES"/>
              </w:rPr>
              <w:t>x,y</w:t>
            </w:r>
            <w:proofErr w:type="gramEnd"/>
            <w:r w:rsidRPr="006C6A2A">
              <w:rPr>
                <w:rFonts w:ascii="Times New Roman" w:hAnsi="Times New Roman" w:cs="Times New Roman"/>
                <w:b/>
                <w:sz w:val="20"/>
                <w:szCs w:val="20"/>
                <w:lang w:val="es-ES"/>
              </w:rPr>
              <w:t>,z)</w:t>
            </w:r>
          </w:p>
        </w:tc>
        <w:tc>
          <w:tcPr>
            <w:tcW w:w="1276" w:type="dxa"/>
            <w:gridSpan w:val="3"/>
            <w:tcBorders>
              <w:top w:val="single" w:sz="4" w:space="0" w:color="auto"/>
              <w:left w:val="nil"/>
              <w:bottom w:val="single" w:sz="4" w:space="0" w:color="auto"/>
              <w:right w:val="nil"/>
            </w:tcBorders>
            <w:hideMark/>
          </w:tcPr>
          <w:p w14:paraId="1B121408" w14:textId="77777777" w:rsidR="005C7C84" w:rsidRPr="006C6A2A" w:rsidRDefault="005C7C84" w:rsidP="00270E87">
            <w:pPr>
              <w:jc w:val="center"/>
              <w:rPr>
                <w:rFonts w:ascii="Times New Roman" w:hAnsi="Times New Roman" w:cs="Times New Roman"/>
                <w:b/>
                <w:sz w:val="20"/>
                <w:szCs w:val="20"/>
              </w:rPr>
            </w:pPr>
            <w:r w:rsidRPr="006C6A2A">
              <w:rPr>
                <w:rFonts w:ascii="Times New Roman" w:hAnsi="Times New Roman" w:cs="Times New Roman"/>
                <w:b/>
                <w:sz w:val="20"/>
                <w:szCs w:val="20"/>
              </w:rPr>
              <w:t>Statistic</w:t>
            </w:r>
          </w:p>
        </w:tc>
      </w:tr>
      <w:tr w:rsidR="005C7C84" w:rsidRPr="006C6A2A" w14:paraId="4969B1DB" w14:textId="77777777" w:rsidTr="00270E87">
        <w:trPr>
          <w:jc w:val="center"/>
        </w:trPr>
        <w:tc>
          <w:tcPr>
            <w:tcW w:w="1487" w:type="dxa"/>
            <w:gridSpan w:val="4"/>
            <w:tcBorders>
              <w:top w:val="single" w:sz="4" w:space="0" w:color="auto"/>
              <w:left w:val="nil"/>
              <w:bottom w:val="nil"/>
              <w:right w:val="nil"/>
            </w:tcBorders>
          </w:tcPr>
          <w:p w14:paraId="07B746F4" w14:textId="77777777" w:rsidR="005C7C84" w:rsidRPr="006C6A2A" w:rsidRDefault="005C7C84" w:rsidP="00270E87">
            <w:pPr>
              <w:jc w:val="center"/>
              <w:rPr>
                <w:rFonts w:ascii="Times New Roman" w:hAnsi="Times New Roman" w:cs="Times New Roman"/>
                <w:b/>
                <w:sz w:val="20"/>
                <w:szCs w:val="20"/>
              </w:rPr>
            </w:pPr>
          </w:p>
        </w:tc>
        <w:tc>
          <w:tcPr>
            <w:tcW w:w="2127" w:type="dxa"/>
            <w:gridSpan w:val="2"/>
            <w:tcBorders>
              <w:top w:val="single" w:sz="4" w:space="0" w:color="auto"/>
              <w:left w:val="nil"/>
              <w:bottom w:val="nil"/>
              <w:right w:val="nil"/>
            </w:tcBorders>
          </w:tcPr>
          <w:p w14:paraId="1D29C3E0" w14:textId="77777777" w:rsidR="005C7C84" w:rsidRPr="006C6A2A" w:rsidRDefault="005C7C84" w:rsidP="00270E87">
            <w:pPr>
              <w:jc w:val="center"/>
              <w:rPr>
                <w:rFonts w:ascii="Times New Roman" w:hAnsi="Times New Roman" w:cs="Times New Roman"/>
                <w:b/>
                <w:sz w:val="20"/>
                <w:szCs w:val="20"/>
              </w:rPr>
            </w:pPr>
          </w:p>
        </w:tc>
        <w:tc>
          <w:tcPr>
            <w:tcW w:w="850" w:type="dxa"/>
            <w:gridSpan w:val="2"/>
            <w:tcBorders>
              <w:top w:val="single" w:sz="4" w:space="0" w:color="auto"/>
              <w:left w:val="nil"/>
              <w:bottom w:val="nil"/>
              <w:right w:val="nil"/>
            </w:tcBorders>
          </w:tcPr>
          <w:p w14:paraId="664C3BEB" w14:textId="77777777" w:rsidR="005C7C84" w:rsidRPr="006C6A2A" w:rsidRDefault="005C7C84" w:rsidP="00270E87">
            <w:pPr>
              <w:jc w:val="center"/>
              <w:rPr>
                <w:rFonts w:ascii="Times New Roman" w:hAnsi="Times New Roman" w:cs="Times New Roman"/>
                <w:b/>
                <w:sz w:val="20"/>
                <w:szCs w:val="20"/>
              </w:rPr>
            </w:pPr>
          </w:p>
        </w:tc>
        <w:tc>
          <w:tcPr>
            <w:tcW w:w="1129" w:type="dxa"/>
            <w:gridSpan w:val="2"/>
            <w:tcBorders>
              <w:top w:val="single" w:sz="4" w:space="0" w:color="auto"/>
              <w:left w:val="nil"/>
              <w:bottom w:val="nil"/>
              <w:right w:val="nil"/>
            </w:tcBorders>
          </w:tcPr>
          <w:p w14:paraId="15A39485" w14:textId="77777777" w:rsidR="005C7C84" w:rsidRPr="006C6A2A" w:rsidRDefault="005C7C84" w:rsidP="00270E87">
            <w:pPr>
              <w:jc w:val="center"/>
              <w:rPr>
                <w:rFonts w:ascii="Times New Roman" w:hAnsi="Times New Roman" w:cs="Times New Roman"/>
                <w:b/>
                <w:sz w:val="20"/>
                <w:szCs w:val="20"/>
              </w:rPr>
            </w:pPr>
          </w:p>
        </w:tc>
        <w:tc>
          <w:tcPr>
            <w:tcW w:w="567" w:type="dxa"/>
            <w:gridSpan w:val="2"/>
            <w:tcBorders>
              <w:top w:val="single" w:sz="4" w:space="0" w:color="auto"/>
              <w:left w:val="nil"/>
              <w:bottom w:val="nil"/>
              <w:right w:val="nil"/>
            </w:tcBorders>
          </w:tcPr>
          <w:p w14:paraId="3F85663E" w14:textId="77777777" w:rsidR="005C7C84" w:rsidRPr="006C6A2A" w:rsidRDefault="005C7C84" w:rsidP="00270E87">
            <w:pPr>
              <w:jc w:val="center"/>
              <w:rPr>
                <w:rFonts w:ascii="Times New Roman" w:hAnsi="Times New Roman" w:cs="Times New Roman"/>
                <w:b/>
                <w:sz w:val="20"/>
                <w:szCs w:val="20"/>
              </w:rPr>
            </w:pPr>
          </w:p>
        </w:tc>
        <w:tc>
          <w:tcPr>
            <w:tcW w:w="3127" w:type="dxa"/>
            <w:gridSpan w:val="4"/>
            <w:tcBorders>
              <w:top w:val="single" w:sz="4" w:space="0" w:color="auto"/>
              <w:left w:val="nil"/>
              <w:bottom w:val="nil"/>
              <w:right w:val="nil"/>
            </w:tcBorders>
          </w:tcPr>
          <w:p w14:paraId="7BB02DA3" w14:textId="77777777" w:rsidR="005C7C84" w:rsidRPr="006C6A2A" w:rsidRDefault="005C7C84" w:rsidP="00270E87">
            <w:pPr>
              <w:jc w:val="center"/>
              <w:rPr>
                <w:rFonts w:ascii="Times New Roman" w:hAnsi="Times New Roman" w:cs="Times New Roman"/>
                <w:b/>
                <w:sz w:val="20"/>
                <w:szCs w:val="20"/>
              </w:rPr>
            </w:pPr>
          </w:p>
        </w:tc>
        <w:tc>
          <w:tcPr>
            <w:tcW w:w="1276" w:type="dxa"/>
            <w:gridSpan w:val="3"/>
            <w:tcBorders>
              <w:top w:val="single" w:sz="4" w:space="0" w:color="auto"/>
              <w:left w:val="nil"/>
              <w:bottom w:val="nil"/>
              <w:right w:val="nil"/>
            </w:tcBorders>
            <w:hideMark/>
          </w:tcPr>
          <w:p w14:paraId="30D3D39B" w14:textId="77777777" w:rsidR="005C7C84" w:rsidRPr="006C6A2A" w:rsidRDefault="005C7C84" w:rsidP="00270E87">
            <w:pPr>
              <w:rPr>
                <w:rFonts w:ascii="Times New Roman" w:hAnsi="Times New Roman" w:cs="Times New Roman"/>
                <w:b/>
                <w:iCs/>
                <w:sz w:val="20"/>
                <w:szCs w:val="20"/>
              </w:rPr>
            </w:pPr>
            <w:r w:rsidRPr="006C6A2A">
              <w:rPr>
                <w:rFonts w:ascii="Times New Roman" w:hAnsi="Times New Roman" w:cs="Times New Roman"/>
                <w:b/>
                <w:i/>
                <w:sz w:val="20"/>
                <w:szCs w:val="20"/>
              </w:rPr>
              <w:t xml:space="preserve">        </w:t>
            </w:r>
            <w:r w:rsidRPr="006C6A2A">
              <w:rPr>
                <w:rFonts w:ascii="Times New Roman" w:hAnsi="Times New Roman" w:cs="Times New Roman"/>
                <w:b/>
                <w:iCs/>
                <w:sz w:val="20"/>
                <w:szCs w:val="20"/>
              </w:rPr>
              <w:t>F</w:t>
            </w:r>
          </w:p>
        </w:tc>
      </w:tr>
      <w:tr w:rsidR="005C7C84" w:rsidRPr="006C6A2A" w14:paraId="677B6FBD" w14:textId="77777777" w:rsidTr="00270E87">
        <w:trPr>
          <w:gridBefore w:val="1"/>
          <w:gridAfter w:val="1"/>
          <w:wBefore w:w="108" w:type="dxa"/>
          <w:wAfter w:w="109" w:type="dxa"/>
          <w:jc w:val="center"/>
        </w:trPr>
        <w:tc>
          <w:tcPr>
            <w:tcW w:w="1270" w:type="dxa"/>
            <w:gridSpan w:val="2"/>
            <w:tcBorders>
              <w:top w:val="nil"/>
              <w:left w:val="nil"/>
              <w:right w:val="nil"/>
            </w:tcBorders>
            <w:hideMark/>
          </w:tcPr>
          <w:p w14:paraId="76D90283" w14:textId="77777777" w:rsidR="005C7C84" w:rsidRPr="006C6A2A" w:rsidRDefault="005C7C84" w:rsidP="00270E87">
            <w:pPr>
              <w:tabs>
                <w:tab w:val="left" w:pos="527"/>
              </w:tabs>
              <w:rPr>
                <w:rFonts w:ascii="Times New Roman" w:hAnsi="Times New Roman" w:cs="Times New Roman"/>
                <w:b/>
                <w:bCs/>
                <w:sz w:val="20"/>
                <w:szCs w:val="20"/>
              </w:rPr>
            </w:pPr>
            <w:r w:rsidRPr="006C6A2A">
              <w:rPr>
                <w:rFonts w:ascii="Times New Roman" w:hAnsi="Times New Roman" w:cs="Times New Roman"/>
                <w:b/>
                <w:bCs/>
                <w:sz w:val="20"/>
                <w:szCs w:val="20"/>
              </w:rPr>
              <w:t>Left pPHG</w:t>
            </w:r>
          </w:p>
        </w:tc>
        <w:tc>
          <w:tcPr>
            <w:tcW w:w="2127" w:type="dxa"/>
            <w:gridSpan w:val="2"/>
            <w:tcBorders>
              <w:top w:val="nil"/>
              <w:left w:val="nil"/>
              <w:right w:val="nil"/>
            </w:tcBorders>
            <w:hideMark/>
          </w:tcPr>
          <w:p w14:paraId="7E424144" w14:textId="77777777" w:rsidR="005C7C84" w:rsidRPr="006C6A2A" w:rsidRDefault="005C7C84" w:rsidP="00270E87">
            <w:pPr>
              <w:tabs>
                <w:tab w:val="left" w:pos="527"/>
              </w:tabs>
              <w:jc w:val="center"/>
              <w:rPr>
                <w:rFonts w:ascii="Times New Roman" w:hAnsi="Times New Roman" w:cs="Times New Roman"/>
                <w:sz w:val="18"/>
                <w:szCs w:val="18"/>
              </w:rPr>
            </w:pPr>
            <w:r w:rsidRPr="006C6A2A">
              <w:rPr>
                <w:rFonts w:ascii="Times New Roman" w:hAnsi="Times New Roman" w:cs="Times New Roman"/>
                <w:b/>
                <w:sz w:val="18"/>
                <w:szCs w:val="18"/>
              </w:rPr>
              <w:t>Group effect</w:t>
            </w:r>
          </w:p>
        </w:tc>
        <w:tc>
          <w:tcPr>
            <w:tcW w:w="850" w:type="dxa"/>
            <w:gridSpan w:val="2"/>
            <w:tcBorders>
              <w:top w:val="nil"/>
              <w:left w:val="nil"/>
              <w:right w:val="nil"/>
            </w:tcBorders>
            <w:hideMark/>
          </w:tcPr>
          <w:p w14:paraId="4ECEBA46" w14:textId="77777777" w:rsidR="005C7C84" w:rsidRPr="006C6A2A" w:rsidRDefault="005C7C84" w:rsidP="00270E87">
            <w:pPr>
              <w:jc w:val="center"/>
              <w:rPr>
                <w:rFonts w:ascii="Times New Roman" w:hAnsi="Times New Roman" w:cs="Times New Roman"/>
                <w:sz w:val="18"/>
                <w:szCs w:val="18"/>
              </w:rPr>
            </w:pPr>
          </w:p>
        </w:tc>
        <w:tc>
          <w:tcPr>
            <w:tcW w:w="1129" w:type="dxa"/>
            <w:gridSpan w:val="2"/>
            <w:tcBorders>
              <w:top w:val="nil"/>
              <w:left w:val="nil"/>
              <w:right w:val="nil"/>
            </w:tcBorders>
          </w:tcPr>
          <w:p w14:paraId="6BCCF0E9" w14:textId="77777777" w:rsidR="005C7C84" w:rsidRPr="006C6A2A" w:rsidRDefault="005C7C84" w:rsidP="00270E87">
            <w:pPr>
              <w:jc w:val="center"/>
              <w:rPr>
                <w:rFonts w:ascii="Times New Roman" w:hAnsi="Times New Roman" w:cs="Times New Roman"/>
                <w:sz w:val="18"/>
                <w:szCs w:val="18"/>
              </w:rPr>
            </w:pPr>
          </w:p>
        </w:tc>
        <w:tc>
          <w:tcPr>
            <w:tcW w:w="567" w:type="dxa"/>
            <w:gridSpan w:val="2"/>
            <w:tcBorders>
              <w:top w:val="nil"/>
              <w:left w:val="nil"/>
              <w:right w:val="nil"/>
            </w:tcBorders>
          </w:tcPr>
          <w:p w14:paraId="3043008C" w14:textId="77777777" w:rsidR="005C7C84" w:rsidRPr="006C6A2A" w:rsidRDefault="005C7C84" w:rsidP="00270E87">
            <w:pPr>
              <w:jc w:val="center"/>
              <w:rPr>
                <w:rFonts w:ascii="Times New Roman" w:hAnsi="Times New Roman" w:cs="Times New Roman"/>
                <w:sz w:val="18"/>
                <w:szCs w:val="18"/>
              </w:rPr>
            </w:pPr>
          </w:p>
        </w:tc>
        <w:tc>
          <w:tcPr>
            <w:tcW w:w="1133" w:type="dxa"/>
            <w:gridSpan w:val="2"/>
            <w:tcBorders>
              <w:top w:val="nil"/>
              <w:left w:val="nil"/>
              <w:right w:val="nil"/>
            </w:tcBorders>
          </w:tcPr>
          <w:p w14:paraId="1578D5E6" w14:textId="77777777" w:rsidR="005C7C84" w:rsidRPr="006C6A2A" w:rsidRDefault="005C7C84" w:rsidP="00270E87">
            <w:pPr>
              <w:jc w:val="center"/>
              <w:rPr>
                <w:rFonts w:ascii="Times New Roman" w:hAnsi="Times New Roman" w:cs="Times New Roman"/>
                <w:sz w:val="18"/>
                <w:szCs w:val="18"/>
              </w:rPr>
            </w:pPr>
          </w:p>
        </w:tc>
        <w:tc>
          <w:tcPr>
            <w:tcW w:w="1133" w:type="dxa"/>
            <w:tcBorders>
              <w:top w:val="nil"/>
              <w:left w:val="nil"/>
              <w:right w:val="nil"/>
            </w:tcBorders>
          </w:tcPr>
          <w:p w14:paraId="57B2A6A1" w14:textId="77777777" w:rsidR="005C7C84" w:rsidRPr="006C6A2A" w:rsidRDefault="005C7C84" w:rsidP="00270E87">
            <w:pPr>
              <w:jc w:val="center"/>
              <w:rPr>
                <w:rFonts w:ascii="Times New Roman" w:hAnsi="Times New Roman" w:cs="Times New Roman"/>
                <w:sz w:val="18"/>
                <w:szCs w:val="18"/>
              </w:rPr>
            </w:pPr>
          </w:p>
        </w:tc>
        <w:tc>
          <w:tcPr>
            <w:tcW w:w="861" w:type="dxa"/>
            <w:tcBorders>
              <w:top w:val="nil"/>
              <w:left w:val="nil"/>
              <w:right w:val="nil"/>
            </w:tcBorders>
          </w:tcPr>
          <w:p w14:paraId="7BAF52AA" w14:textId="77777777" w:rsidR="005C7C84" w:rsidRPr="006C6A2A" w:rsidRDefault="005C7C84" w:rsidP="00270E87">
            <w:pPr>
              <w:jc w:val="center"/>
              <w:rPr>
                <w:rFonts w:ascii="Times New Roman" w:hAnsi="Times New Roman" w:cs="Times New Roman"/>
                <w:sz w:val="18"/>
                <w:szCs w:val="18"/>
              </w:rPr>
            </w:pPr>
          </w:p>
        </w:tc>
        <w:tc>
          <w:tcPr>
            <w:tcW w:w="1276" w:type="dxa"/>
            <w:gridSpan w:val="3"/>
            <w:tcBorders>
              <w:top w:val="nil"/>
              <w:left w:val="nil"/>
            </w:tcBorders>
            <w:hideMark/>
          </w:tcPr>
          <w:p w14:paraId="10033E58" w14:textId="77777777" w:rsidR="005C7C84" w:rsidRPr="006C6A2A" w:rsidRDefault="005C7C84" w:rsidP="00270E87">
            <w:pPr>
              <w:jc w:val="center"/>
              <w:rPr>
                <w:rFonts w:ascii="Times New Roman" w:hAnsi="Times New Roman" w:cs="Times New Roman"/>
                <w:sz w:val="18"/>
                <w:szCs w:val="18"/>
              </w:rPr>
            </w:pPr>
          </w:p>
        </w:tc>
      </w:tr>
      <w:tr w:rsidR="005C7C84" w:rsidRPr="006C6A2A" w14:paraId="69E1F51C" w14:textId="77777777" w:rsidTr="00270E87">
        <w:trPr>
          <w:gridBefore w:val="1"/>
          <w:gridAfter w:val="1"/>
          <w:wBefore w:w="108" w:type="dxa"/>
          <w:wAfter w:w="109" w:type="dxa"/>
          <w:jc w:val="center"/>
        </w:trPr>
        <w:tc>
          <w:tcPr>
            <w:tcW w:w="1270" w:type="dxa"/>
            <w:gridSpan w:val="2"/>
            <w:tcBorders>
              <w:left w:val="nil"/>
              <w:bottom w:val="nil"/>
              <w:right w:val="nil"/>
            </w:tcBorders>
          </w:tcPr>
          <w:p w14:paraId="057A813A"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tcBorders>
              <w:left w:val="nil"/>
              <w:bottom w:val="nil"/>
              <w:right w:val="nil"/>
            </w:tcBorders>
            <w:hideMark/>
          </w:tcPr>
          <w:p w14:paraId="47BC4032" w14:textId="77777777" w:rsidR="005C7C84" w:rsidRPr="006C6A2A" w:rsidRDefault="005C7C84" w:rsidP="00270E87">
            <w:pPr>
              <w:tabs>
                <w:tab w:val="left" w:pos="527"/>
              </w:tabs>
              <w:jc w:val="center"/>
              <w:rPr>
                <w:rFonts w:ascii="Times New Roman" w:hAnsi="Times New Roman" w:cs="Times New Roman"/>
                <w:b/>
                <w:sz w:val="18"/>
                <w:szCs w:val="18"/>
                <w:lang w:val="es-ES"/>
              </w:rPr>
            </w:pPr>
            <w:r w:rsidRPr="006C6A2A">
              <w:rPr>
                <w:rFonts w:ascii="Times New Roman" w:hAnsi="Times New Roman" w:cs="Times New Roman"/>
                <w:sz w:val="18"/>
                <w:szCs w:val="18"/>
              </w:rPr>
              <w:t>Superior frontal gyrus (medial part)</w:t>
            </w:r>
          </w:p>
        </w:tc>
        <w:tc>
          <w:tcPr>
            <w:tcW w:w="850" w:type="dxa"/>
            <w:gridSpan w:val="2"/>
            <w:tcBorders>
              <w:left w:val="nil"/>
              <w:bottom w:val="nil"/>
              <w:right w:val="nil"/>
            </w:tcBorders>
          </w:tcPr>
          <w:p w14:paraId="1BF7ABDD"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1066</w:t>
            </w:r>
          </w:p>
        </w:tc>
        <w:tc>
          <w:tcPr>
            <w:tcW w:w="1129" w:type="dxa"/>
            <w:gridSpan w:val="2"/>
            <w:tcBorders>
              <w:left w:val="nil"/>
              <w:bottom w:val="nil"/>
              <w:right w:val="nil"/>
            </w:tcBorders>
            <w:hideMark/>
          </w:tcPr>
          <w:p w14:paraId="0788EDC4"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216 (10)</w:t>
            </w:r>
          </w:p>
        </w:tc>
        <w:tc>
          <w:tcPr>
            <w:tcW w:w="567" w:type="dxa"/>
            <w:gridSpan w:val="2"/>
            <w:tcBorders>
              <w:left w:val="nil"/>
              <w:bottom w:val="nil"/>
              <w:right w:val="nil"/>
            </w:tcBorders>
            <w:hideMark/>
          </w:tcPr>
          <w:p w14:paraId="2B163FB0"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R</w:t>
            </w:r>
          </w:p>
        </w:tc>
        <w:tc>
          <w:tcPr>
            <w:tcW w:w="1133" w:type="dxa"/>
            <w:gridSpan w:val="2"/>
            <w:tcBorders>
              <w:left w:val="nil"/>
              <w:bottom w:val="nil"/>
              <w:right w:val="nil"/>
            </w:tcBorders>
          </w:tcPr>
          <w:p w14:paraId="0F96015B"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8</w:t>
            </w:r>
          </w:p>
        </w:tc>
        <w:tc>
          <w:tcPr>
            <w:tcW w:w="1133" w:type="dxa"/>
            <w:tcBorders>
              <w:left w:val="nil"/>
              <w:bottom w:val="nil"/>
              <w:right w:val="nil"/>
            </w:tcBorders>
          </w:tcPr>
          <w:p w14:paraId="08BEBF4D"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50</w:t>
            </w:r>
          </w:p>
        </w:tc>
        <w:tc>
          <w:tcPr>
            <w:tcW w:w="861" w:type="dxa"/>
            <w:tcBorders>
              <w:left w:val="nil"/>
              <w:bottom w:val="nil"/>
              <w:right w:val="nil"/>
            </w:tcBorders>
          </w:tcPr>
          <w:p w14:paraId="18BDAC24"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8</w:t>
            </w:r>
          </w:p>
        </w:tc>
        <w:tc>
          <w:tcPr>
            <w:tcW w:w="1276" w:type="dxa"/>
            <w:gridSpan w:val="3"/>
            <w:tcBorders>
              <w:left w:val="nil"/>
              <w:bottom w:val="nil"/>
              <w:right w:val="nil"/>
            </w:tcBorders>
          </w:tcPr>
          <w:p w14:paraId="3F819946"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15.30</w:t>
            </w:r>
          </w:p>
        </w:tc>
      </w:tr>
      <w:tr w:rsidR="005C7C84" w:rsidRPr="006C6A2A" w14:paraId="0701C3C4" w14:textId="77777777" w:rsidTr="00270E87">
        <w:trPr>
          <w:gridBefore w:val="1"/>
          <w:gridAfter w:val="1"/>
          <w:wBefore w:w="108" w:type="dxa"/>
          <w:wAfter w:w="109" w:type="dxa"/>
          <w:jc w:val="center"/>
        </w:trPr>
        <w:tc>
          <w:tcPr>
            <w:tcW w:w="1270" w:type="dxa"/>
            <w:gridSpan w:val="2"/>
          </w:tcPr>
          <w:p w14:paraId="1C85157B" w14:textId="77777777" w:rsidR="005C7C84" w:rsidRPr="006C6A2A" w:rsidRDefault="005C7C84" w:rsidP="00270E87">
            <w:pPr>
              <w:tabs>
                <w:tab w:val="left" w:pos="527"/>
              </w:tabs>
              <w:rPr>
                <w:rFonts w:ascii="Times New Roman" w:hAnsi="Times New Roman" w:cs="Times New Roman"/>
                <w:b/>
                <w:bCs/>
                <w:sz w:val="20"/>
                <w:szCs w:val="20"/>
                <w:lang w:val="es-ES"/>
              </w:rPr>
            </w:pPr>
          </w:p>
        </w:tc>
        <w:tc>
          <w:tcPr>
            <w:tcW w:w="2127" w:type="dxa"/>
            <w:gridSpan w:val="2"/>
            <w:hideMark/>
          </w:tcPr>
          <w:p w14:paraId="3895CF26" w14:textId="77777777" w:rsidR="005C7C84" w:rsidRPr="006C6A2A" w:rsidRDefault="005C7C84" w:rsidP="00270E87">
            <w:pPr>
              <w:tabs>
                <w:tab w:val="left" w:pos="527"/>
              </w:tabs>
              <w:jc w:val="center"/>
              <w:rPr>
                <w:rFonts w:ascii="Times New Roman" w:hAnsi="Times New Roman" w:cs="Times New Roman"/>
                <w:b/>
                <w:sz w:val="18"/>
                <w:szCs w:val="18"/>
                <w:lang w:val="es-ES"/>
              </w:rPr>
            </w:pPr>
            <w:r w:rsidRPr="006C6A2A">
              <w:rPr>
                <w:rFonts w:ascii="Times New Roman" w:hAnsi="Times New Roman" w:cs="Times New Roman"/>
                <w:sz w:val="18"/>
                <w:szCs w:val="18"/>
              </w:rPr>
              <w:t>Superior frontal gyrus (medial orbital part)</w:t>
            </w:r>
          </w:p>
        </w:tc>
        <w:tc>
          <w:tcPr>
            <w:tcW w:w="850" w:type="dxa"/>
            <w:gridSpan w:val="2"/>
          </w:tcPr>
          <w:p w14:paraId="6638B8DF" w14:textId="77777777" w:rsidR="005C7C84" w:rsidRPr="006C6A2A" w:rsidRDefault="005C7C84" w:rsidP="00270E87">
            <w:pPr>
              <w:jc w:val="center"/>
              <w:rPr>
                <w:rFonts w:ascii="Times New Roman" w:hAnsi="Times New Roman" w:cs="Times New Roman"/>
                <w:sz w:val="18"/>
                <w:szCs w:val="18"/>
                <w:lang w:val="es-ES"/>
              </w:rPr>
            </w:pPr>
          </w:p>
        </w:tc>
        <w:tc>
          <w:tcPr>
            <w:tcW w:w="1129" w:type="dxa"/>
            <w:gridSpan w:val="2"/>
            <w:hideMark/>
          </w:tcPr>
          <w:p w14:paraId="29193B93"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152 (18)</w:t>
            </w:r>
          </w:p>
        </w:tc>
        <w:tc>
          <w:tcPr>
            <w:tcW w:w="567" w:type="dxa"/>
            <w:gridSpan w:val="2"/>
            <w:hideMark/>
          </w:tcPr>
          <w:p w14:paraId="480F33D8"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R</w:t>
            </w:r>
          </w:p>
        </w:tc>
        <w:tc>
          <w:tcPr>
            <w:tcW w:w="1133" w:type="dxa"/>
            <w:gridSpan w:val="2"/>
          </w:tcPr>
          <w:p w14:paraId="0A44BD37" w14:textId="77777777" w:rsidR="005C7C84" w:rsidRPr="006C6A2A" w:rsidRDefault="005C7C84" w:rsidP="00270E87">
            <w:pPr>
              <w:jc w:val="center"/>
              <w:rPr>
                <w:rFonts w:ascii="Times New Roman" w:hAnsi="Times New Roman" w:cs="Times New Roman"/>
                <w:sz w:val="18"/>
                <w:szCs w:val="18"/>
                <w:lang w:val="es-ES"/>
              </w:rPr>
            </w:pPr>
          </w:p>
        </w:tc>
        <w:tc>
          <w:tcPr>
            <w:tcW w:w="1133" w:type="dxa"/>
          </w:tcPr>
          <w:p w14:paraId="0A1B8EFF" w14:textId="77777777" w:rsidR="005C7C84" w:rsidRPr="006C6A2A" w:rsidRDefault="005C7C84" w:rsidP="00270E87">
            <w:pPr>
              <w:jc w:val="center"/>
              <w:rPr>
                <w:rFonts w:ascii="Times New Roman" w:hAnsi="Times New Roman" w:cs="Times New Roman"/>
                <w:sz w:val="18"/>
                <w:szCs w:val="18"/>
                <w:lang w:val="es-ES"/>
              </w:rPr>
            </w:pPr>
          </w:p>
        </w:tc>
        <w:tc>
          <w:tcPr>
            <w:tcW w:w="861" w:type="dxa"/>
          </w:tcPr>
          <w:p w14:paraId="5E497FF6" w14:textId="77777777" w:rsidR="005C7C84" w:rsidRPr="006C6A2A" w:rsidRDefault="005C7C84" w:rsidP="00270E87">
            <w:pPr>
              <w:jc w:val="center"/>
              <w:rPr>
                <w:rFonts w:ascii="Times New Roman" w:hAnsi="Times New Roman" w:cs="Times New Roman"/>
                <w:sz w:val="18"/>
                <w:szCs w:val="18"/>
                <w:lang w:val="es-ES"/>
              </w:rPr>
            </w:pPr>
          </w:p>
        </w:tc>
        <w:tc>
          <w:tcPr>
            <w:tcW w:w="708" w:type="dxa"/>
            <w:gridSpan w:val="2"/>
          </w:tcPr>
          <w:p w14:paraId="44BEEA77" w14:textId="77777777" w:rsidR="005C7C84" w:rsidRPr="006C6A2A" w:rsidRDefault="005C7C84" w:rsidP="00270E87">
            <w:pPr>
              <w:jc w:val="center"/>
              <w:rPr>
                <w:rFonts w:ascii="Times New Roman" w:hAnsi="Times New Roman" w:cs="Times New Roman"/>
                <w:sz w:val="18"/>
                <w:szCs w:val="18"/>
                <w:lang w:val="es-ES"/>
              </w:rPr>
            </w:pPr>
          </w:p>
        </w:tc>
        <w:tc>
          <w:tcPr>
            <w:tcW w:w="568" w:type="dxa"/>
          </w:tcPr>
          <w:p w14:paraId="6B35B8DC" w14:textId="77777777" w:rsidR="005C7C84" w:rsidRPr="006C6A2A" w:rsidRDefault="005C7C84" w:rsidP="00270E87">
            <w:pPr>
              <w:jc w:val="center"/>
              <w:rPr>
                <w:rFonts w:ascii="Times New Roman" w:hAnsi="Times New Roman" w:cs="Times New Roman"/>
                <w:sz w:val="18"/>
                <w:szCs w:val="18"/>
                <w:lang w:val="es-ES"/>
              </w:rPr>
            </w:pPr>
          </w:p>
        </w:tc>
      </w:tr>
      <w:tr w:rsidR="005C7C84" w:rsidRPr="006C6A2A" w14:paraId="632D89AC" w14:textId="77777777" w:rsidTr="00270E87">
        <w:trPr>
          <w:gridBefore w:val="1"/>
          <w:gridAfter w:val="1"/>
          <w:wBefore w:w="108" w:type="dxa"/>
          <w:wAfter w:w="109" w:type="dxa"/>
          <w:jc w:val="center"/>
        </w:trPr>
        <w:tc>
          <w:tcPr>
            <w:tcW w:w="1270" w:type="dxa"/>
            <w:gridSpan w:val="2"/>
          </w:tcPr>
          <w:p w14:paraId="69BFE2C9" w14:textId="77777777" w:rsidR="005C7C84" w:rsidRPr="006C6A2A" w:rsidRDefault="005C7C84" w:rsidP="00270E87">
            <w:pPr>
              <w:tabs>
                <w:tab w:val="left" w:pos="527"/>
              </w:tabs>
              <w:rPr>
                <w:rFonts w:ascii="Times New Roman" w:hAnsi="Times New Roman" w:cs="Times New Roman"/>
                <w:b/>
                <w:bCs/>
                <w:sz w:val="20"/>
                <w:szCs w:val="20"/>
                <w:lang w:val="es-ES"/>
              </w:rPr>
            </w:pPr>
          </w:p>
        </w:tc>
        <w:tc>
          <w:tcPr>
            <w:tcW w:w="2127" w:type="dxa"/>
            <w:gridSpan w:val="2"/>
            <w:hideMark/>
          </w:tcPr>
          <w:p w14:paraId="016C15C9" w14:textId="77777777" w:rsidR="005C7C84" w:rsidRPr="006C6A2A" w:rsidRDefault="005C7C84" w:rsidP="00270E87">
            <w:pPr>
              <w:tabs>
                <w:tab w:val="left" w:pos="527"/>
              </w:tabs>
              <w:jc w:val="center"/>
              <w:rPr>
                <w:rFonts w:ascii="Times New Roman" w:hAnsi="Times New Roman" w:cs="Times New Roman"/>
                <w:b/>
                <w:sz w:val="18"/>
                <w:szCs w:val="18"/>
                <w:lang w:val="es-ES"/>
              </w:rPr>
            </w:pPr>
            <w:r w:rsidRPr="006C6A2A">
              <w:rPr>
                <w:rFonts w:ascii="Times New Roman" w:hAnsi="Times New Roman" w:cs="Times New Roman"/>
                <w:sz w:val="18"/>
                <w:szCs w:val="18"/>
              </w:rPr>
              <w:t>Superior frontal gyrus (medial part)</w:t>
            </w:r>
          </w:p>
        </w:tc>
        <w:tc>
          <w:tcPr>
            <w:tcW w:w="850" w:type="dxa"/>
            <w:gridSpan w:val="2"/>
          </w:tcPr>
          <w:p w14:paraId="2A8C6E8D" w14:textId="77777777" w:rsidR="005C7C84" w:rsidRPr="006C6A2A" w:rsidRDefault="005C7C84" w:rsidP="00270E87">
            <w:pPr>
              <w:jc w:val="center"/>
              <w:rPr>
                <w:rFonts w:ascii="Times New Roman" w:hAnsi="Times New Roman" w:cs="Times New Roman"/>
                <w:sz w:val="18"/>
                <w:szCs w:val="18"/>
                <w:lang w:val="es-ES"/>
              </w:rPr>
            </w:pPr>
          </w:p>
        </w:tc>
        <w:tc>
          <w:tcPr>
            <w:tcW w:w="1129" w:type="dxa"/>
            <w:gridSpan w:val="2"/>
            <w:hideMark/>
          </w:tcPr>
          <w:p w14:paraId="6879E958"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143 (5)</w:t>
            </w:r>
          </w:p>
        </w:tc>
        <w:tc>
          <w:tcPr>
            <w:tcW w:w="567" w:type="dxa"/>
            <w:gridSpan w:val="2"/>
            <w:hideMark/>
          </w:tcPr>
          <w:p w14:paraId="27F9BD4F"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L</w:t>
            </w:r>
          </w:p>
        </w:tc>
        <w:tc>
          <w:tcPr>
            <w:tcW w:w="1133" w:type="dxa"/>
            <w:gridSpan w:val="2"/>
          </w:tcPr>
          <w:p w14:paraId="32E043E3" w14:textId="77777777" w:rsidR="005C7C84" w:rsidRPr="006C6A2A" w:rsidRDefault="005C7C84" w:rsidP="00270E87">
            <w:pPr>
              <w:jc w:val="center"/>
              <w:rPr>
                <w:rFonts w:ascii="Times New Roman" w:hAnsi="Times New Roman" w:cs="Times New Roman"/>
                <w:sz w:val="18"/>
                <w:szCs w:val="18"/>
                <w:lang w:val="es-ES"/>
              </w:rPr>
            </w:pPr>
          </w:p>
        </w:tc>
        <w:tc>
          <w:tcPr>
            <w:tcW w:w="1133" w:type="dxa"/>
          </w:tcPr>
          <w:p w14:paraId="60991A2E" w14:textId="77777777" w:rsidR="005C7C84" w:rsidRPr="006C6A2A" w:rsidRDefault="005C7C84" w:rsidP="00270E87">
            <w:pPr>
              <w:jc w:val="center"/>
              <w:rPr>
                <w:rFonts w:ascii="Times New Roman" w:hAnsi="Times New Roman" w:cs="Times New Roman"/>
                <w:sz w:val="18"/>
                <w:szCs w:val="18"/>
                <w:lang w:val="es-ES"/>
              </w:rPr>
            </w:pPr>
          </w:p>
        </w:tc>
        <w:tc>
          <w:tcPr>
            <w:tcW w:w="861" w:type="dxa"/>
          </w:tcPr>
          <w:p w14:paraId="6C8E31D2" w14:textId="77777777" w:rsidR="005C7C84" w:rsidRPr="006C6A2A" w:rsidRDefault="005C7C84" w:rsidP="00270E87">
            <w:pPr>
              <w:jc w:val="center"/>
              <w:rPr>
                <w:rFonts w:ascii="Times New Roman" w:hAnsi="Times New Roman" w:cs="Times New Roman"/>
                <w:sz w:val="18"/>
                <w:szCs w:val="18"/>
                <w:lang w:val="es-ES"/>
              </w:rPr>
            </w:pPr>
          </w:p>
        </w:tc>
        <w:tc>
          <w:tcPr>
            <w:tcW w:w="708" w:type="dxa"/>
            <w:gridSpan w:val="2"/>
          </w:tcPr>
          <w:p w14:paraId="261A40B3" w14:textId="77777777" w:rsidR="005C7C84" w:rsidRPr="006C6A2A" w:rsidRDefault="005C7C84" w:rsidP="00270E87">
            <w:pPr>
              <w:jc w:val="center"/>
              <w:rPr>
                <w:rFonts w:ascii="Times New Roman" w:hAnsi="Times New Roman" w:cs="Times New Roman"/>
                <w:sz w:val="18"/>
                <w:szCs w:val="18"/>
                <w:lang w:val="es-ES"/>
              </w:rPr>
            </w:pPr>
          </w:p>
        </w:tc>
        <w:tc>
          <w:tcPr>
            <w:tcW w:w="568" w:type="dxa"/>
          </w:tcPr>
          <w:p w14:paraId="5830CCCC" w14:textId="77777777" w:rsidR="005C7C84" w:rsidRPr="006C6A2A" w:rsidRDefault="005C7C84" w:rsidP="00270E87">
            <w:pPr>
              <w:jc w:val="center"/>
              <w:rPr>
                <w:rFonts w:ascii="Times New Roman" w:hAnsi="Times New Roman" w:cs="Times New Roman"/>
                <w:sz w:val="18"/>
                <w:szCs w:val="18"/>
                <w:lang w:val="es-ES"/>
              </w:rPr>
            </w:pPr>
          </w:p>
        </w:tc>
      </w:tr>
      <w:tr w:rsidR="005C7C84" w:rsidRPr="006C6A2A" w14:paraId="0E8560C6" w14:textId="77777777" w:rsidTr="00270E87">
        <w:trPr>
          <w:gridBefore w:val="1"/>
          <w:gridAfter w:val="1"/>
          <w:wBefore w:w="108" w:type="dxa"/>
          <w:wAfter w:w="109" w:type="dxa"/>
          <w:jc w:val="center"/>
        </w:trPr>
        <w:tc>
          <w:tcPr>
            <w:tcW w:w="1270" w:type="dxa"/>
            <w:gridSpan w:val="2"/>
          </w:tcPr>
          <w:p w14:paraId="650763F9" w14:textId="77777777" w:rsidR="005C7C84" w:rsidRPr="006C6A2A" w:rsidRDefault="005C7C84" w:rsidP="00270E87">
            <w:pPr>
              <w:tabs>
                <w:tab w:val="left" w:pos="527"/>
              </w:tabs>
              <w:rPr>
                <w:rFonts w:ascii="Times New Roman" w:hAnsi="Times New Roman" w:cs="Times New Roman"/>
                <w:b/>
                <w:bCs/>
                <w:sz w:val="20"/>
                <w:szCs w:val="20"/>
                <w:lang w:val="es-ES"/>
              </w:rPr>
            </w:pPr>
          </w:p>
        </w:tc>
        <w:tc>
          <w:tcPr>
            <w:tcW w:w="2127" w:type="dxa"/>
            <w:gridSpan w:val="2"/>
            <w:hideMark/>
          </w:tcPr>
          <w:p w14:paraId="67933526" w14:textId="77777777" w:rsidR="005C7C84" w:rsidRPr="006C6A2A" w:rsidRDefault="005C7C84" w:rsidP="00270E87">
            <w:pPr>
              <w:tabs>
                <w:tab w:val="left" w:pos="527"/>
              </w:tabs>
              <w:jc w:val="center"/>
              <w:rPr>
                <w:rFonts w:ascii="Times New Roman" w:hAnsi="Times New Roman" w:cs="Times New Roman"/>
                <w:sz w:val="18"/>
                <w:szCs w:val="18"/>
                <w:lang w:val="es-ES"/>
              </w:rPr>
            </w:pPr>
            <w:r w:rsidRPr="006C6A2A">
              <w:rPr>
                <w:rFonts w:ascii="Times New Roman" w:hAnsi="Times New Roman" w:cs="Times New Roman"/>
                <w:sz w:val="18"/>
                <w:szCs w:val="18"/>
              </w:rPr>
              <w:t>Superior frontal gyrus (medial orbital part)</w:t>
            </w:r>
          </w:p>
        </w:tc>
        <w:tc>
          <w:tcPr>
            <w:tcW w:w="850" w:type="dxa"/>
            <w:gridSpan w:val="2"/>
          </w:tcPr>
          <w:p w14:paraId="156AF003" w14:textId="77777777" w:rsidR="005C7C84" w:rsidRPr="006C6A2A" w:rsidRDefault="005C7C84" w:rsidP="00270E87">
            <w:pPr>
              <w:jc w:val="center"/>
              <w:rPr>
                <w:rFonts w:ascii="Times New Roman" w:hAnsi="Times New Roman" w:cs="Times New Roman"/>
                <w:sz w:val="18"/>
                <w:szCs w:val="18"/>
                <w:lang w:val="es-ES"/>
              </w:rPr>
            </w:pPr>
          </w:p>
        </w:tc>
        <w:tc>
          <w:tcPr>
            <w:tcW w:w="1129" w:type="dxa"/>
            <w:gridSpan w:val="2"/>
            <w:hideMark/>
          </w:tcPr>
          <w:p w14:paraId="42866A92"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126 (18)</w:t>
            </w:r>
          </w:p>
        </w:tc>
        <w:tc>
          <w:tcPr>
            <w:tcW w:w="567" w:type="dxa"/>
            <w:gridSpan w:val="2"/>
            <w:hideMark/>
          </w:tcPr>
          <w:p w14:paraId="39B347D1" w14:textId="77777777" w:rsidR="005C7C84" w:rsidRPr="006C6A2A" w:rsidRDefault="005C7C84" w:rsidP="00270E87">
            <w:pPr>
              <w:jc w:val="center"/>
              <w:rPr>
                <w:rFonts w:ascii="Times New Roman" w:hAnsi="Times New Roman" w:cs="Times New Roman"/>
                <w:sz w:val="18"/>
                <w:szCs w:val="18"/>
                <w:lang w:val="es-ES"/>
              </w:rPr>
            </w:pPr>
            <w:r w:rsidRPr="006C6A2A">
              <w:rPr>
                <w:rFonts w:ascii="Times New Roman" w:hAnsi="Times New Roman" w:cs="Times New Roman"/>
                <w:sz w:val="18"/>
                <w:szCs w:val="18"/>
              </w:rPr>
              <w:t>L</w:t>
            </w:r>
          </w:p>
        </w:tc>
        <w:tc>
          <w:tcPr>
            <w:tcW w:w="1133" w:type="dxa"/>
            <w:gridSpan w:val="2"/>
          </w:tcPr>
          <w:p w14:paraId="2DD70288" w14:textId="77777777" w:rsidR="005C7C84" w:rsidRPr="006C6A2A" w:rsidRDefault="005C7C84" w:rsidP="00270E87">
            <w:pPr>
              <w:jc w:val="center"/>
              <w:rPr>
                <w:rFonts w:ascii="Times New Roman" w:hAnsi="Times New Roman" w:cs="Times New Roman"/>
                <w:sz w:val="18"/>
                <w:szCs w:val="18"/>
                <w:lang w:val="es-ES"/>
              </w:rPr>
            </w:pPr>
          </w:p>
        </w:tc>
        <w:tc>
          <w:tcPr>
            <w:tcW w:w="1133" w:type="dxa"/>
          </w:tcPr>
          <w:p w14:paraId="2C88DA93" w14:textId="77777777" w:rsidR="005C7C84" w:rsidRPr="006C6A2A" w:rsidRDefault="005C7C84" w:rsidP="00270E87">
            <w:pPr>
              <w:jc w:val="center"/>
              <w:rPr>
                <w:rFonts w:ascii="Times New Roman" w:hAnsi="Times New Roman" w:cs="Times New Roman"/>
                <w:sz w:val="18"/>
                <w:szCs w:val="18"/>
                <w:lang w:val="es-ES"/>
              </w:rPr>
            </w:pPr>
          </w:p>
        </w:tc>
        <w:tc>
          <w:tcPr>
            <w:tcW w:w="861" w:type="dxa"/>
          </w:tcPr>
          <w:p w14:paraId="1935F19A" w14:textId="77777777" w:rsidR="005C7C84" w:rsidRPr="006C6A2A" w:rsidRDefault="005C7C84" w:rsidP="00270E87">
            <w:pPr>
              <w:jc w:val="center"/>
              <w:rPr>
                <w:rFonts w:ascii="Times New Roman" w:hAnsi="Times New Roman" w:cs="Times New Roman"/>
                <w:sz w:val="18"/>
                <w:szCs w:val="18"/>
                <w:lang w:val="es-ES"/>
              </w:rPr>
            </w:pPr>
          </w:p>
        </w:tc>
        <w:tc>
          <w:tcPr>
            <w:tcW w:w="708" w:type="dxa"/>
            <w:gridSpan w:val="2"/>
          </w:tcPr>
          <w:p w14:paraId="45825D43" w14:textId="77777777" w:rsidR="005C7C84" w:rsidRPr="006C6A2A" w:rsidRDefault="005C7C84" w:rsidP="00270E87">
            <w:pPr>
              <w:jc w:val="center"/>
              <w:rPr>
                <w:rFonts w:ascii="Times New Roman" w:hAnsi="Times New Roman" w:cs="Times New Roman"/>
                <w:sz w:val="18"/>
                <w:szCs w:val="18"/>
                <w:lang w:val="es-ES"/>
              </w:rPr>
            </w:pPr>
          </w:p>
        </w:tc>
        <w:tc>
          <w:tcPr>
            <w:tcW w:w="568" w:type="dxa"/>
          </w:tcPr>
          <w:p w14:paraId="3540B5A6" w14:textId="77777777" w:rsidR="005C7C84" w:rsidRPr="006C6A2A" w:rsidRDefault="005C7C84" w:rsidP="00270E87">
            <w:pPr>
              <w:jc w:val="center"/>
              <w:rPr>
                <w:rFonts w:ascii="Times New Roman" w:hAnsi="Times New Roman" w:cs="Times New Roman"/>
                <w:sz w:val="18"/>
                <w:szCs w:val="18"/>
                <w:lang w:val="es-ES"/>
              </w:rPr>
            </w:pPr>
          </w:p>
        </w:tc>
      </w:tr>
      <w:tr w:rsidR="005C7C84" w:rsidRPr="006C6A2A" w14:paraId="492E652C" w14:textId="77777777" w:rsidTr="00270E87">
        <w:trPr>
          <w:gridBefore w:val="1"/>
          <w:gridAfter w:val="1"/>
          <w:wBefore w:w="108" w:type="dxa"/>
          <w:wAfter w:w="109" w:type="dxa"/>
          <w:jc w:val="center"/>
        </w:trPr>
        <w:tc>
          <w:tcPr>
            <w:tcW w:w="1270" w:type="dxa"/>
            <w:gridSpan w:val="2"/>
          </w:tcPr>
          <w:p w14:paraId="2DDE39A3"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hideMark/>
          </w:tcPr>
          <w:p w14:paraId="4155F469" w14:textId="77777777" w:rsidR="005C7C84" w:rsidRPr="006C6A2A" w:rsidRDefault="005C7C84" w:rsidP="00270E87">
            <w:pPr>
              <w:tabs>
                <w:tab w:val="left" w:pos="527"/>
              </w:tabs>
              <w:jc w:val="center"/>
              <w:rPr>
                <w:rFonts w:ascii="Times New Roman" w:hAnsi="Times New Roman" w:cs="Times New Roman"/>
                <w:sz w:val="18"/>
                <w:szCs w:val="18"/>
                <w:lang w:val="es-ES"/>
              </w:rPr>
            </w:pPr>
            <w:r w:rsidRPr="006C6A2A">
              <w:rPr>
                <w:rFonts w:ascii="Times New Roman" w:hAnsi="Times New Roman" w:cs="Times New Roman"/>
                <w:sz w:val="18"/>
                <w:szCs w:val="18"/>
                <w:lang w:val="es-ES"/>
              </w:rPr>
              <w:t xml:space="preserve">Anterior </w:t>
            </w:r>
            <w:proofErr w:type="spellStart"/>
            <w:r w:rsidRPr="006C6A2A">
              <w:rPr>
                <w:rFonts w:ascii="Times New Roman" w:hAnsi="Times New Roman" w:cs="Times New Roman"/>
                <w:sz w:val="18"/>
                <w:szCs w:val="18"/>
                <w:lang w:val="es-ES"/>
              </w:rPr>
              <w:t>cingulate</w:t>
            </w:r>
            <w:proofErr w:type="spellEnd"/>
            <w:r w:rsidRPr="006C6A2A">
              <w:rPr>
                <w:rFonts w:ascii="Times New Roman" w:hAnsi="Times New Roman" w:cs="Times New Roman"/>
                <w:sz w:val="18"/>
                <w:szCs w:val="18"/>
                <w:lang w:val="es-ES"/>
              </w:rPr>
              <w:t xml:space="preserve"> </w:t>
            </w:r>
            <w:proofErr w:type="spellStart"/>
            <w:r w:rsidRPr="006C6A2A">
              <w:rPr>
                <w:rFonts w:ascii="Times New Roman" w:hAnsi="Times New Roman" w:cs="Times New Roman"/>
                <w:sz w:val="18"/>
                <w:szCs w:val="18"/>
                <w:lang w:val="es-ES"/>
              </w:rPr>
              <w:t>cortex</w:t>
            </w:r>
            <w:proofErr w:type="spellEnd"/>
            <w:r w:rsidRPr="006C6A2A">
              <w:rPr>
                <w:rFonts w:ascii="Times New Roman" w:hAnsi="Times New Roman" w:cs="Times New Roman"/>
                <w:sz w:val="18"/>
                <w:szCs w:val="18"/>
                <w:lang w:val="es-ES"/>
              </w:rPr>
              <w:t xml:space="preserve"> (</w:t>
            </w:r>
            <w:proofErr w:type="spellStart"/>
            <w:r w:rsidRPr="006C6A2A">
              <w:rPr>
                <w:rFonts w:ascii="Times New Roman" w:hAnsi="Times New Roman" w:cs="Times New Roman"/>
                <w:sz w:val="18"/>
                <w:szCs w:val="18"/>
                <w:lang w:val="es-ES"/>
              </w:rPr>
              <w:t>pregenual</w:t>
            </w:r>
            <w:proofErr w:type="spellEnd"/>
            <w:r w:rsidRPr="006C6A2A">
              <w:rPr>
                <w:rFonts w:ascii="Times New Roman" w:hAnsi="Times New Roman" w:cs="Times New Roman"/>
                <w:sz w:val="18"/>
                <w:szCs w:val="18"/>
                <w:lang w:val="es-ES"/>
              </w:rPr>
              <w:t xml:space="preserve"> </w:t>
            </w:r>
            <w:proofErr w:type="spellStart"/>
            <w:r w:rsidRPr="006C6A2A">
              <w:rPr>
                <w:rFonts w:ascii="Times New Roman" w:hAnsi="Times New Roman" w:cs="Times New Roman"/>
                <w:sz w:val="18"/>
                <w:szCs w:val="18"/>
                <w:lang w:val="es-ES"/>
              </w:rPr>
              <w:t>part</w:t>
            </w:r>
            <w:proofErr w:type="spellEnd"/>
            <w:r w:rsidRPr="006C6A2A">
              <w:rPr>
                <w:rFonts w:ascii="Times New Roman" w:hAnsi="Times New Roman" w:cs="Times New Roman"/>
                <w:sz w:val="18"/>
                <w:szCs w:val="18"/>
                <w:lang w:val="es-ES"/>
              </w:rPr>
              <w:t>)</w:t>
            </w:r>
          </w:p>
        </w:tc>
        <w:tc>
          <w:tcPr>
            <w:tcW w:w="850" w:type="dxa"/>
            <w:gridSpan w:val="2"/>
          </w:tcPr>
          <w:p w14:paraId="198E43F4" w14:textId="77777777" w:rsidR="005C7C84" w:rsidRPr="006C6A2A" w:rsidRDefault="005C7C84" w:rsidP="00270E87">
            <w:pPr>
              <w:jc w:val="center"/>
              <w:rPr>
                <w:rFonts w:ascii="Times New Roman" w:hAnsi="Times New Roman" w:cs="Times New Roman"/>
                <w:sz w:val="18"/>
                <w:szCs w:val="18"/>
                <w:lang w:val="es-ES"/>
              </w:rPr>
            </w:pPr>
          </w:p>
        </w:tc>
        <w:tc>
          <w:tcPr>
            <w:tcW w:w="1129" w:type="dxa"/>
            <w:gridSpan w:val="2"/>
            <w:hideMark/>
          </w:tcPr>
          <w:p w14:paraId="01D19906"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120 (19)</w:t>
            </w:r>
          </w:p>
        </w:tc>
        <w:tc>
          <w:tcPr>
            <w:tcW w:w="567" w:type="dxa"/>
            <w:gridSpan w:val="2"/>
            <w:hideMark/>
          </w:tcPr>
          <w:p w14:paraId="60E82331"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L</w:t>
            </w:r>
          </w:p>
        </w:tc>
        <w:tc>
          <w:tcPr>
            <w:tcW w:w="1133" w:type="dxa"/>
            <w:gridSpan w:val="2"/>
          </w:tcPr>
          <w:p w14:paraId="449AE87E" w14:textId="77777777" w:rsidR="005C7C84" w:rsidRPr="006C6A2A" w:rsidRDefault="005C7C84" w:rsidP="00270E87">
            <w:pPr>
              <w:jc w:val="center"/>
              <w:rPr>
                <w:rFonts w:ascii="Times New Roman" w:hAnsi="Times New Roman" w:cs="Times New Roman"/>
                <w:sz w:val="18"/>
                <w:szCs w:val="18"/>
              </w:rPr>
            </w:pPr>
          </w:p>
        </w:tc>
        <w:tc>
          <w:tcPr>
            <w:tcW w:w="1133" w:type="dxa"/>
          </w:tcPr>
          <w:p w14:paraId="05D60484" w14:textId="77777777" w:rsidR="005C7C84" w:rsidRPr="006C6A2A" w:rsidRDefault="005C7C84" w:rsidP="00270E87">
            <w:pPr>
              <w:jc w:val="center"/>
              <w:rPr>
                <w:rFonts w:ascii="Times New Roman" w:hAnsi="Times New Roman" w:cs="Times New Roman"/>
                <w:sz w:val="18"/>
                <w:szCs w:val="18"/>
              </w:rPr>
            </w:pPr>
          </w:p>
        </w:tc>
        <w:tc>
          <w:tcPr>
            <w:tcW w:w="861" w:type="dxa"/>
          </w:tcPr>
          <w:p w14:paraId="7E77EE27" w14:textId="77777777" w:rsidR="005C7C84" w:rsidRPr="006C6A2A" w:rsidRDefault="005C7C84" w:rsidP="00270E87">
            <w:pPr>
              <w:jc w:val="center"/>
              <w:rPr>
                <w:rFonts w:ascii="Times New Roman" w:hAnsi="Times New Roman" w:cs="Times New Roman"/>
                <w:sz w:val="18"/>
                <w:szCs w:val="18"/>
              </w:rPr>
            </w:pPr>
          </w:p>
        </w:tc>
        <w:tc>
          <w:tcPr>
            <w:tcW w:w="708" w:type="dxa"/>
            <w:gridSpan w:val="2"/>
          </w:tcPr>
          <w:p w14:paraId="59F842D4" w14:textId="77777777" w:rsidR="005C7C84" w:rsidRPr="006C6A2A" w:rsidRDefault="005C7C84" w:rsidP="00270E87">
            <w:pPr>
              <w:jc w:val="center"/>
              <w:rPr>
                <w:rFonts w:ascii="Times New Roman" w:hAnsi="Times New Roman" w:cs="Times New Roman"/>
                <w:sz w:val="18"/>
                <w:szCs w:val="18"/>
              </w:rPr>
            </w:pPr>
          </w:p>
        </w:tc>
        <w:tc>
          <w:tcPr>
            <w:tcW w:w="568" w:type="dxa"/>
          </w:tcPr>
          <w:p w14:paraId="2428B82D" w14:textId="77777777" w:rsidR="005C7C84" w:rsidRPr="006C6A2A" w:rsidRDefault="005C7C84" w:rsidP="00270E87">
            <w:pPr>
              <w:jc w:val="center"/>
              <w:rPr>
                <w:rFonts w:ascii="Times New Roman" w:hAnsi="Times New Roman" w:cs="Times New Roman"/>
                <w:sz w:val="18"/>
                <w:szCs w:val="18"/>
              </w:rPr>
            </w:pPr>
          </w:p>
        </w:tc>
      </w:tr>
      <w:tr w:rsidR="005C7C84" w:rsidRPr="006C6A2A" w14:paraId="6CAA0885" w14:textId="77777777" w:rsidTr="00270E87">
        <w:trPr>
          <w:gridBefore w:val="1"/>
          <w:gridAfter w:val="1"/>
          <w:wBefore w:w="108" w:type="dxa"/>
          <w:wAfter w:w="109" w:type="dxa"/>
          <w:jc w:val="center"/>
        </w:trPr>
        <w:tc>
          <w:tcPr>
            <w:tcW w:w="1270" w:type="dxa"/>
            <w:gridSpan w:val="2"/>
          </w:tcPr>
          <w:p w14:paraId="13EC2620"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hideMark/>
          </w:tcPr>
          <w:p w14:paraId="657F44A2" w14:textId="77777777" w:rsidR="005C7C84" w:rsidRPr="006C6A2A" w:rsidRDefault="005C7C84" w:rsidP="00270E87">
            <w:pPr>
              <w:tabs>
                <w:tab w:val="left" w:pos="527"/>
              </w:tabs>
              <w:jc w:val="center"/>
              <w:rPr>
                <w:rFonts w:ascii="Times New Roman" w:hAnsi="Times New Roman" w:cs="Times New Roman"/>
                <w:sz w:val="18"/>
                <w:szCs w:val="18"/>
              </w:rPr>
            </w:pPr>
            <w:r w:rsidRPr="006C6A2A">
              <w:rPr>
                <w:rFonts w:ascii="Times New Roman" w:hAnsi="Times New Roman" w:cs="Times New Roman"/>
                <w:sz w:val="18"/>
                <w:szCs w:val="18"/>
              </w:rPr>
              <w:t>Gyrus rectus</w:t>
            </w:r>
          </w:p>
        </w:tc>
        <w:tc>
          <w:tcPr>
            <w:tcW w:w="850" w:type="dxa"/>
            <w:gridSpan w:val="2"/>
          </w:tcPr>
          <w:p w14:paraId="5E78DEBB" w14:textId="77777777" w:rsidR="005C7C84" w:rsidRPr="006C6A2A" w:rsidRDefault="005C7C84" w:rsidP="00270E87">
            <w:pPr>
              <w:jc w:val="center"/>
              <w:rPr>
                <w:rFonts w:ascii="Times New Roman" w:hAnsi="Times New Roman" w:cs="Times New Roman"/>
                <w:sz w:val="18"/>
                <w:szCs w:val="18"/>
              </w:rPr>
            </w:pPr>
          </w:p>
        </w:tc>
        <w:tc>
          <w:tcPr>
            <w:tcW w:w="1129" w:type="dxa"/>
            <w:gridSpan w:val="2"/>
            <w:hideMark/>
          </w:tcPr>
          <w:p w14:paraId="5E058AA4"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95 (11)</w:t>
            </w:r>
          </w:p>
        </w:tc>
        <w:tc>
          <w:tcPr>
            <w:tcW w:w="567" w:type="dxa"/>
            <w:gridSpan w:val="2"/>
            <w:hideMark/>
          </w:tcPr>
          <w:p w14:paraId="15A4A633"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L</w:t>
            </w:r>
          </w:p>
        </w:tc>
        <w:tc>
          <w:tcPr>
            <w:tcW w:w="1133" w:type="dxa"/>
            <w:gridSpan w:val="2"/>
          </w:tcPr>
          <w:p w14:paraId="6888A63A" w14:textId="77777777" w:rsidR="005C7C84" w:rsidRPr="006C6A2A" w:rsidRDefault="005C7C84" w:rsidP="00270E87">
            <w:pPr>
              <w:jc w:val="center"/>
              <w:rPr>
                <w:rFonts w:ascii="Times New Roman" w:hAnsi="Times New Roman" w:cs="Times New Roman"/>
                <w:sz w:val="18"/>
                <w:szCs w:val="18"/>
              </w:rPr>
            </w:pPr>
          </w:p>
        </w:tc>
        <w:tc>
          <w:tcPr>
            <w:tcW w:w="1133" w:type="dxa"/>
          </w:tcPr>
          <w:p w14:paraId="5D5DE5A5" w14:textId="77777777" w:rsidR="005C7C84" w:rsidRPr="006C6A2A" w:rsidRDefault="005C7C84" w:rsidP="00270E87">
            <w:pPr>
              <w:jc w:val="center"/>
              <w:rPr>
                <w:rFonts w:ascii="Times New Roman" w:hAnsi="Times New Roman" w:cs="Times New Roman"/>
                <w:sz w:val="18"/>
                <w:szCs w:val="18"/>
              </w:rPr>
            </w:pPr>
          </w:p>
        </w:tc>
        <w:tc>
          <w:tcPr>
            <w:tcW w:w="861" w:type="dxa"/>
          </w:tcPr>
          <w:p w14:paraId="763FDE54" w14:textId="77777777" w:rsidR="005C7C84" w:rsidRPr="006C6A2A" w:rsidRDefault="005C7C84" w:rsidP="00270E87">
            <w:pPr>
              <w:jc w:val="center"/>
              <w:rPr>
                <w:rFonts w:ascii="Times New Roman" w:hAnsi="Times New Roman" w:cs="Times New Roman"/>
                <w:sz w:val="18"/>
                <w:szCs w:val="18"/>
              </w:rPr>
            </w:pPr>
          </w:p>
        </w:tc>
        <w:tc>
          <w:tcPr>
            <w:tcW w:w="708" w:type="dxa"/>
            <w:gridSpan w:val="2"/>
          </w:tcPr>
          <w:p w14:paraId="0B41323B" w14:textId="77777777" w:rsidR="005C7C84" w:rsidRPr="006C6A2A" w:rsidRDefault="005C7C84" w:rsidP="00270E87">
            <w:pPr>
              <w:jc w:val="center"/>
              <w:rPr>
                <w:rFonts w:ascii="Times New Roman" w:hAnsi="Times New Roman" w:cs="Times New Roman"/>
                <w:sz w:val="18"/>
                <w:szCs w:val="18"/>
              </w:rPr>
            </w:pPr>
          </w:p>
        </w:tc>
        <w:tc>
          <w:tcPr>
            <w:tcW w:w="568" w:type="dxa"/>
          </w:tcPr>
          <w:p w14:paraId="5F30C2B2" w14:textId="77777777" w:rsidR="005C7C84" w:rsidRPr="006C6A2A" w:rsidRDefault="005C7C84" w:rsidP="00270E87">
            <w:pPr>
              <w:jc w:val="center"/>
              <w:rPr>
                <w:rFonts w:ascii="Times New Roman" w:hAnsi="Times New Roman" w:cs="Times New Roman"/>
                <w:sz w:val="18"/>
                <w:szCs w:val="18"/>
              </w:rPr>
            </w:pPr>
          </w:p>
        </w:tc>
      </w:tr>
      <w:tr w:rsidR="005C7C84" w:rsidRPr="006C6A2A" w14:paraId="6637F26B" w14:textId="77777777" w:rsidTr="00270E87">
        <w:trPr>
          <w:gridBefore w:val="1"/>
          <w:gridAfter w:val="1"/>
          <w:wBefore w:w="108" w:type="dxa"/>
          <w:wAfter w:w="109" w:type="dxa"/>
          <w:jc w:val="center"/>
        </w:trPr>
        <w:tc>
          <w:tcPr>
            <w:tcW w:w="1270" w:type="dxa"/>
            <w:gridSpan w:val="2"/>
          </w:tcPr>
          <w:p w14:paraId="5215B8B2"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hideMark/>
          </w:tcPr>
          <w:p w14:paraId="265B7189" w14:textId="77777777" w:rsidR="005C7C84" w:rsidRPr="006C6A2A" w:rsidRDefault="005C7C84" w:rsidP="00270E87">
            <w:pPr>
              <w:tabs>
                <w:tab w:val="left" w:pos="527"/>
              </w:tabs>
              <w:jc w:val="center"/>
              <w:rPr>
                <w:rFonts w:ascii="Times New Roman" w:hAnsi="Times New Roman" w:cs="Times New Roman"/>
                <w:sz w:val="18"/>
                <w:szCs w:val="18"/>
              </w:rPr>
            </w:pPr>
            <w:r w:rsidRPr="006C6A2A">
              <w:rPr>
                <w:rFonts w:ascii="Times New Roman" w:hAnsi="Times New Roman" w:cs="Times New Roman"/>
                <w:sz w:val="18"/>
                <w:szCs w:val="18"/>
              </w:rPr>
              <w:t>Gyrus rectus</w:t>
            </w:r>
          </w:p>
        </w:tc>
        <w:tc>
          <w:tcPr>
            <w:tcW w:w="850" w:type="dxa"/>
            <w:gridSpan w:val="2"/>
          </w:tcPr>
          <w:p w14:paraId="1D1F6BB0" w14:textId="77777777" w:rsidR="005C7C84" w:rsidRPr="006C6A2A" w:rsidRDefault="005C7C84" w:rsidP="00270E87">
            <w:pPr>
              <w:jc w:val="center"/>
              <w:rPr>
                <w:rFonts w:ascii="Times New Roman" w:hAnsi="Times New Roman" w:cs="Times New Roman"/>
                <w:sz w:val="18"/>
                <w:szCs w:val="18"/>
              </w:rPr>
            </w:pPr>
          </w:p>
        </w:tc>
        <w:tc>
          <w:tcPr>
            <w:tcW w:w="1129" w:type="dxa"/>
            <w:gridSpan w:val="2"/>
            <w:hideMark/>
          </w:tcPr>
          <w:p w14:paraId="59730D63"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93 (12)</w:t>
            </w:r>
          </w:p>
        </w:tc>
        <w:tc>
          <w:tcPr>
            <w:tcW w:w="567" w:type="dxa"/>
            <w:gridSpan w:val="2"/>
            <w:hideMark/>
          </w:tcPr>
          <w:p w14:paraId="2DD56FA0"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R</w:t>
            </w:r>
          </w:p>
        </w:tc>
        <w:tc>
          <w:tcPr>
            <w:tcW w:w="1133" w:type="dxa"/>
            <w:gridSpan w:val="2"/>
          </w:tcPr>
          <w:p w14:paraId="70280CBD" w14:textId="77777777" w:rsidR="005C7C84" w:rsidRPr="006C6A2A" w:rsidRDefault="005C7C84" w:rsidP="00270E87">
            <w:pPr>
              <w:jc w:val="center"/>
              <w:rPr>
                <w:rFonts w:ascii="Times New Roman" w:hAnsi="Times New Roman" w:cs="Times New Roman"/>
                <w:sz w:val="18"/>
                <w:szCs w:val="18"/>
              </w:rPr>
            </w:pPr>
          </w:p>
        </w:tc>
        <w:tc>
          <w:tcPr>
            <w:tcW w:w="1133" w:type="dxa"/>
          </w:tcPr>
          <w:p w14:paraId="4B7D90AA" w14:textId="77777777" w:rsidR="005C7C84" w:rsidRPr="006C6A2A" w:rsidRDefault="005C7C84" w:rsidP="00270E87">
            <w:pPr>
              <w:jc w:val="center"/>
              <w:rPr>
                <w:rFonts w:ascii="Times New Roman" w:hAnsi="Times New Roman" w:cs="Times New Roman"/>
                <w:sz w:val="18"/>
                <w:szCs w:val="18"/>
              </w:rPr>
            </w:pPr>
          </w:p>
        </w:tc>
        <w:tc>
          <w:tcPr>
            <w:tcW w:w="861" w:type="dxa"/>
          </w:tcPr>
          <w:p w14:paraId="2B23BA14" w14:textId="77777777" w:rsidR="005C7C84" w:rsidRPr="006C6A2A" w:rsidRDefault="005C7C84" w:rsidP="00270E87">
            <w:pPr>
              <w:jc w:val="center"/>
              <w:rPr>
                <w:rFonts w:ascii="Times New Roman" w:hAnsi="Times New Roman" w:cs="Times New Roman"/>
                <w:sz w:val="18"/>
                <w:szCs w:val="18"/>
              </w:rPr>
            </w:pPr>
          </w:p>
        </w:tc>
        <w:tc>
          <w:tcPr>
            <w:tcW w:w="708" w:type="dxa"/>
            <w:gridSpan w:val="2"/>
          </w:tcPr>
          <w:p w14:paraId="14A64F76" w14:textId="77777777" w:rsidR="005C7C84" w:rsidRPr="006C6A2A" w:rsidRDefault="005C7C84" w:rsidP="00270E87">
            <w:pPr>
              <w:jc w:val="center"/>
              <w:rPr>
                <w:rFonts w:ascii="Times New Roman" w:hAnsi="Times New Roman" w:cs="Times New Roman"/>
                <w:sz w:val="18"/>
                <w:szCs w:val="18"/>
              </w:rPr>
            </w:pPr>
          </w:p>
        </w:tc>
        <w:tc>
          <w:tcPr>
            <w:tcW w:w="568" w:type="dxa"/>
          </w:tcPr>
          <w:p w14:paraId="4B430C34" w14:textId="77777777" w:rsidR="005C7C84" w:rsidRPr="006C6A2A" w:rsidRDefault="005C7C84" w:rsidP="00270E87">
            <w:pPr>
              <w:jc w:val="center"/>
              <w:rPr>
                <w:rFonts w:ascii="Times New Roman" w:hAnsi="Times New Roman" w:cs="Times New Roman"/>
                <w:sz w:val="18"/>
                <w:szCs w:val="18"/>
              </w:rPr>
            </w:pPr>
          </w:p>
        </w:tc>
      </w:tr>
      <w:tr w:rsidR="005C7C84" w:rsidRPr="006C6A2A" w14:paraId="284BB3C8" w14:textId="77777777" w:rsidTr="00270E87">
        <w:trPr>
          <w:gridBefore w:val="1"/>
          <w:gridAfter w:val="1"/>
          <w:wBefore w:w="108" w:type="dxa"/>
          <w:wAfter w:w="109" w:type="dxa"/>
          <w:jc w:val="center"/>
        </w:trPr>
        <w:tc>
          <w:tcPr>
            <w:tcW w:w="1270" w:type="dxa"/>
            <w:gridSpan w:val="2"/>
          </w:tcPr>
          <w:p w14:paraId="0B5BD04F"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hideMark/>
          </w:tcPr>
          <w:p w14:paraId="5C532D94" w14:textId="77777777" w:rsidR="005C7C84" w:rsidRPr="006C6A2A" w:rsidRDefault="005C7C84" w:rsidP="00270E87">
            <w:pPr>
              <w:tabs>
                <w:tab w:val="left" w:pos="527"/>
              </w:tabs>
              <w:jc w:val="center"/>
              <w:rPr>
                <w:rFonts w:ascii="Times New Roman" w:hAnsi="Times New Roman" w:cs="Times New Roman"/>
                <w:b/>
                <w:sz w:val="18"/>
                <w:szCs w:val="18"/>
                <w:lang w:val="es-ES"/>
              </w:rPr>
            </w:pPr>
            <w:r w:rsidRPr="006C6A2A">
              <w:rPr>
                <w:rFonts w:ascii="Times New Roman" w:hAnsi="Times New Roman" w:cs="Times New Roman"/>
                <w:sz w:val="18"/>
                <w:szCs w:val="18"/>
                <w:lang w:val="es-ES"/>
              </w:rPr>
              <w:t xml:space="preserve">Anterior </w:t>
            </w:r>
            <w:proofErr w:type="spellStart"/>
            <w:r w:rsidRPr="006C6A2A">
              <w:rPr>
                <w:rFonts w:ascii="Times New Roman" w:hAnsi="Times New Roman" w:cs="Times New Roman"/>
                <w:sz w:val="18"/>
                <w:szCs w:val="18"/>
                <w:lang w:val="es-ES"/>
              </w:rPr>
              <w:t>cingulate</w:t>
            </w:r>
            <w:proofErr w:type="spellEnd"/>
            <w:r w:rsidRPr="006C6A2A">
              <w:rPr>
                <w:rFonts w:ascii="Times New Roman" w:hAnsi="Times New Roman" w:cs="Times New Roman"/>
                <w:sz w:val="18"/>
                <w:szCs w:val="18"/>
                <w:lang w:val="es-ES"/>
              </w:rPr>
              <w:t xml:space="preserve"> </w:t>
            </w:r>
            <w:proofErr w:type="spellStart"/>
            <w:r w:rsidRPr="006C6A2A">
              <w:rPr>
                <w:rFonts w:ascii="Times New Roman" w:hAnsi="Times New Roman" w:cs="Times New Roman"/>
                <w:sz w:val="18"/>
                <w:szCs w:val="18"/>
                <w:lang w:val="es-ES"/>
              </w:rPr>
              <w:t>cortex</w:t>
            </w:r>
            <w:proofErr w:type="spellEnd"/>
            <w:r w:rsidRPr="006C6A2A">
              <w:rPr>
                <w:rFonts w:ascii="Times New Roman" w:hAnsi="Times New Roman" w:cs="Times New Roman"/>
                <w:sz w:val="18"/>
                <w:szCs w:val="18"/>
                <w:lang w:val="es-ES"/>
              </w:rPr>
              <w:t xml:space="preserve"> (</w:t>
            </w:r>
            <w:proofErr w:type="spellStart"/>
            <w:r w:rsidRPr="006C6A2A">
              <w:rPr>
                <w:rFonts w:ascii="Times New Roman" w:hAnsi="Times New Roman" w:cs="Times New Roman"/>
                <w:sz w:val="18"/>
                <w:szCs w:val="18"/>
                <w:lang w:val="es-ES"/>
              </w:rPr>
              <w:t>pregenual</w:t>
            </w:r>
            <w:proofErr w:type="spellEnd"/>
            <w:r w:rsidRPr="006C6A2A">
              <w:rPr>
                <w:rFonts w:ascii="Times New Roman" w:hAnsi="Times New Roman" w:cs="Times New Roman"/>
                <w:sz w:val="18"/>
                <w:szCs w:val="18"/>
                <w:lang w:val="es-ES"/>
              </w:rPr>
              <w:t xml:space="preserve"> </w:t>
            </w:r>
            <w:proofErr w:type="spellStart"/>
            <w:r w:rsidRPr="006C6A2A">
              <w:rPr>
                <w:rFonts w:ascii="Times New Roman" w:hAnsi="Times New Roman" w:cs="Times New Roman"/>
                <w:sz w:val="18"/>
                <w:szCs w:val="18"/>
                <w:lang w:val="es-ES"/>
              </w:rPr>
              <w:t>part</w:t>
            </w:r>
            <w:proofErr w:type="spellEnd"/>
            <w:r w:rsidRPr="006C6A2A">
              <w:rPr>
                <w:rFonts w:ascii="Times New Roman" w:hAnsi="Times New Roman" w:cs="Times New Roman"/>
                <w:sz w:val="18"/>
                <w:szCs w:val="18"/>
                <w:lang w:val="es-ES"/>
              </w:rPr>
              <w:t>)</w:t>
            </w:r>
          </w:p>
        </w:tc>
        <w:tc>
          <w:tcPr>
            <w:tcW w:w="850" w:type="dxa"/>
            <w:gridSpan w:val="2"/>
          </w:tcPr>
          <w:p w14:paraId="7E088085" w14:textId="77777777" w:rsidR="005C7C84" w:rsidRPr="006C6A2A" w:rsidRDefault="005C7C84" w:rsidP="00270E87">
            <w:pPr>
              <w:jc w:val="center"/>
              <w:rPr>
                <w:rFonts w:ascii="Times New Roman" w:hAnsi="Times New Roman" w:cs="Times New Roman"/>
                <w:sz w:val="18"/>
                <w:szCs w:val="18"/>
                <w:lang w:val="es-ES"/>
              </w:rPr>
            </w:pPr>
          </w:p>
        </w:tc>
        <w:tc>
          <w:tcPr>
            <w:tcW w:w="1129" w:type="dxa"/>
            <w:gridSpan w:val="2"/>
            <w:hideMark/>
          </w:tcPr>
          <w:p w14:paraId="273774E4"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80 (12)</w:t>
            </w:r>
          </w:p>
        </w:tc>
        <w:tc>
          <w:tcPr>
            <w:tcW w:w="567" w:type="dxa"/>
            <w:gridSpan w:val="2"/>
            <w:hideMark/>
          </w:tcPr>
          <w:p w14:paraId="158C0B00"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R</w:t>
            </w:r>
          </w:p>
        </w:tc>
        <w:tc>
          <w:tcPr>
            <w:tcW w:w="1133" w:type="dxa"/>
            <w:gridSpan w:val="2"/>
          </w:tcPr>
          <w:p w14:paraId="388EAD02" w14:textId="77777777" w:rsidR="005C7C84" w:rsidRPr="006C6A2A" w:rsidRDefault="005C7C84" w:rsidP="00270E87">
            <w:pPr>
              <w:jc w:val="center"/>
              <w:rPr>
                <w:rFonts w:ascii="Times New Roman" w:hAnsi="Times New Roman" w:cs="Times New Roman"/>
                <w:sz w:val="18"/>
                <w:szCs w:val="18"/>
              </w:rPr>
            </w:pPr>
          </w:p>
        </w:tc>
        <w:tc>
          <w:tcPr>
            <w:tcW w:w="1133" w:type="dxa"/>
          </w:tcPr>
          <w:p w14:paraId="548FED6F" w14:textId="77777777" w:rsidR="005C7C84" w:rsidRPr="006C6A2A" w:rsidRDefault="005C7C84" w:rsidP="00270E87">
            <w:pPr>
              <w:jc w:val="center"/>
              <w:rPr>
                <w:rFonts w:ascii="Times New Roman" w:hAnsi="Times New Roman" w:cs="Times New Roman"/>
                <w:sz w:val="18"/>
                <w:szCs w:val="18"/>
              </w:rPr>
            </w:pPr>
          </w:p>
        </w:tc>
        <w:tc>
          <w:tcPr>
            <w:tcW w:w="861" w:type="dxa"/>
          </w:tcPr>
          <w:p w14:paraId="30948EA5" w14:textId="77777777" w:rsidR="005C7C84" w:rsidRPr="006C6A2A" w:rsidRDefault="005C7C84" w:rsidP="00270E87">
            <w:pPr>
              <w:jc w:val="center"/>
              <w:rPr>
                <w:rFonts w:ascii="Times New Roman" w:hAnsi="Times New Roman" w:cs="Times New Roman"/>
                <w:sz w:val="18"/>
                <w:szCs w:val="18"/>
              </w:rPr>
            </w:pPr>
          </w:p>
        </w:tc>
        <w:tc>
          <w:tcPr>
            <w:tcW w:w="708" w:type="dxa"/>
            <w:gridSpan w:val="2"/>
          </w:tcPr>
          <w:p w14:paraId="4E31292E" w14:textId="77777777" w:rsidR="005C7C84" w:rsidRPr="006C6A2A" w:rsidRDefault="005C7C84" w:rsidP="00270E87">
            <w:pPr>
              <w:jc w:val="center"/>
              <w:rPr>
                <w:rFonts w:ascii="Times New Roman" w:hAnsi="Times New Roman" w:cs="Times New Roman"/>
                <w:sz w:val="18"/>
                <w:szCs w:val="18"/>
              </w:rPr>
            </w:pPr>
          </w:p>
        </w:tc>
        <w:tc>
          <w:tcPr>
            <w:tcW w:w="568" w:type="dxa"/>
          </w:tcPr>
          <w:p w14:paraId="4F05B05D" w14:textId="77777777" w:rsidR="005C7C84" w:rsidRPr="006C6A2A" w:rsidRDefault="005C7C84" w:rsidP="00270E87">
            <w:pPr>
              <w:jc w:val="center"/>
              <w:rPr>
                <w:rFonts w:ascii="Times New Roman" w:hAnsi="Times New Roman" w:cs="Times New Roman"/>
                <w:sz w:val="18"/>
                <w:szCs w:val="18"/>
              </w:rPr>
            </w:pPr>
          </w:p>
        </w:tc>
      </w:tr>
      <w:tr w:rsidR="00F262EE" w:rsidRPr="006C6A2A" w14:paraId="7C5299A0" w14:textId="77777777" w:rsidTr="00270E87">
        <w:trPr>
          <w:gridBefore w:val="1"/>
          <w:gridAfter w:val="1"/>
          <w:wBefore w:w="108" w:type="dxa"/>
          <w:wAfter w:w="109" w:type="dxa"/>
          <w:jc w:val="center"/>
        </w:trPr>
        <w:tc>
          <w:tcPr>
            <w:tcW w:w="1270" w:type="dxa"/>
            <w:gridSpan w:val="2"/>
          </w:tcPr>
          <w:p w14:paraId="34980EBF" w14:textId="77777777" w:rsidR="00F262EE" w:rsidRPr="006C6A2A" w:rsidRDefault="00F262EE" w:rsidP="00270E87">
            <w:pPr>
              <w:tabs>
                <w:tab w:val="left" w:pos="527"/>
              </w:tabs>
              <w:rPr>
                <w:rFonts w:ascii="Times New Roman" w:hAnsi="Times New Roman" w:cs="Times New Roman"/>
                <w:b/>
                <w:bCs/>
                <w:sz w:val="20"/>
                <w:szCs w:val="20"/>
              </w:rPr>
            </w:pPr>
          </w:p>
        </w:tc>
        <w:tc>
          <w:tcPr>
            <w:tcW w:w="2127" w:type="dxa"/>
            <w:gridSpan w:val="2"/>
          </w:tcPr>
          <w:p w14:paraId="487A8B1B" w14:textId="77777777" w:rsidR="00F262EE" w:rsidRPr="006C6A2A" w:rsidRDefault="00F262EE" w:rsidP="00270E87">
            <w:pPr>
              <w:tabs>
                <w:tab w:val="left" w:pos="527"/>
              </w:tabs>
              <w:jc w:val="center"/>
              <w:rPr>
                <w:rFonts w:ascii="Times New Roman" w:hAnsi="Times New Roman" w:cs="Times New Roman"/>
                <w:sz w:val="18"/>
                <w:szCs w:val="18"/>
                <w:lang w:val="es-ES"/>
              </w:rPr>
            </w:pPr>
          </w:p>
        </w:tc>
        <w:tc>
          <w:tcPr>
            <w:tcW w:w="850" w:type="dxa"/>
            <w:gridSpan w:val="2"/>
          </w:tcPr>
          <w:p w14:paraId="20375CDB" w14:textId="77777777" w:rsidR="00F262EE" w:rsidRPr="006C6A2A" w:rsidRDefault="00F262EE" w:rsidP="00270E87">
            <w:pPr>
              <w:jc w:val="center"/>
              <w:rPr>
                <w:rFonts w:ascii="Times New Roman" w:hAnsi="Times New Roman" w:cs="Times New Roman"/>
                <w:sz w:val="18"/>
                <w:szCs w:val="18"/>
                <w:lang w:val="es-ES"/>
              </w:rPr>
            </w:pPr>
          </w:p>
        </w:tc>
        <w:tc>
          <w:tcPr>
            <w:tcW w:w="1129" w:type="dxa"/>
            <w:gridSpan w:val="2"/>
          </w:tcPr>
          <w:p w14:paraId="06F2136E" w14:textId="77777777" w:rsidR="00F262EE" w:rsidRPr="006C6A2A" w:rsidRDefault="00F262EE" w:rsidP="00270E87">
            <w:pPr>
              <w:jc w:val="center"/>
              <w:rPr>
                <w:rFonts w:ascii="Times New Roman" w:hAnsi="Times New Roman" w:cs="Times New Roman"/>
                <w:sz w:val="18"/>
                <w:szCs w:val="18"/>
              </w:rPr>
            </w:pPr>
          </w:p>
        </w:tc>
        <w:tc>
          <w:tcPr>
            <w:tcW w:w="567" w:type="dxa"/>
            <w:gridSpan w:val="2"/>
          </w:tcPr>
          <w:p w14:paraId="0FE01C96" w14:textId="77777777" w:rsidR="00F262EE" w:rsidRPr="006C6A2A" w:rsidRDefault="00F262EE" w:rsidP="00270E87">
            <w:pPr>
              <w:jc w:val="center"/>
              <w:rPr>
                <w:rFonts w:ascii="Times New Roman" w:hAnsi="Times New Roman" w:cs="Times New Roman"/>
                <w:sz w:val="18"/>
                <w:szCs w:val="18"/>
              </w:rPr>
            </w:pPr>
          </w:p>
        </w:tc>
        <w:tc>
          <w:tcPr>
            <w:tcW w:w="1133" w:type="dxa"/>
            <w:gridSpan w:val="2"/>
          </w:tcPr>
          <w:p w14:paraId="23B54DC2" w14:textId="77777777" w:rsidR="00F262EE" w:rsidRPr="006C6A2A" w:rsidRDefault="00F262EE" w:rsidP="00270E87">
            <w:pPr>
              <w:jc w:val="center"/>
              <w:rPr>
                <w:rFonts w:ascii="Times New Roman" w:hAnsi="Times New Roman" w:cs="Times New Roman"/>
                <w:sz w:val="18"/>
                <w:szCs w:val="18"/>
              </w:rPr>
            </w:pPr>
          </w:p>
        </w:tc>
        <w:tc>
          <w:tcPr>
            <w:tcW w:w="1133" w:type="dxa"/>
          </w:tcPr>
          <w:p w14:paraId="7D74C5D8" w14:textId="77777777" w:rsidR="00F262EE" w:rsidRPr="006C6A2A" w:rsidRDefault="00F262EE" w:rsidP="00270E87">
            <w:pPr>
              <w:jc w:val="center"/>
              <w:rPr>
                <w:rFonts w:ascii="Times New Roman" w:hAnsi="Times New Roman" w:cs="Times New Roman"/>
                <w:sz w:val="18"/>
                <w:szCs w:val="18"/>
              </w:rPr>
            </w:pPr>
          </w:p>
        </w:tc>
        <w:tc>
          <w:tcPr>
            <w:tcW w:w="861" w:type="dxa"/>
          </w:tcPr>
          <w:p w14:paraId="03D6DC6B" w14:textId="77777777" w:rsidR="00F262EE" w:rsidRPr="006C6A2A" w:rsidRDefault="00F262EE" w:rsidP="00270E87">
            <w:pPr>
              <w:jc w:val="center"/>
              <w:rPr>
                <w:rFonts w:ascii="Times New Roman" w:hAnsi="Times New Roman" w:cs="Times New Roman"/>
                <w:sz w:val="18"/>
                <w:szCs w:val="18"/>
              </w:rPr>
            </w:pPr>
          </w:p>
        </w:tc>
        <w:tc>
          <w:tcPr>
            <w:tcW w:w="708" w:type="dxa"/>
            <w:gridSpan w:val="2"/>
          </w:tcPr>
          <w:p w14:paraId="64D2AC8A" w14:textId="77777777" w:rsidR="00F262EE" w:rsidRPr="006C6A2A" w:rsidRDefault="00F262EE" w:rsidP="00270E87">
            <w:pPr>
              <w:jc w:val="center"/>
              <w:rPr>
                <w:rFonts w:ascii="Times New Roman" w:hAnsi="Times New Roman" w:cs="Times New Roman"/>
                <w:sz w:val="18"/>
                <w:szCs w:val="18"/>
              </w:rPr>
            </w:pPr>
          </w:p>
        </w:tc>
        <w:tc>
          <w:tcPr>
            <w:tcW w:w="568" w:type="dxa"/>
          </w:tcPr>
          <w:p w14:paraId="013228C4" w14:textId="77777777" w:rsidR="00F262EE" w:rsidRPr="006C6A2A" w:rsidRDefault="00F262EE" w:rsidP="00270E87">
            <w:pPr>
              <w:jc w:val="center"/>
              <w:rPr>
                <w:rFonts w:ascii="Times New Roman" w:hAnsi="Times New Roman" w:cs="Times New Roman"/>
                <w:sz w:val="18"/>
                <w:szCs w:val="18"/>
              </w:rPr>
            </w:pPr>
          </w:p>
        </w:tc>
      </w:tr>
      <w:tr w:rsidR="005C7C84" w:rsidRPr="006C6A2A" w14:paraId="3F3D037A" w14:textId="77777777" w:rsidTr="00270E87">
        <w:trPr>
          <w:gridBefore w:val="1"/>
          <w:gridAfter w:val="1"/>
          <w:wBefore w:w="108" w:type="dxa"/>
          <w:wAfter w:w="109" w:type="dxa"/>
          <w:jc w:val="center"/>
        </w:trPr>
        <w:tc>
          <w:tcPr>
            <w:tcW w:w="1270" w:type="dxa"/>
            <w:gridSpan w:val="2"/>
          </w:tcPr>
          <w:p w14:paraId="7B3CCAE2"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hideMark/>
          </w:tcPr>
          <w:p w14:paraId="66402806" w14:textId="77777777" w:rsidR="005C7C84" w:rsidRPr="006C6A2A" w:rsidRDefault="005C7C84" w:rsidP="00270E87">
            <w:pPr>
              <w:tabs>
                <w:tab w:val="left" w:pos="527"/>
              </w:tabs>
              <w:jc w:val="center"/>
              <w:rPr>
                <w:rFonts w:ascii="Times New Roman" w:hAnsi="Times New Roman" w:cs="Times New Roman"/>
                <w:b/>
                <w:sz w:val="18"/>
                <w:szCs w:val="18"/>
              </w:rPr>
            </w:pPr>
            <w:r w:rsidRPr="006C6A2A">
              <w:rPr>
                <w:rFonts w:ascii="Times New Roman" w:hAnsi="Times New Roman" w:cs="Times New Roman"/>
                <w:sz w:val="18"/>
                <w:szCs w:val="18"/>
              </w:rPr>
              <w:t>Superior frontal gyrus (medial part)</w:t>
            </w:r>
          </w:p>
        </w:tc>
        <w:tc>
          <w:tcPr>
            <w:tcW w:w="850" w:type="dxa"/>
            <w:gridSpan w:val="2"/>
          </w:tcPr>
          <w:p w14:paraId="464C6BFC"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242</w:t>
            </w:r>
          </w:p>
        </w:tc>
        <w:tc>
          <w:tcPr>
            <w:tcW w:w="1129" w:type="dxa"/>
            <w:gridSpan w:val="2"/>
            <w:hideMark/>
          </w:tcPr>
          <w:p w14:paraId="7CD77B69"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97 (3)</w:t>
            </w:r>
          </w:p>
        </w:tc>
        <w:tc>
          <w:tcPr>
            <w:tcW w:w="567" w:type="dxa"/>
            <w:gridSpan w:val="2"/>
            <w:hideMark/>
          </w:tcPr>
          <w:p w14:paraId="71A65551"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L</w:t>
            </w:r>
          </w:p>
        </w:tc>
        <w:tc>
          <w:tcPr>
            <w:tcW w:w="1133" w:type="dxa"/>
            <w:gridSpan w:val="2"/>
          </w:tcPr>
          <w:p w14:paraId="1523ED1B"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4</w:t>
            </w:r>
          </w:p>
        </w:tc>
        <w:tc>
          <w:tcPr>
            <w:tcW w:w="1133" w:type="dxa"/>
          </w:tcPr>
          <w:p w14:paraId="1E4BCED9"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54</w:t>
            </w:r>
          </w:p>
        </w:tc>
        <w:tc>
          <w:tcPr>
            <w:tcW w:w="861" w:type="dxa"/>
          </w:tcPr>
          <w:p w14:paraId="5D4B0A7C"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38</w:t>
            </w:r>
          </w:p>
        </w:tc>
        <w:tc>
          <w:tcPr>
            <w:tcW w:w="1276" w:type="dxa"/>
            <w:gridSpan w:val="3"/>
          </w:tcPr>
          <w:p w14:paraId="22DE24F8"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12.12</w:t>
            </w:r>
          </w:p>
        </w:tc>
      </w:tr>
      <w:tr w:rsidR="005C7C84" w:rsidRPr="006C6A2A" w14:paraId="307D1E48" w14:textId="77777777" w:rsidTr="00270E87">
        <w:trPr>
          <w:gridBefore w:val="1"/>
          <w:gridAfter w:val="1"/>
          <w:wBefore w:w="108" w:type="dxa"/>
          <w:wAfter w:w="109" w:type="dxa"/>
          <w:jc w:val="center"/>
        </w:trPr>
        <w:tc>
          <w:tcPr>
            <w:tcW w:w="1270" w:type="dxa"/>
            <w:gridSpan w:val="2"/>
          </w:tcPr>
          <w:p w14:paraId="22BB40CE"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hideMark/>
          </w:tcPr>
          <w:p w14:paraId="04B1DE61" w14:textId="77777777" w:rsidR="005C7C84" w:rsidRPr="006C6A2A" w:rsidRDefault="005C7C84" w:rsidP="00270E87">
            <w:pPr>
              <w:tabs>
                <w:tab w:val="left" w:pos="527"/>
              </w:tabs>
              <w:jc w:val="center"/>
              <w:rPr>
                <w:rFonts w:ascii="Times New Roman" w:hAnsi="Times New Roman" w:cs="Times New Roman"/>
                <w:b/>
                <w:sz w:val="18"/>
                <w:szCs w:val="18"/>
              </w:rPr>
            </w:pPr>
            <w:r w:rsidRPr="006C6A2A">
              <w:rPr>
                <w:rFonts w:ascii="Times New Roman" w:hAnsi="Times New Roman" w:cs="Times New Roman"/>
                <w:sz w:val="18"/>
                <w:szCs w:val="18"/>
              </w:rPr>
              <w:t>Superior frontal gyrus (medial part)</w:t>
            </w:r>
          </w:p>
        </w:tc>
        <w:tc>
          <w:tcPr>
            <w:tcW w:w="850" w:type="dxa"/>
            <w:gridSpan w:val="2"/>
          </w:tcPr>
          <w:p w14:paraId="36ACE3EA" w14:textId="77777777" w:rsidR="005C7C84" w:rsidRPr="006C6A2A" w:rsidRDefault="005C7C84" w:rsidP="00270E87">
            <w:pPr>
              <w:jc w:val="center"/>
              <w:rPr>
                <w:rFonts w:ascii="Times New Roman" w:hAnsi="Times New Roman" w:cs="Times New Roman"/>
                <w:sz w:val="18"/>
                <w:szCs w:val="18"/>
              </w:rPr>
            </w:pPr>
          </w:p>
        </w:tc>
        <w:tc>
          <w:tcPr>
            <w:tcW w:w="1129" w:type="dxa"/>
            <w:gridSpan w:val="2"/>
            <w:hideMark/>
          </w:tcPr>
          <w:p w14:paraId="21B05616"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63 (3)</w:t>
            </w:r>
          </w:p>
        </w:tc>
        <w:tc>
          <w:tcPr>
            <w:tcW w:w="567" w:type="dxa"/>
            <w:gridSpan w:val="2"/>
            <w:hideMark/>
          </w:tcPr>
          <w:p w14:paraId="04E347D0"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R</w:t>
            </w:r>
          </w:p>
        </w:tc>
        <w:tc>
          <w:tcPr>
            <w:tcW w:w="1133" w:type="dxa"/>
            <w:gridSpan w:val="2"/>
          </w:tcPr>
          <w:p w14:paraId="1E46A46C" w14:textId="77777777" w:rsidR="005C7C84" w:rsidRPr="006C6A2A" w:rsidRDefault="005C7C84" w:rsidP="00270E87">
            <w:pPr>
              <w:jc w:val="center"/>
              <w:rPr>
                <w:rFonts w:ascii="Times New Roman" w:hAnsi="Times New Roman" w:cs="Times New Roman"/>
                <w:sz w:val="18"/>
                <w:szCs w:val="18"/>
              </w:rPr>
            </w:pPr>
          </w:p>
        </w:tc>
        <w:tc>
          <w:tcPr>
            <w:tcW w:w="1133" w:type="dxa"/>
          </w:tcPr>
          <w:p w14:paraId="171E7D02" w14:textId="77777777" w:rsidR="005C7C84" w:rsidRPr="006C6A2A" w:rsidRDefault="005C7C84" w:rsidP="00270E87">
            <w:pPr>
              <w:jc w:val="center"/>
              <w:rPr>
                <w:rFonts w:ascii="Times New Roman" w:hAnsi="Times New Roman" w:cs="Times New Roman"/>
                <w:sz w:val="18"/>
                <w:szCs w:val="18"/>
              </w:rPr>
            </w:pPr>
          </w:p>
        </w:tc>
        <w:tc>
          <w:tcPr>
            <w:tcW w:w="861" w:type="dxa"/>
          </w:tcPr>
          <w:p w14:paraId="07AE6AEE" w14:textId="77777777" w:rsidR="005C7C84" w:rsidRPr="006C6A2A" w:rsidRDefault="005C7C84" w:rsidP="00270E87">
            <w:pPr>
              <w:jc w:val="center"/>
              <w:rPr>
                <w:rFonts w:ascii="Times New Roman" w:hAnsi="Times New Roman" w:cs="Times New Roman"/>
                <w:sz w:val="18"/>
                <w:szCs w:val="18"/>
              </w:rPr>
            </w:pPr>
          </w:p>
        </w:tc>
        <w:tc>
          <w:tcPr>
            <w:tcW w:w="708" w:type="dxa"/>
            <w:gridSpan w:val="2"/>
          </w:tcPr>
          <w:p w14:paraId="4948DE96" w14:textId="77777777" w:rsidR="005C7C84" w:rsidRPr="006C6A2A" w:rsidRDefault="005C7C84" w:rsidP="00270E87">
            <w:pPr>
              <w:jc w:val="center"/>
              <w:rPr>
                <w:rFonts w:ascii="Times New Roman" w:hAnsi="Times New Roman" w:cs="Times New Roman"/>
                <w:sz w:val="18"/>
                <w:szCs w:val="18"/>
              </w:rPr>
            </w:pPr>
          </w:p>
        </w:tc>
        <w:tc>
          <w:tcPr>
            <w:tcW w:w="568" w:type="dxa"/>
          </w:tcPr>
          <w:p w14:paraId="0B900E31" w14:textId="77777777" w:rsidR="005C7C84" w:rsidRPr="006C6A2A" w:rsidRDefault="005C7C84" w:rsidP="00270E87">
            <w:pPr>
              <w:jc w:val="center"/>
              <w:rPr>
                <w:rFonts w:ascii="Times New Roman" w:hAnsi="Times New Roman" w:cs="Times New Roman"/>
                <w:sz w:val="18"/>
                <w:szCs w:val="18"/>
              </w:rPr>
            </w:pPr>
          </w:p>
        </w:tc>
      </w:tr>
      <w:tr w:rsidR="005C7C84" w:rsidRPr="006C6A2A" w14:paraId="7B21201A" w14:textId="77777777" w:rsidTr="00270E87">
        <w:trPr>
          <w:gridBefore w:val="1"/>
          <w:gridAfter w:val="1"/>
          <w:wBefore w:w="108" w:type="dxa"/>
          <w:wAfter w:w="109" w:type="dxa"/>
          <w:jc w:val="center"/>
        </w:trPr>
        <w:tc>
          <w:tcPr>
            <w:tcW w:w="1270" w:type="dxa"/>
            <w:gridSpan w:val="2"/>
          </w:tcPr>
          <w:p w14:paraId="4AFF77A3"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hideMark/>
          </w:tcPr>
          <w:p w14:paraId="459D8CFE" w14:textId="77777777" w:rsidR="005C7C84" w:rsidRPr="006C6A2A" w:rsidRDefault="005C7C84" w:rsidP="00270E87">
            <w:pPr>
              <w:tabs>
                <w:tab w:val="left" w:pos="527"/>
              </w:tabs>
              <w:jc w:val="center"/>
              <w:rPr>
                <w:rFonts w:ascii="Times New Roman" w:hAnsi="Times New Roman" w:cs="Times New Roman"/>
                <w:b/>
                <w:sz w:val="18"/>
                <w:szCs w:val="18"/>
              </w:rPr>
            </w:pPr>
          </w:p>
        </w:tc>
        <w:tc>
          <w:tcPr>
            <w:tcW w:w="850" w:type="dxa"/>
            <w:gridSpan w:val="2"/>
          </w:tcPr>
          <w:p w14:paraId="4836D1E0" w14:textId="77777777" w:rsidR="005C7C84" w:rsidRPr="006C6A2A" w:rsidRDefault="005C7C84" w:rsidP="00270E87">
            <w:pPr>
              <w:jc w:val="center"/>
              <w:rPr>
                <w:rFonts w:ascii="Times New Roman" w:hAnsi="Times New Roman" w:cs="Times New Roman"/>
                <w:sz w:val="18"/>
                <w:szCs w:val="18"/>
              </w:rPr>
            </w:pPr>
          </w:p>
        </w:tc>
        <w:tc>
          <w:tcPr>
            <w:tcW w:w="1129" w:type="dxa"/>
            <w:gridSpan w:val="2"/>
          </w:tcPr>
          <w:p w14:paraId="7A1E63E6" w14:textId="77777777" w:rsidR="005C7C84" w:rsidRPr="006C6A2A" w:rsidRDefault="005C7C84" w:rsidP="00270E87">
            <w:pPr>
              <w:jc w:val="center"/>
              <w:rPr>
                <w:rFonts w:ascii="Times New Roman" w:hAnsi="Times New Roman" w:cs="Times New Roman"/>
                <w:sz w:val="18"/>
                <w:szCs w:val="18"/>
              </w:rPr>
            </w:pPr>
          </w:p>
        </w:tc>
        <w:tc>
          <w:tcPr>
            <w:tcW w:w="567" w:type="dxa"/>
            <w:gridSpan w:val="2"/>
          </w:tcPr>
          <w:p w14:paraId="7AEB7379" w14:textId="77777777" w:rsidR="005C7C84" w:rsidRPr="006C6A2A" w:rsidRDefault="005C7C84" w:rsidP="00270E87">
            <w:pPr>
              <w:jc w:val="center"/>
              <w:rPr>
                <w:rFonts w:ascii="Times New Roman" w:hAnsi="Times New Roman" w:cs="Times New Roman"/>
                <w:sz w:val="18"/>
                <w:szCs w:val="18"/>
              </w:rPr>
            </w:pPr>
          </w:p>
        </w:tc>
        <w:tc>
          <w:tcPr>
            <w:tcW w:w="1133" w:type="dxa"/>
            <w:gridSpan w:val="2"/>
          </w:tcPr>
          <w:p w14:paraId="35B9F227" w14:textId="77777777" w:rsidR="005C7C84" w:rsidRPr="006C6A2A" w:rsidRDefault="005C7C84" w:rsidP="00270E87">
            <w:pPr>
              <w:jc w:val="center"/>
              <w:rPr>
                <w:rFonts w:ascii="Times New Roman" w:hAnsi="Times New Roman" w:cs="Times New Roman"/>
                <w:sz w:val="18"/>
                <w:szCs w:val="18"/>
              </w:rPr>
            </w:pPr>
          </w:p>
        </w:tc>
        <w:tc>
          <w:tcPr>
            <w:tcW w:w="1133" w:type="dxa"/>
          </w:tcPr>
          <w:p w14:paraId="398B8C1F" w14:textId="77777777" w:rsidR="005C7C84" w:rsidRPr="006C6A2A" w:rsidRDefault="005C7C84" w:rsidP="00270E87">
            <w:pPr>
              <w:jc w:val="center"/>
              <w:rPr>
                <w:rFonts w:ascii="Times New Roman" w:hAnsi="Times New Roman" w:cs="Times New Roman"/>
                <w:sz w:val="18"/>
                <w:szCs w:val="18"/>
              </w:rPr>
            </w:pPr>
          </w:p>
        </w:tc>
        <w:tc>
          <w:tcPr>
            <w:tcW w:w="861" w:type="dxa"/>
          </w:tcPr>
          <w:p w14:paraId="398B65D1" w14:textId="77777777" w:rsidR="005C7C84" w:rsidRPr="006C6A2A" w:rsidRDefault="005C7C84" w:rsidP="00270E87">
            <w:pPr>
              <w:jc w:val="center"/>
              <w:rPr>
                <w:rFonts w:ascii="Times New Roman" w:hAnsi="Times New Roman" w:cs="Times New Roman"/>
                <w:sz w:val="18"/>
                <w:szCs w:val="18"/>
              </w:rPr>
            </w:pPr>
          </w:p>
        </w:tc>
        <w:tc>
          <w:tcPr>
            <w:tcW w:w="708" w:type="dxa"/>
            <w:gridSpan w:val="2"/>
          </w:tcPr>
          <w:p w14:paraId="33CDD3A0" w14:textId="77777777" w:rsidR="005C7C84" w:rsidRPr="006C6A2A" w:rsidRDefault="005C7C84" w:rsidP="00270E87">
            <w:pPr>
              <w:jc w:val="center"/>
              <w:rPr>
                <w:rFonts w:ascii="Times New Roman" w:hAnsi="Times New Roman" w:cs="Times New Roman"/>
                <w:sz w:val="18"/>
                <w:szCs w:val="18"/>
              </w:rPr>
            </w:pPr>
          </w:p>
        </w:tc>
        <w:tc>
          <w:tcPr>
            <w:tcW w:w="568" w:type="dxa"/>
          </w:tcPr>
          <w:p w14:paraId="7A3C6CA6" w14:textId="77777777" w:rsidR="005C7C84" w:rsidRPr="006C6A2A" w:rsidRDefault="005C7C84" w:rsidP="00270E87">
            <w:pPr>
              <w:jc w:val="center"/>
              <w:rPr>
                <w:rFonts w:ascii="Times New Roman" w:hAnsi="Times New Roman" w:cs="Times New Roman"/>
                <w:sz w:val="18"/>
                <w:szCs w:val="18"/>
              </w:rPr>
            </w:pPr>
          </w:p>
        </w:tc>
      </w:tr>
      <w:tr w:rsidR="005C7C84" w:rsidRPr="006C6A2A" w14:paraId="327A4509" w14:textId="77777777" w:rsidTr="00270E87">
        <w:trPr>
          <w:gridBefore w:val="1"/>
          <w:gridAfter w:val="1"/>
          <w:wBefore w:w="108" w:type="dxa"/>
          <w:wAfter w:w="109" w:type="dxa"/>
          <w:jc w:val="center"/>
        </w:trPr>
        <w:tc>
          <w:tcPr>
            <w:tcW w:w="1270" w:type="dxa"/>
            <w:gridSpan w:val="2"/>
          </w:tcPr>
          <w:p w14:paraId="40D972C4"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hideMark/>
          </w:tcPr>
          <w:p w14:paraId="7114A3A4" w14:textId="77777777" w:rsidR="005C7C84" w:rsidRPr="006C6A2A" w:rsidRDefault="005C7C84" w:rsidP="00270E87">
            <w:pPr>
              <w:tabs>
                <w:tab w:val="left" w:pos="527"/>
              </w:tabs>
              <w:jc w:val="center"/>
              <w:rPr>
                <w:rFonts w:ascii="Times New Roman" w:hAnsi="Times New Roman" w:cs="Times New Roman"/>
                <w:bCs/>
                <w:sz w:val="18"/>
                <w:szCs w:val="18"/>
              </w:rPr>
            </w:pPr>
            <w:r w:rsidRPr="006C6A2A">
              <w:rPr>
                <w:rFonts w:ascii="Times New Roman" w:hAnsi="Times New Roman" w:cs="Times New Roman"/>
                <w:bCs/>
                <w:sz w:val="18"/>
                <w:szCs w:val="18"/>
              </w:rPr>
              <w:t>Supramarginal gyrus</w:t>
            </w:r>
          </w:p>
        </w:tc>
        <w:tc>
          <w:tcPr>
            <w:tcW w:w="850" w:type="dxa"/>
            <w:gridSpan w:val="2"/>
          </w:tcPr>
          <w:p w14:paraId="3FD6ADA2"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194</w:t>
            </w:r>
          </w:p>
        </w:tc>
        <w:tc>
          <w:tcPr>
            <w:tcW w:w="1129" w:type="dxa"/>
            <w:gridSpan w:val="2"/>
            <w:hideMark/>
          </w:tcPr>
          <w:p w14:paraId="29CFFECA"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141 (11)</w:t>
            </w:r>
          </w:p>
        </w:tc>
        <w:tc>
          <w:tcPr>
            <w:tcW w:w="567" w:type="dxa"/>
            <w:gridSpan w:val="2"/>
            <w:hideMark/>
          </w:tcPr>
          <w:p w14:paraId="2B6E442E"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L</w:t>
            </w:r>
          </w:p>
        </w:tc>
        <w:tc>
          <w:tcPr>
            <w:tcW w:w="1133" w:type="dxa"/>
            <w:gridSpan w:val="2"/>
          </w:tcPr>
          <w:p w14:paraId="403A6669"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-52</w:t>
            </w:r>
          </w:p>
        </w:tc>
        <w:tc>
          <w:tcPr>
            <w:tcW w:w="1133" w:type="dxa"/>
          </w:tcPr>
          <w:p w14:paraId="1B77B1D9"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-28</w:t>
            </w:r>
          </w:p>
        </w:tc>
        <w:tc>
          <w:tcPr>
            <w:tcW w:w="861" w:type="dxa"/>
          </w:tcPr>
          <w:p w14:paraId="59EE944B"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22</w:t>
            </w:r>
          </w:p>
        </w:tc>
        <w:tc>
          <w:tcPr>
            <w:tcW w:w="1276" w:type="dxa"/>
            <w:gridSpan w:val="3"/>
          </w:tcPr>
          <w:p w14:paraId="30BBDF82" w14:textId="77777777" w:rsidR="005C7C84" w:rsidRPr="006C6A2A" w:rsidRDefault="005C7C84" w:rsidP="00270E87">
            <w:pPr>
              <w:jc w:val="center"/>
              <w:rPr>
                <w:rFonts w:ascii="Times New Roman" w:hAnsi="Times New Roman" w:cs="Times New Roman"/>
                <w:sz w:val="18"/>
                <w:szCs w:val="18"/>
              </w:rPr>
            </w:pPr>
            <w:r w:rsidRPr="006C6A2A">
              <w:rPr>
                <w:rFonts w:ascii="Times New Roman" w:hAnsi="Times New Roman" w:cs="Times New Roman"/>
                <w:sz w:val="18"/>
                <w:szCs w:val="18"/>
              </w:rPr>
              <w:t>13.61</w:t>
            </w:r>
          </w:p>
        </w:tc>
      </w:tr>
      <w:tr w:rsidR="005C7C84" w:rsidRPr="006C6A2A" w14:paraId="182D923A" w14:textId="77777777" w:rsidTr="00270E87">
        <w:trPr>
          <w:gridBefore w:val="1"/>
          <w:gridAfter w:val="1"/>
          <w:wBefore w:w="108" w:type="dxa"/>
          <w:wAfter w:w="109" w:type="dxa"/>
          <w:jc w:val="center"/>
        </w:trPr>
        <w:tc>
          <w:tcPr>
            <w:tcW w:w="1270" w:type="dxa"/>
            <w:gridSpan w:val="2"/>
            <w:tcBorders>
              <w:bottom w:val="single" w:sz="4" w:space="0" w:color="auto"/>
            </w:tcBorders>
          </w:tcPr>
          <w:p w14:paraId="17B736B3" w14:textId="77777777" w:rsidR="005C7C84" w:rsidRPr="006C6A2A" w:rsidRDefault="005C7C84" w:rsidP="00270E87">
            <w:pPr>
              <w:tabs>
                <w:tab w:val="left" w:pos="527"/>
              </w:tabs>
              <w:rPr>
                <w:rFonts w:ascii="Times New Roman" w:hAnsi="Times New Roman" w:cs="Times New Roman"/>
                <w:b/>
                <w:bCs/>
                <w:sz w:val="20"/>
                <w:szCs w:val="20"/>
              </w:rPr>
            </w:pPr>
          </w:p>
        </w:tc>
        <w:tc>
          <w:tcPr>
            <w:tcW w:w="2127" w:type="dxa"/>
            <w:gridSpan w:val="2"/>
            <w:tcBorders>
              <w:bottom w:val="single" w:sz="4" w:space="0" w:color="auto"/>
            </w:tcBorders>
          </w:tcPr>
          <w:p w14:paraId="6ABA2EFE" w14:textId="77777777" w:rsidR="005C7C84" w:rsidRPr="006C6A2A" w:rsidRDefault="005C7C84" w:rsidP="00270E87">
            <w:pPr>
              <w:tabs>
                <w:tab w:val="left" w:pos="527"/>
              </w:tabs>
              <w:jc w:val="center"/>
              <w:rPr>
                <w:rFonts w:ascii="Times New Roman" w:hAnsi="Times New Roman" w:cs="Times New Roman"/>
                <w:b/>
                <w:sz w:val="18"/>
                <w:szCs w:val="18"/>
              </w:rPr>
            </w:pPr>
          </w:p>
        </w:tc>
        <w:tc>
          <w:tcPr>
            <w:tcW w:w="850" w:type="dxa"/>
            <w:gridSpan w:val="2"/>
            <w:tcBorders>
              <w:bottom w:val="single" w:sz="4" w:space="0" w:color="auto"/>
            </w:tcBorders>
          </w:tcPr>
          <w:p w14:paraId="03A9A86F" w14:textId="77777777" w:rsidR="005C7C84" w:rsidRPr="006C6A2A" w:rsidRDefault="005C7C84" w:rsidP="00270E87">
            <w:pPr>
              <w:jc w:val="center"/>
              <w:rPr>
                <w:rFonts w:ascii="Times New Roman" w:hAnsi="Times New Roman" w:cs="Times New Roman"/>
                <w:sz w:val="18"/>
                <w:szCs w:val="18"/>
              </w:rPr>
            </w:pPr>
          </w:p>
        </w:tc>
        <w:tc>
          <w:tcPr>
            <w:tcW w:w="1129" w:type="dxa"/>
            <w:gridSpan w:val="2"/>
            <w:tcBorders>
              <w:bottom w:val="single" w:sz="4" w:space="0" w:color="auto"/>
            </w:tcBorders>
          </w:tcPr>
          <w:p w14:paraId="1EAF5BDB" w14:textId="77777777" w:rsidR="005C7C84" w:rsidRPr="006C6A2A" w:rsidRDefault="005C7C84" w:rsidP="00270E87">
            <w:pPr>
              <w:jc w:val="center"/>
              <w:rPr>
                <w:rFonts w:ascii="Times New Roman" w:hAnsi="Times New Roman" w:cs="Times New Roman"/>
                <w:sz w:val="18"/>
                <w:szCs w:val="18"/>
              </w:rPr>
            </w:pPr>
          </w:p>
        </w:tc>
        <w:tc>
          <w:tcPr>
            <w:tcW w:w="567" w:type="dxa"/>
            <w:gridSpan w:val="2"/>
            <w:tcBorders>
              <w:bottom w:val="single" w:sz="4" w:space="0" w:color="auto"/>
            </w:tcBorders>
          </w:tcPr>
          <w:p w14:paraId="48639682" w14:textId="77777777" w:rsidR="005C7C84" w:rsidRPr="006C6A2A" w:rsidRDefault="005C7C84" w:rsidP="00270E87">
            <w:pPr>
              <w:jc w:val="center"/>
              <w:rPr>
                <w:rFonts w:ascii="Times New Roman" w:hAnsi="Times New Roman" w:cs="Times New Roman"/>
                <w:sz w:val="18"/>
                <w:szCs w:val="18"/>
              </w:rPr>
            </w:pPr>
          </w:p>
        </w:tc>
        <w:tc>
          <w:tcPr>
            <w:tcW w:w="1133" w:type="dxa"/>
            <w:gridSpan w:val="2"/>
            <w:tcBorders>
              <w:bottom w:val="single" w:sz="4" w:space="0" w:color="auto"/>
            </w:tcBorders>
          </w:tcPr>
          <w:p w14:paraId="2F91CAAD" w14:textId="77777777" w:rsidR="005C7C84" w:rsidRPr="006C6A2A" w:rsidRDefault="005C7C84" w:rsidP="00270E87">
            <w:pPr>
              <w:jc w:val="center"/>
              <w:rPr>
                <w:rFonts w:ascii="Times New Roman" w:hAnsi="Times New Roman" w:cs="Times New Roman"/>
                <w:sz w:val="18"/>
                <w:szCs w:val="18"/>
              </w:rPr>
            </w:pPr>
          </w:p>
        </w:tc>
        <w:tc>
          <w:tcPr>
            <w:tcW w:w="1133" w:type="dxa"/>
            <w:tcBorders>
              <w:bottom w:val="single" w:sz="4" w:space="0" w:color="auto"/>
            </w:tcBorders>
          </w:tcPr>
          <w:p w14:paraId="07191356" w14:textId="77777777" w:rsidR="005C7C84" w:rsidRPr="006C6A2A" w:rsidRDefault="005C7C84" w:rsidP="00270E87">
            <w:pPr>
              <w:jc w:val="center"/>
              <w:rPr>
                <w:rFonts w:ascii="Times New Roman" w:hAnsi="Times New Roman" w:cs="Times New Roman"/>
                <w:sz w:val="18"/>
                <w:szCs w:val="18"/>
              </w:rPr>
            </w:pPr>
          </w:p>
        </w:tc>
        <w:tc>
          <w:tcPr>
            <w:tcW w:w="861" w:type="dxa"/>
            <w:tcBorders>
              <w:bottom w:val="single" w:sz="4" w:space="0" w:color="auto"/>
            </w:tcBorders>
          </w:tcPr>
          <w:p w14:paraId="68077E77" w14:textId="77777777" w:rsidR="005C7C84" w:rsidRPr="006C6A2A" w:rsidRDefault="005C7C84" w:rsidP="00270E87">
            <w:pPr>
              <w:jc w:val="center"/>
              <w:rPr>
                <w:rFonts w:ascii="Times New Roman" w:hAnsi="Times New Roman" w:cs="Times New Roman"/>
                <w:sz w:val="18"/>
                <w:szCs w:val="18"/>
              </w:rPr>
            </w:pPr>
          </w:p>
        </w:tc>
        <w:tc>
          <w:tcPr>
            <w:tcW w:w="708" w:type="dxa"/>
            <w:gridSpan w:val="2"/>
            <w:tcBorders>
              <w:bottom w:val="single" w:sz="4" w:space="0" w:color="auto"/>
            </w:tcBorders>
          </w:tcPr>
          <w:p w14:paraId="028B8C3A" w14:textId="77777777" w:rsidR="005C7C84" w:rsidRPr="006C6A2A" w:rsidRDefault="005C7C84" w:rsidP="00270E87">
            <w:pPr>
              <w:jc w:val="center"/>
              <w:rPr>
                <w:rFonts w:ascii="Times New Roman" w:hAnsi="Times New Roman" w:cs="Times New Roman"/>
                <w:sz w:val="18"/>
                <w:szCs w:val="18"/>
              </w:rPr>
            </w:pPr>
          </w:p>
        </w:tc>
        <w:tc>
          <w:tcPr>
            <w:tcW w:w="568" w:type="dxa"/>
            <w:tcBorders>
              <w:bottom w:val="single" w:sz="4" w:space="0" w:color="auto"/>
            </w:tcBorders>
          </w:tcPr>
          <w:p w14:paraId="3E8F3D40" w14:textId="77777777" w:rsidR="005C7C84" w:rsidRPr="006C6A2A" w:rsidRDefault="005C7C84" w:rsidP="00270E87">
            <w:pPr>
              <w:jc w:val="center"/>
              <w:rPr>
                <w:rFonts w:ascii="Times New Roman" w:hAnsi="Times New Roman" w:cs="Times New Roman"/>
                <w:sz w:val="18"/>
                <w:szCs w:val="18"/>
              </w:rPr>
            </w:pPr>
          </w:p>
        </w:tc>
      </w:tr>
      <w:tr w:rsidR="005C7C84" w:rsidRPr="006C6A2A" w14:paraId="697A34FA" w14:textId="77777777" w:rsidTr="00270E87">
        <w:trPr>
          <w:gridBefore w:val="1"/>
          <w:gridAfter w:val="1"/>
          <w:wBefore w:w="108" w:type="dxa"/>
          <w:wAfter w:w="109" w:type="dxa"/>
          <w:jc w:val="center"/>
        </w:trPr>
        <w:tc>
          <w:tcPr>
            <w:tcW w:w="568" w:type="dxa"/>
            <w:tcBorders>
              <w:top w:val="single" w:sz="4" w:space="0" w:color="auto"/>
            </w:tcBorders>
          </w:tcPr>
          <w:p w14:paraId="274F7A9D" w14:textId="77777777" w:rsidR="005C7C84" w:rsidRPr="006C6A2A" w:rsidRDefault="005C7C84" w:rsidP="00270E87">
            <w:pPr>
              <w:jc w:val="both"/>
              <w:rPr>
                <w:rFonts w:ascii="Times New Roman" w:hAnsi="Times New Roman" w:cs="Times New Roman"/>
                <w:b/>
                <w:sz w:val="18"/>
                <w:szCs w:val="18"/>
                <w:lang w:val="es-ES"/>
              </w:rPr>
            </w:pPr>
          </w:p>
        </w:tc>
        <w:tc>
          <w:tcPr>
            <w:tcW w:w="9778" w:type="dxa"/>
            <w:gridSpan w:val="16"/>
            <w:tcBorders>
              <w:top w:val="single" w:sz="4" w:space="0" w:color="auto"/>
            </w:tcBorders>
          </w:tcPr>
          <w:p w14:paraId="2F1F8DB6" w14:textId="77777777" w:rsidR="005C7C84" w:rsidRPr="006C6A2A" w:rsidRDefault="005C7C84" w:rsidP="00270E87">
            <w:pPr>
              <w:jc w:val="both"/>
              <w:rPr>
                <w:rFonts w:ascii="Times New Roman" w:hAnsi="Times New Roman" w:cs="Times New Roman"/>
                <w:b/>
                <w:sz w:val="18"/>
                <w:szCs w:val="18"/>
                <w:lang w:val="en-GB"/>
              </w:rPr>
            </w:pPr>
          </w:p>
          <w:p w14:paraId="688C4D31" w14:textId="10DF6217" w:rsidR="005C7C84" w:rsidRPr="006C6A2A" w:rsidRDefault="005C7C84" w:rsidP="00270E87">
            <w:pPr>
              <w:jc w:val="both"/>
              <w:rPr>
                <w:rFonts w:ascii="Times New Roman" w:hAnsi="Times New Roman" w:cs="Times New Roman"/>
              </w:rPr>
            </w:pPr>
            <w:r w:rsidRPr="006C6A2A">
              <w:rPr>
                <w:rFonts w:ascii="Times New Roman" w:hAnsi="Times New Roman" w:cs="Times New Roman"/>
                <w:b/>
              </w:rPr>
              <w:t>Keywords:</w:t>
            </w:r>
            <w:r w:rsidRPr="006C6A2A">
              <w:rPr>
                <w:rFonts w:ascii="Times New Roman" w:hAnsi="Times New Roman" w:cs="Times New Roman"/>
              </w:rPr>
              <w:t xml:space="preserve"> </w:t>
            </w:r>
            <w:r w:rsidRPr="006C6A2A">
              <w:rPr>
                <w:rFonts w:ascii="Times New Roman" w:hAnsi="Times New Roman" w:cs="Times New Roman"/>
                <w:b/>
              </w:rPr>
              <w:t>L/R</w:t>
            </w:r>
            <w:r w:rsidRPr="006C6A2A">
              <w:rPr>
                <w:rFonts w:ascii="Times New Roman" w:hAnsi="Times New Roman" w:cs="Times New Roman"/>
              </w:rPr>
              <w:t xml:space="preserve">: Left or right hemisphere; </w:t>
            </w:r>
            <w:r w:rsidRPr="006C6A2A">
              <w:rPr>
                <w:rFonts w:ascii="Times New Roman" w:hAnsi="Times New Roman" w:cs="Times New Roman"/>
                <w:b/>
              </w:rPr>
              <w:t>MNI</w:t>
            </w:r>
            <w:r w:rsidRPr="006C6A2A">
              <w:rPr>
                <w:rFonts w:ascii="Times New Roman" w:hAnsi="Times New Roman" w:cs="Times New Roman"/>
              </w:rPr>
              <w:t xml:space="preserve">: Montreal Neurological Institute coordinates. Results are significant at p &lt; 0.05 FWE &amp; FDR cluster-corrected in a combination with a threshold of p &lt; 0.001 at the uncorrected voxel level. </w:t>
            </w:r>
            <w:r w:rsidRPr="006C6A2A">
              <w:rPr>
                <w:rFonts w:ascii="Times New Roman" w:hAnsi="Times New Roman" w:cs="Times New Roman"/>
                <w:color w:val="000000" w:themeColor="text1"/>
              </w:rPr>
              <w:t>Only brain regions with &gt;1% cluster overlap were presented.</w:t>
            </w:r>
          </w:p>
        </w:tc>
      </w:tr>
    </w:tbl>
    <w:p w14:paraId="69D03E96" w14:textId="77777777" w:rsidR="005C7C84" w:rsidRPr="006C6A2A" w:rsidRDefault="005C7C84" w:rsidP="005C7C84">
      <w:pPr>
        <w:rPr>
          <w:rFonts w:ascii="Times New Roman" w:hAnsi="Times New Roman" w:cs="Times New Roman"/>
        </w:rPr>
      </w:pPr>
    </w:p>
    <w:p w14:paraId="2D650697" w14:textId="77777777" w:rsidR="002A2980" w:rsidRPr="006C6A2A" w:rsidRDefault="002A2980" w:rsidP="005C7C84">
      <w:pPr>
        <w:rPr>
          <w:rFonts w:ascii="Times New Roman" w:hAnsi="Times New Roman" w:cs="Times New Roman"/>
        </w:rPr>
      </w:pPr>
    </w:p>
    <w:sectPr w:rsidR="002A2980" w:rsidRPr="006C6A2A" w:rsidSect="00A7257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7C84"/>
    <w:rsid w:val="00020468"/>
    <w:rsid w:val="00085786"/>
    <w:rsid w:val="000F19D6"/>
    <w:rsid w:val="00103918"/>
    <w:rsid w:val="001604F1"/>
    <w:rsid w:val="00192EB1"/>
    <w:rsid w:val="001C163A"/>
    <w:rsid w:val="001F20A7"/>
    <w:rsid w:val="00214650"/>
    <w:rsid w:val="00270E87"/>
    <w:rsid w:val="002A2980"/>
    <w:rsid w:val="002D5746"/>
    <w:rsid w:val="00396609"/>
    <w:rsid w:val="00401D5A"/>
    <w:rsid w:val="004308D0"/>
    <w:rsid w:val="00437F37"/>
    <w:rsid w:val="004E4227"/>
    <w:rsid w:val="005623E2"/>
    <w:rsid w:val="00572EC3"/>
    <w:rsid w:val="005813FA"/>
    <w:rsid w:val="005C7C84"/>
    <w:rsid w:val="005D3050"/>
    <w:rsid w:val="00630E3B"/>
    <w:rsid w:val="006B40E6"/>
    <w:rsid w:val="006C6A2A"/>
    <w:rsid w:val="007102A5"/>
    <w:rsid w:val="00767063"/>
    <w:rsid w:val="008201EE"/>
    <w:rsid w:val="008B2155"/>
    <w:rsid w:val="008B64AA"/>
    <w:rsid w:val="008C607A"/>
    <w:rsid w:val="00907AC1"/>
    <w:rsid w:val="00975BDE"/>
    <w:rsid w:val="00A15504"/>
    <w:rsid w:val="00A72578"/>
    <w:rsid w:val="00BB5C33"/>
    <w:rsid w:val="00BF1C5F"/>
    <w:rsid w:val="00C24E52"/>
    <w:rsid w:val="00D57D37"/>
    <w:rsid w:val="00E45358"/>
    <w:rsid w:val="00EF3578"/>
    <w:rsid w:val="00F06745"/>
    <w:rsid w:val="00F262EE"/>
    <w:rsid w:val="00F5126C"/>
    <w:rsid w:val="00F54554"/>
    <w:rsid w:val="00F8169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716E8C"/>
  <w15:docId w15:val="{4318B2AD-AED4-47AC-8A60-2F583D14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7C84"/>
    <w:rPr>
      <w:kern w:val="0"/>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C7C84"/>
    <w:rPr>
      <w:color w:val="0000FF"/>
      <w:u w:val="single"/>
    </w:rPr>
  </w:style>
  <w:style w:type="paragraph" w:styleId="NormalWeb">
    <w:name w:val="Normal (Web)"/>
    <w:basedOn w:val="Normal"/>
    <w:uiPriority w:val="99"/>
    <w:unhideWhenUsed/>
    <w:rsid w:val="005C7C84"/>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5C7C84"/>
    <w:rPr>
      <w:sz w:val="16"/>
      <w:szCs w:val="16"/>
    </w:rPr>
  </w:style>
  <w:style w:type="paragraph" w:styleId="Textocomentario">
    <w:name w:val="annotation text"/>
    <w:basedOn w:val="Normal"/>
    <w:link w:val="TextocomentarioCar"/>
    <w:uiPriority w:val="99"/>
    <w:unhideWhenUsed/>
    <w:rsid w:val="005C7C84"/>
    <w:pPr>
      <w:spacing w:line="240" w:lineRule="auto"/>
    </w:pPr>
    <w:rPr>
      <w:sz w:val="20"/>
      <w:szCs w:val="20"/>
      <w:lang w:val="en-GB"/>
    </w:rPr>
  </w:style>
  <w:style w:type="character" w:customStyle="1" w:styleId="TextocomentarioCar">
    <w:name w:val="Texto comentario Car"/>
    <w:basedOn w:val="Fuentedeprrafopredeter"/>
    <w:link w:val="Textocomentario"/>
    <w:uiPriority w:val="99"/>
    <w:rsid w:val="005C7C84"/>
    <w:rPr>
      <w:kern w:val="0"/>
      <w:sz w:val="20"/>
      <w:szCs w:val="20"/>
      <w:lang w:val="en-GB"/>
      <w14:ligatures w14:val="none"/>
    </w:rPr>
  </w:style>
  <w:style w:type="table" w:styleId="Tablaconcuadrcula">
    <w:name w:val="Table Grid"/>
    <w:basedOn w:val="Tablanormal"/>
    <w:uiPriority w:val="39"/>
    <w:rsid w:val="005C7C8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4308D0"/>
    <w:pPr>
      <w:spacing w:after="0" w:line="240" w:lineRule="auto"/>
    </w:pPr>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4308D0"/>
    <w:rPr>
      <w:rFonts w:ascii="Lucida Grande" w:hAnsi="Lucida Grande" w:cs="Lucida Grande"/>
      <w:kern w:val="0"/>
      <w:sz w:val="18"/>
      <w:szCs w:val="18"/>
      <w:lang w:val="en-US"/>
      <w14:ligatures w14:val="none"/>
    </w:rPr>
  </w:style>
  <w:style w:type="paragraph" w:styleId="Asuntodelcomentario">
    <w:name w:val="annotation subject"/>
    <w:basedOn w:val="Textocomentario"/>
    <w:next w:val="Textocomentario"/>
    <w:link w:val="AsuntodelcomentarioCar"/>
    <w:uiPriority w:val="99"/>
    <w:semiHidden/>
    <w:unhideWhenUsed/>
    <w:rsid w:val="004308D0"/>
    <w:rPr>
      <w:b/>
      <w:bCs/>
      <w:lang w:val="en-US"/>
    </w:rPr>
  </w:style>
  <w:style w:type="character" w:customStyle="1" w:styleId="AsuntodelcomentarioCar">
    <w:name w:val="Asunto del comentario Car"/>
    <w:basedOn w:val="TextocomentarioCar"/>
    <w:link w:val="Asuntodelcomentario"/>
    <w:uiPriority w:val="99"/>
    <w:semiHidden/>
    <w:rsid w:val="004308D0"/>
    <w:rPr>
      <w:b/>
      <w:bCs/>
      <w:kern w:val="0"/>
      <w:sz w:val="20"/>
      <w:szCs w:val="20"/>
      <w:lang w:val="en-US"/>
      <w14:ligatures w14:val="none"/>
    </w:rPr>
  </w:style>
  <w:style w:type="character" w:customStyle="1" w:styleId="captions">
    <w:name w:val="captions"/>
    <w:basedOn w:val="Fuentedeprrafopredeter"/>
    <w:rsid w:val="002A2980"/>
  </w:style>
  <w:style w:type="character" w:styleId="Textodelmarcadordeposicin">
    <w:name w:val="Placeholder Text"/>
    <w:basedOn w:val="Fuentedeprrafopredeter"/>
    <w:uiPriority w:val="99"/>
    <w:semiHidden/>
    <w:rsid w:val="00BF1C5F"/>
    <w:rPr>
      <w:color w:val="666666"/>
    </w:rPr>
  </w:style>
  <w:style w:type="paragraph" w:styleId="Revisin">
    <w:name w:val="Revision"/>
    <w:hidden/>
    <w:uiPriority w:val="99"/>
    <w:semiHidden/>
    <w:rsid w:val="000F19D6"/>
    <w:pPr>
      <w:spacing w:after="0" w:line="240" w:lineRule="auto"/>
    </w:pPr>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69874">
      <w:bodyDiv w:val="1"/>
      <w:marLeft w:val="0"/>
      <w:marRight w:val="0"/>
      <w:marTop w:val="0"/>
      <w:marBottom w:val="0"/>
      <w:divBdr>
        <w:top w:val="none" w:sz="0" w:space="0" w:color="auto"/>
        <w:left w:val="none" w:sz="0" w:space="0" w:color="auto"/>
        <w:bottom w:val="none" w:sz="0" w:space="0" w:color="auto"/>
        <w:right w:val="none" w:sz="0" w:space="0" w:color="auto"/>
      </w:divBdr>
    </w:div>
    <w:div w:id="151680345">
      <w:bodyDiv w:val="1"/>
      <w:marLeft w:val="0"/>
      <w:marRight w:val="0"/>
      <w:marTop w:val="0"/>
      <w:marBottom w:val="0"/>
      <w:divBdr>
        <w:top w:val="none" w:sz="0" w:space="0" w:color="auto"/>
        <w:left w:val="none" w:sz="0" w:space="0" w:color="auto"/>
        <w:bottom w:val="none" w:sz="0" w:space="0" w:color="auto"/>
        <w:right w:val="none" w:sz="0" w:space="0" w:color="auto"/>
      </w:divBdr>
    </w:div>
    <w:div w:id="165632517">
      <w:bodyDiv w:val="1"/>
      <w:marLeft w:val="0"/>
      <w:marRight w:val="0"/>
      <w:marTop w:val="0"/>
      <w:marBottom w:val="0"/>
      <w:divBdr>
        <w:top w:val="none" w:sz="0" w:space="0" w:color="auto"/>
        <w:left w:val="none" w:sz="0" w:space="0" w:color="auto"/>
        <w:bottom w:val="none" w:sz="0" w:space="0" w:color="auto"/>
        <w:right w:val="none" w:sz="0" w:space="0" w:color="auto"/>
      </w:divBdr>
    </w:div>
    <w:div w:id="347176327">
      <w:bodyDiv w:val="1"/>
      <w:marLeft w:val="0"/>
      <w:marRight w:val="0"/>
      <w:marTop w:val="0"/>
      <w:marBottom w:val="0"/>
      <w:divBdr>
        <w:top w:val="none" w:sz="0" w:space="0" w:color="auto"/>
        <w:left w:val="none" w:sz="0" w:space="0" w:color="auto"/>
        <w:bottom w:val="none" w:sz="0" w:space="0" w:color="auto"/>
        <w:right w:val="none" w:sz="0" w:space="0" w:color="auto"/>
      </w:divBdr>
    </w:div>
    <w:div w:id="364868283">
      <w:bodyDiv w:val="1"/>
      <w:marLeft w:val="0"/>
      <w:marRight w:val="0"/>
      <w:marTop w:val="0"/>
      <w:marBottom w:val="0"/>
      <w:divBdr>
        <w:top w:val="none" w:sz="0" w:space="0" w:color="auto"/>
        <w:left w:val="none" w:sz="0" w:space="0" w:color="auto"/>
        <w:bottom w:val="none" w:sz="0" w:space="0" w:color="auto"/>
        <w:right w:val="none" w:sz="0" w:space="0" w:color="auto"/>
      </w:divBdr>
    </w:div>
    <w:div w:id="765225565">
      <w:bodyDiv w:val="1"/>
      <w:marLeft w:val="0"/>
      <w:marRight w:val="0"/>
      <w:marTop w:val="0"/>
      <w:marBottom w:val="0"/>
      <w:divBdr>
        <w:top w:val="none" w:sz="0" w:space="0" w:color="auto"/>
        <w:left w:val="none" w:sz="0" w:space="0" w:color="auto"/>
        <w:bottom w:val="none" w:sz="0" w:space="0" w:color="auto"/>
        <w:right w:val="none" w:sz="0" w:space="0" w:color="auto"/>
      </w:divBdr>
    </w:div>
    <w:div w:id="838931732">
      <w:bodyDiv w:val="1"/>
      <w:marLeft w:val="0"/>
      <w:marRight w:val="0"/>
      <w:marTop w:val="0"/>
      <w:marBottom w:val="0"/>
      <w:divBdr>
        <w:top w:val="none" w:sz="0" w:space="0" w:color="auto"/>
        <w:left w:val="none" w:sz="0" w:space="0" w:color="auto"/>
        <w:bottom w:val="none" w:sz="0" w:space="0" w:color="auto"/>
        <w:right w:val="none" w:sz="0" w:space="0" w:color="auto"/>
      </w:divBdr>
    </w:div>
    <w:div w:id="885484859">
      <w:bodyDiv w:val="1"/>
      <w:marLeft w:val="0"/>
      <w:marRight w:val="0"/>
      <w:marTop w:val="0"/>
      <w:marBottom w:val="0"/>
      <w:divBdr>
        <w:top w:val="none" w:sz="0" w:space="0" w:color="auto"/>
        <w:left w:val="none" w:sz="0" w:space="0" w:color="auto"/>
        <w:bottom w:val="none" w:sz="0" w:space="0" w:color="auto"/>
        <w:right w:val="none" w:sz="0" w:space="0" w:color="auto"/>
      </w:divBdr>
    </w:div>
    <w:div w:id="960696650">
      <w:bodyDiv w:val="1"/>
      <w:marLeft w:val="0"/>
      <w:marRight w:val="0"/>
      <w:marTop w:val="0"/>
      <w:marBottom w:val="0"/>
      <w:divBdr>
        <w:top w:val="none" w:sz="0" w:space="0" w:color="auto"/>
        <w:left w:val="none" w:sz="0" w:space="0" w:color="auto"/>
        <w:bottom w:val="none" w:sz="0" w:space="0" w:color="auto"/>
        <w:right w:val="none" w:sz="0" w:space="0" w:color="auto"/>
      </w:divBdr>
    </w:div>
    <w:div w:id="1134518777">
      <w:bodyDiv w:val="1"/>
      <w:marLeft w:val="0"/>
      <w:marRight w:val="0"/>
      <w:marTop w:val="0"/>
      <w:marBottom w:val="0"/>
      <w:divBdr>
        <w:top w:val="none" w:sz="0" w:space="0" w:color="auto"/>
        <w:left w:val="none" w:sz="0" w:space="0" w:color="auto"/>
        <w:bottom w:val="none" w:sz="0" w:space="0" w:color="auto"/>
        <w:right w:val="none" w:sz="0" w:space="0" w:color="auto"/>
      </w:divBdr>
    </w:div>
    <w:div w:id="1225486745">
      <w:bodyDiv w:val="1"/>
      <w:marLeft w:val="0"/>
      <w:marRight w:val="0"/>
      <w:marTop w:val="0"/>
      <w:marBottom w:val="0"/>
      <w:divBdr>
        <w:top w:val="none" w:sz="0" w:space="0" w:color="auto"/>
        <w:left w:val="none" w:sz="0" w:space="0" w:color="auto"/>
        <w:bottom w:val="none" w:sz="0" w:space="0" w:color="auto"/>
        <w:right w:val="none" w:sz="0" w:space="0" w:color="auto"/>
      </w:divBdr>
    </w:div>
    <w:div w:id="1329019997">
      <w:bodyDiv w:val="1"/>
      <w:marLeft w:val="0"/>
      <w:marRight w:val="0"/>
      <w:marTop w:val="0"/>
      <w:marBottom w:val="0"/>
      <w:divBdr>
        <w:top w:val="none" w:sz="0" w:space="0" w:color="auto"/>
        <w:left w:val="none" w:sz="0" w:space="0" w:color="auto"/>
        <w:bottom w:val="none" w:sz="0" w:space="0" w:color="auto"/>
        <w:right w:val="none" w:sz="0" w:space="0" w:color="auto"/>
      </w:divBdr>
    </w:div>
    <w:div w:id="1333995575">
      <w:bodyDiv w:val="1"/>
      <w:marLeft w:val="0"/>
      <w:marRight w:val="0"/>
      <w:marTop w:val="0"/>
      <w:marBottom w:val="0"/>
      <w:divBdr>
        <w:top w:val="none" w:sz="0" w:space="0" w:color="auto"/>
        <w:left w:val="none" w:sz="0" w:space="0" w:color="auto"/>
        <w:bottom w:val="none" w:sz="0" w:space="0" w:color="auto"/>
        <w:right w:val="none" w:sz="0" w:space="0" w:color="auto"/>
      </w:divBdr>
    </w:div>
    <w:div w:id="1351905955">
      <w:bodyDiv w:val="1"/>
      <w:marLeft w:val="0"/>
      <w:marRight w:val="0"/>
      <w:marTop w:val="0"/>
      <w:marBottom w:val="0"/>
      <w:divBdr>
        <w:top w:val="none" w:sz="0" w:space="0" w:color="auto"/>
        <w:left w:val="none" w:sz="0" w:space="0" w:color="auto"/>
        <w:bottom w:val="none" w:sz="0" w:space="0" w:color="auto"/>
        <w:right w:val="none" w:sz="0" w:space="0" w:color="auto"/>
      </w:divBdr>
    </w:div>
    <w:div w:id="1643774174">
      <w:bodyDiv w:val="1"/>
      <w:marLeft w:val="0"/>
      <w:marRight w:val="0"/>
      <w:marTop w:val="0"/>
      <w:marBottom w:val="0"/>
      <w:divBdr>
        <w:top w:val="none" w:sz="0" w:space="0" w:color="auto"/>
        <w:left w:val="none" w:sz="0" w:space="0" w:color="auto"/>
        <w:bottom w:val="none" w:sz="0" w:space="0" w:color="auto"/>
        <w:right w:val="none" w:sz="0" w:space="0" w:color="auto"/>
      </w:divBdr>
    </w:div>
    <w:div w:id="1689018381">
      <w:bodyDiv w:val="1"/>
      <w:marLeft w:val="0"/>
      <w:marRight w:val="0"/>
      <w:marTop w:val="0"/>
      <w:marBottom w:val="0"/>
      <w:divBdr>
        <w:top w:val="none" w:sz="0" w:space="0" w:color="auto"/>
        <w:left w:val="none" w:sz="0" w:space="0" w:color="auto"/>
        <w:bottom w:val="none" w:sz="0" w:space="0" w:color="auto"/>
        <w:right w:val="none" w:sz="0" w:space="0" w:color="auto"/>
      </w:divBdr>
      <w:divsChild>
        <w:div w:id="553584650">
          <w:marLeft w:val="0"/>
          <w:marRight w:val="0"/>
          <w:marTop w:val="0"/>
          <w:marBottom w:val="0"/>
          <w:divBdr>
            <w:top w:val="none" w:sz="0" w:space="0" w:color="auto"/>
            <w:left w:val="none" w:sz="0" w:space="0" w:color="auto"/>
            <w:bottom w:val="none" w:sz="0" w:space="0" w:color="auto"/>
            <w:right w:val="none" w:sz="0" w:space="0" w:color="auto"/>
          </w:divBdr>
        </w:div>
        <w:div w:id="2014523444">
          <w:marLeft w:val="0"/>
          <w:marRight w:val="0"/>
          <w:marTop w:val="0"/>
          <w:marBottom w:val="0"/>
          <w:divBdr>
            <w:top w:val="none" w:sz="0" w:space="0" w:color="auto"/>
            <w:left w:val="none" w:sz="0" w:space="0" w:color="auto"/>
            <w:bottom w:val="none" w:sz="0" w:space="0" w:color="auto"/>
            <w:right w:val="none" w:sz="0" w:space="0" w:color="auto"/>
          </w:divBdr>
        </w:div>
        <w:div w:id="1062292833">
          <w:marLeft w:val="0"/>
          <w:marRight w:val="0"/>
          <w:marTop w:val="0"/>
          <w:marBottom w:val="0"/>
          <w:divBdr>
            <w:top w:val="none" w:sz="0" w:space="0" w:color="auto"/>
            <w:left w:val="none" w:sz="0" w:space="0" w:color="auto"/>
            <w:bottom w:val="none" w:sz="0" w:space="0" w:color="auto"/>
            <w:right w:val="none" w:sz="0" w:space="0" w:color="auto"/>
          </w:divBdr>
        </w:div>
        <w:div w:id="396511150">
          <w:marLeft w:val="0"/>
          <w:marRight w:val="0"/>
          <w:marTop w:val="0"/>
          <w:marBottom w:val="0"/>
          <w:divBdr>
            <w:top w:val="none" w:sz="0" w:space="0" w:color="auto"/>
            <w:left w:val="none" w:sz="0" w:space="0" w:color="auto"/>
            <w:bottom w:val="none" w:sz="0" w:space="0" w:color="auto"/>
            <w:right w:val="none" w:sz="0" w:space="0" w:color="auto"/>
          </w:divBdr>
        </w:div>
        <w:div w:id="124545925">
          <w:marLeft w:val="0"/>
          <w:marRight w:val="0"/>
          <w:marTop w:val="0"/>
          <w:marBottom w:val="0"/>
          <w:divBdr>
            <w:top w:val="none" w:sz="0" w:space="0" w:color="auto"/>
            <w:left w:val="none" w:sz="0" w:space="0" w:color="auto"/>
            <w:bottom w:val="none" w:sz="0" w:space="0" w:color="auto"/>
            <w:right w:val="none" w:sz="0" w:space="0" w:color="auto"/>
          </w:divBdr>
        </w:div>
        <w:div w:id="8606006">
          <w:marLeft w:val="0"/>
          <w:marRight w:val="0"/>
          <w:marTop w:val="0"/>
          <w:marBottom w:val="0"/>
          <w:divBdr>
            <w:top w:val="none" w:sz="0" w:space="0" w:color="auto"/>
            <w:left w:val="none" w:sz="0" w:space="0" w:color="auto"/>
            <w:bottom w:val="none" w:sz="0" w:space="0" w:color="auto"/>
            <w:right w:val="none" w:sz="0" w:space="0" w:color="auto"/>
          </w:divBdr>
        </w:div>
        <w:div w:id="409428739">
          <w:marLeft w:val="0"/>
          <w:marRight w:val="0"/>
          <w:marTop w:val="0"/>
          <w:marBottom w:val="0"/>
          <w:divBdr>
            <w:top w:val="none" w:sz="0" w:space="0" w:color="auto"/>
            <w:left w:val="none" w:sz="0" w:space="0" w:color="auto"/>
            <w:bottom w:val="none" w:sz="0" w:space="0" w:color="auto"/>
            <w:right w:val="none" w:sz="0" w:space="0" w:color="auto"/>
          </w:divBdr>
        </w:div>
        <w:div w:id="195508921">
          <w:marLeft w:val="0"/>
          <w:marRight w:val="0"/>
          <w:marTop w:val="0"/>
          <w:marBottom w:val="0"/>
          <w:divBdr>
            <w:top w:val="none" w:sz="0" w:space="0" w:color="auto"/>
            <w:left w:val="none" w:sz="0" w:space="0" w:color="auto"/>
            <w:bottom w:val="none" w:sz="0" w:space="0" w:color="auto"/>
            <w:right w:val="none" w:sz="0" w:space="0" w:color="auto"/>
          </w:divBdr>
        </w:div>
      </w:divsChild>
    </w:div>
    <w:div w:id="1709799241">
      <w:bodyDiv w:val="1"/>
      <w:marLeft w:val="0"/>
      <w:marRight w:val="0"/>
      <w:marTop w:val="0"/>
      <w:marBottom w:val="0"/>
      <w:divBdr>
        <w:top w:val="none" w:sz="0" w:space="0" w:color="auto"/>
        <w:left w:val="none" w:sz="0" w:space="0" w:color="auto"/>
        <w:bottom w:val="none" w:sz="0" w:space="0" w:color="auto"/>
        <w:right w:val="none" w:sz="0" w:space="0" w:color="auto"/>
      </w:divBdr>
    </w:div>
    <w:div w:id="1926917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0FE99EE-B03F-432D-9CB4-C595A44C6DD0}">
  <we:reference id="f78a3046-9e99-4300-aa2b-5814002b01a2" version="1.55.1.0" store="EXCatalog" storeType="EXCatalog"/>
  <we:alternateReferences>
    <we:reference id="WA104382081" version="1.55.1.0" store="es-ES" storeType="OMEX"/>
  </we:alternateReferences>
  <we:properties>
    <we:property name="MENDELEY_CITATIONS" value="[{&quot;citationID&quot;:&quot;MENDELEY_CITATION_d3d1daf8-9170-4e6c-a135-f3d3030b3a1a&quot;,&quot;properties&quot;:{&quot;noteIndex&quot;:0},&quot;isEdited&quot;:false,&quot;manualOverride&quot;:{&quot;isManuallyOverridden&quot;:false,&quot;citeprocText&quot;:&quot;(Whitfield-Gabrieli and Nieto-Castanon, 2012)&quot;,&quot;manualOverrideText&quot;:&quot;&quot;},&quot;citationTag&quot;:&quot;MENDELEY_CITATION_v3_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&quot;,&quot;citationItems&quot;:[{&quot;id&quot;:&quot;5a546c10-3dcb-3b50-aec3-b900550a0a5d&quot;,&quot;itemData&quot;:{&quot;type&quot;:&quot;article-journal&quot;,&quot;id&quot;:&quot;5a546c10-3dcb-3b50-aec3-b900550a0a5d&quot;,&quot;title&quot;:&quot;Conn :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title-short&quot;:&quot;Conn&quot;,&quot;container-title&quot;:&quot;Brain Connectivity&quot;,&quot;container-title-short&quot;:&quot;Brain Connect&quot;,&quot;DOI&quot;:&quot;10.1089/brain.2012.0073&quot;,&quot;ISSN&quot;:&quot;2158-0014, 2158-0022&quot;,&quot;URL&quot;:&quot;http://www.liebertpub.com/doi/10.1089/brain.2012.0073&quot;,&quot;issued&quot;:{&quot;date-parts&quot;:[[2012,6]]},&quot;page&quot;:&quot;125-141&quot;,&quot;language&quot;:&quot;en&quot;,&quot;abstract&quot;:&quot;Resting state functional connectivity reveals intrinsic, spontaneous networks that elucidate the functional architecture of the human brain. However, valid statistical analysis used to identify such networks must address sources of noise in order to avoid possible confounds such as spurious correlations based on non-neuronal sources. We have developed a functional connectivity toolbox Conn (www.nitrc.org/projects/conn) that implements the component-based noise correction method (CompCor) strategy for physiological and other noise source reduction, additional removal of movement, and temporal covariates, temporal ﬁltering and windowing of the residual blood oxygen level-dependent (BOLD) contrast signal, ﬁrst-level estimation of multiple standard functional connectivity magnetic resonance imaging (fcMRI) measures, and second-level random-effect analysis for resting state as well as task-related data. Compared to methods that rely on global signal regression, the CompCor noise reduction method allows for interpretation of anticorrelations as there is no regression of the global signal. The toolbox implements fcMRI measures, such as estimation of seed-to-voxel and region of interest (ROI)-to-ROI functional correlations, as well as semipartial correlation and bivariate/multivariate regression analysis for multiple ROI sources, graph theoretical analysis, and novel voxel-to-voxel analysis of functional connectivity. We describe the methods implemented in the Conn toolbox for the analysis of fcMRI data, together with examples of use and interscan reliability estimates of all the implemented fcMRI measures. The results indicate that the CompCor method increases the sensitivity and selectivity of fcMRI analysis, and show a high degree of interscan reliability for many fcMRI measures.&quot;,&quot;issue&quot;:&quot;3&quot;,&quot;volume&quot;:&quot;2&quot;},&quot;isTemporary&quot;:false}]},{&quot;citationID&quot;:&quot;MENDELEY_CITATION_9c3308a6-d665-44e7-939b-08c9024f974b&quot;,&quot;properties&quot;:{&quot;noteIndex&quot;:0},&quot;isEdited&quot;:false,&quot;manualOverride&quot;:{&quot;isManuallyOverridden&quot;:false,&quot;citeprocText&quot;:&quot;(Behzadi &lt;i&gt;et al.&lt;/i&gt;, 2007)&quot;,&quot;manualOverrideText&quot;:&quot;&quot;},&quot;citationTag&quot;:&quot;MENDELEY_CITATION_v3_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&quot;,&quot;citationItems&quot;:[{&quot;id&quot;:&quot;062daa09-ee2f-3eef-b717-915567abb96e&quot;,&quot;itemData&quot;:{&quot;type&quot;:&quot;article-journal&quot;,&quot;id&quot;:&quot;062daa09-ee2f-3eef-b717-915567abb96e&quot;,&quot;title&quot;:&quot;A component based noise correction method (CompCor) for BOLD and perfusion based fMRI&quot;,&quot;author&quot;:[{&quot;family&quot;:&quot;Behzadi&quot;,&quot;given&quot;:&quot;Yashar&quot;,&quot;parse-names&quot;:false,&quot;dropping-particle&quot;:&quot;&quot;,&quot;non-dropping-particle&quot;:&quot;&quot;},{&quot;family&quot;:&quot;Restom&quot;,&quot;given&quot;:&quot;Khaled&quot;,&quot;parse-names&quot;:false,&quot;dropping-particle&quot;:&quot;&quot;,&quot;non-dropping-particle&quot;:&quot;&quot;},{&quot;family&quot;:&quot;Liau&quot;,&quot;given&quot;:&quot;Joy&quot;,&quot;parse-names&quot;:false,&quot;dropping-particle&quot;:&quot;&quot;,&quot;non-dropping-particle&quot;:&quot;&quot;},{&quot;family&quot;:&quot;Liu&quot;,&quot;given&quot;:&quot;Thomas T&quot;,&quot;parse-names&quot;:false,&quot;dropping-particle&quot;:&quot;&quot;,&quot;non-dropping-particle&quot;:&quot;&quot;}],&quot;container-title&quot;:&quot;NeuroImage&quot;,&quot;container-title-short&quot;:&quot;Neuroimage&quot;,&quot;DOI&quot;:&quot;10.1016/j.neuroimage.2007.04.042&quot;,&quot;ISSN&quot;:&quot;1053-8119&quot;,&quot;URL&quot;:&quot;https://www.sciencedirect.com/science/article/pii/S1053811907003837&quot;,&quot;issued&quot;:{&quot;date-parts&quot;:[[2007,8]]},&quot;page&quot;:&quot;90-101&quot;,&quot;language&quot;:&quot;en&quot;,&quot;abstract&quot;:&quot;A component based method (CompCor) for the reduction of noise in both blood oxygenation level-dependent (BOLD) and perfusion-based functional magnetic resonance imaging (fMRI) data is presented. In the proposed method, significant principal components are derived from noise regions-of-interest (ROI) in which the time series data are unlikely to be modulated by neural activity. These components are then included as nuisance parameters within general linear models for BOLD and perfusion-based fMRI time series data. Two approaches for the determination of the noise ROI are considered. The first method uses high-resolution anatomical data to define a region of interest composed primarily of white matter and cerebrospinal fluid, while the second method defines a region based upon the temporal standard deviation of the time series data. With the application of CompCor, the temporal standard deviation of resting-state perfusion and BOLD data in gray matter regions was significantly reduced as compared to either no correction or the application of a previously described retrospective image based correction scheme (RETROICOR). For both functional perfusion and BOLD data, the application of CompCor significantly increased the number of activated voxels as compared to no correction. In addition, for functional BOLD data, there were significantly more activated voxels detected with CompCor as compared to RETROICOR. In comparison to RETROICOR, CompCor has the advantage of not requiring external monitoring of physiological fluctuations.&quot;,&quot;issue&quot;:&quot;1&quot;,&quot;volume&quot;:&quot;37&quot;},&quot;isTemporary&quot;:false}]},{&quot;citationID&quot;:&quot;MENDELEY_CITATION_64705bc3-76c1-46ee-a15a-2bbb6e5eed14&quot;,&quot;properties&quot;:{&quot;noteIndex&quot;:0},&quot;isEdited&quot;:false,&quot;manualOverride&quot;:{&quot;isManuallyOverridden&quot;:false,&quot;citeprocText&quot;:&quot;(Chai &lt;i&gt;et al.&lt;/i&gt;, 2012)&quot;,&quot;manualOverrideText&quot;:&quot;&quot;},&quot;citationTag&quot;:&quot;MENDELEY_CITATION_v3_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&quot;,&quot;citationItems&quot;:[{&quot;id&quot;:&quot;26ca33b5-e557-3f7a-a514-2e5290834cfa&quot;,&quot;itemData&quot;:{&quot;type&quot;:&quot;article-journal&quot;,&quot;id&quot;:&quot;26ca33b5-e557-3f7a-a514-2e5290834cfa&quot;,&quot;title&quot;:&quot;Anticorrelations in resting state networks without global signal regression&quot;,&quot;author&quot;:[{&quot;family&quot;:&quot;Chai&quot;,&quot;given&quot;:&quot;Xiaoqian J&quot;,&quot;parse-names&quot;:false,&quot;dropping-particle&quot;:&quot;&quot;,&quot;non-dropping-particle&quot;:&quot;&quot;},{&quot;family&quot;:&quot;Castañón&quot;,&quot;given&quot;:&quot;Alfonso Nieto&quot;,&quot;parse-names&quot;:false,&quot;dropping-particle&quot;:&quot;&quot;,&quot;non-dropping-particle&quot;:&quot;&quot;},{&quot;family&quot;:&quot;Öngür&quot;,&quot;given&quot;:&quot;Dost&quot;,&quot;parse-names&quot;:false,&quot;dropping-particle&quot;:&quot;&quot;,&quot;non-dropping-particle&quot;:&quot;&quot;},{&quot;family&quot;:&quot;Whitfield-Gabrieli&quot;,&quot;given&quot;:&quot;Susan&quot;,&quot;parse-names&quot;:false,&quot;dropping-particle&quot;:&quot;&quot;,&quot;non-dropping-particle&quot;:&quot;&quot;}],&quot;container-title&quot;:&quot;NeuroImage&quot;,&quot;container-title-short&quot;:&quot;Neuroimage&quot;,&quot;DOI&quot;:&quot;10.1016/j.neuroimage.2011.08.048&quot;,&quot;ISSN&quot;:&quot;1053-8119&quot;,&quot;URL&quot;:&quot;https://www.sciencedirect.com/science/article/pii/S1053811911009657&quot;,&quot;issued&quot;:{&quot;date-parts&quot;:[[2012,1]]},&quot;page&quot;:&quot;1420-1428&quot;,&quot;language&quot;:&quot;en&quot;,&quot;abstract&quot;:&quot;Anticorrelated relationships in spontaneous signal fluctuation have been previously observed in resting-state functional magnetic resonance imaging (fMRI). In particular, it was proposed that there exists two systems in the brain that are intrinsically organized into anticorrelated networks, the default mode network, which usually exhibits task-related deactivations, and the task-positive network, which usually exhibits task-related activations during tasks that demands external attention. However, it is currently under debate whether the anticorrelations observed in resting state fMRI were valid or were instead artificially introduced by global signal regression, a common preprocessing technique to remove physiological and other noise in resting-state fMRI signal. We examined positive and negative correlations in resting-state connectivity using two different preprocessing methods: a component base noise reduction method (CompCor, Behzadi et al., 2007), in which principal components from noise regions-of-interest were removed, and the global signal regression method. Robust anticorrelations between a default mode network seed region in the medial prefrontal cortex and regions of the task-positive network were observed under both methods. Specificity of the anticorrelations was similar between the two methods. Specificity and sensitivity for positive correlations were higher under CompCor compared to the global regression method. Our results suggest that anticorrelations observed in resting-state connectivity are not an artifact introduced by global signal regression and might have biological origins, and that the CompCor method can be used to examine valid anticorrelations during rest.&quot;,&quot;issue&quot;:&quot;2&quot;,&quot;volume&quot;:&quot;59&quot;},&quot;isTemporary&quot;:false}]},{&quot;citationID&quot;:&quot;MENDELEY_CITATION_af2a0cc4-0bbe-4cc8-a6ae-a0e0cd2a7c65&quot;,&quot;properties&quot;:{&quot;noteIndex&quot;:0},&quot;isEdited&quot;:false,&quot;manualOverride&quot;:{&quot;isManuallyOverridden&quot;:false,&quot;citeprocText&quot;:&quot;(Whitfield-Gabrieli and Nieto-Castanon, 2012; Shirer &lt;i&gt;et al.&lt;/i&gt;, 2015)&quot;,&quot;manualOverrideText&quot;:&quot;&quot;},&quot;citationTag&quot;:&quot;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&quot;,&quot;citationItems&quot;:[{&quot;id&quot;:&quot;10151141-abaa-3dab-8695-354a55f4bc2b&quot;,&quot;itemData&quot;:{&quot;type&quot;:&quot;article-journal&quot;,&quot;id&quot;:&quot;10151141-abaa-3dab-8695-354a55f4bc2b&quot;,&quot;title&quot;:&quot;Optimization of rs-fMRI Pre-processing for Enhanced Signal-Noise Separation, Test-Retest Reliability, and Group Discrimination&quot;,&quot;author&quot;:[{&quot;family&quot;:&quot;Shirer&quot;,&quot;given&quot;:&quot;William R&quot;,&quot;parse-names&quot;:false,&quot;dropping-particle&quot;:&quot;&quot;,&quot;non-dropping-particle&quot;:&quot;&quot;},{&quot;family&quot;:&quot;Jiang&quot;,&quot;given&quot;:&quot;Heidi&quot;,&quot;parse-names&quot;:false,&quot;dropping-particle&quot;:&quot;&quot;,&quot;non-dropping-particle&quot;:&quot;&quot;},{&quot;family&quot;:&quot;Price&quot;,&quot;given&quot;:&quot;Collin M&quot;,&quot;parse-names&quot;:false,&quot;dropping-particle&quot;:&quot;&quot;,&quot;non-dropping-particle&quot;:&quot;&quot;},{&quot;family&quot;:&quot;Ng&quot;,&quot;given&quot;:&quot;Bernard&quot;,&quot;parse-names&quot;:false,&quot;dropping-particle&quot;:&quot;&quot;,&quot;non-dropping-particle&quot;:&quot;&quot;},{&quot;family&quot;:&quot;Greicius&quot;,&quot;given&quot;:&quot;Michael D&quot;,&quot;parse-names&quot;:false,&quot;dropping-particle&quot;:&quot;&quot;,&quot;non-dropping-particle&quot;:&quot;&quot;}],&quot;container-title&quot;:&quot;NeuroImage&quot;,&quot;container-title-short&quot;:&quot;Neuroimage&quot;,&quot;DOI&quot;:&quot;10.1016/j.neuroimage.2015.05.015&quot;,&quot;ISSN&quot;:&quot;10538119&quot;,&quot;URL&quot;:&quot;https://linkinghub.elsevier.com/retrieve/pii/S105381191500395X&quot;,&quot;issued&quot;:{&quot;date-parts&quot;:[[2015,8]]},&quot;page&quot;:&quot;67-79&quot;,&quot;language&quot;:&quot;en&quot;,&quot;abstract&quot;:&quot;Resting-state functional magnetic resonance imaging (rs-fMRI) has become an increasingly important tool in mapping the functional networks of the brain. This tool has been used to examine network changes induced by cognitive and emotional states, neurological traits, and neuropsychiatric disorders. However, noise that remains in the rs-fMRI data after preprocessing has limited the reliability of individual-subject results, wherein scanner artifacts, subject movements, and other noise sources induce non-neural temporal correlations in the blood oxygen level-dependent (BOLD) timeseries. Numerous preprocessing methods have been proposed to isolate and remove these confounds; however, the field has not coalesced around a standard preprocessing pipeline. In comparisons, preprocessing these methods are often assessed with only a single metric of rs-fMRI data quality, such as reliability, without considering other aspects in tandem, such as signal-to-noise ratio and group discriminability. The present study seeks to identify the data preprocessing pipeline that optimizes rs-fMRI data across multiple outcome measures. Specifically, we aim to minimize the noise in the data and maximize result reliability, while retaining the unique features that characterize distinct groups. We examine how these metrics are influenced by bandpass filter selection and noise regression in four datasets, totaling 181 rs-fMRI scans and 38 subject-driven memory scans. Additionally, we perform two different rs-fMRI analysis methods – dual regression and region-of-interest based functional connectivity – and highlight the preprocessing parameters that optimize both approaches. Our results expand upon previous reports of individual-scan reliability, and demonstrate that preprocessing parameter selection can significantly change the noisiness, reliability, and heterogeneity of rs-fMRI data. The application of our findings to rs-fMRI data analysis should improve the validity and reliability of rs-fMRI results, both at the individual-subject level and the group level.&quot;,&quot;volume&quot;:&quot;117&quot;},&quot;isTemporary&quot;:false},{&quot;id&quot;:&quot;5a546c10-3dcb-3b50-aec3-b900550a0a5d&quot;,&quot;itemData&quot;:{&quot;type&quot;:&quot;article-journal&quot;,&quot;id&quot;:&quot;5a546c10-3dcb-3b50-aec3-b900550a0a5d&quot;,&quot;title&quot;:&quot;Conn : A Functional Connectivity Toolbox for Correlated and Anticorrelated Brain Networks&quot;,&quot;author&quot;:[{&quot;family&quot;:&quot;Whitfield-Gabrieli&quot;,&quot;given&quot;:&quot;Susan&quot;,&quot;parse-names&quot;:false,&quot;dropping-particle&quot;:&quot;&quot;,&quot;non-dropping-particle&quot;:&quot;&quot;},{&quot;family&quot;:&quot;Nieto-Castanon&quot;,&quot;given&quot;:&quot;Alfonso&quot;,&quot;parse-names&quot;:false,&quot;dropping-particle&quot;:&quot;&quot;,&quot;non-dropping-particle&quot;:&quot;&quot;}],&quot;title-short&quot;:&quot;Conn&quot;,&quot;container-title&quot;:&quot;Brain Connectivity&quot;,&quot;container-title-short&quot;:&quot;Brain Connect&quot;,&quot;DOI&quot;:&quot;10.1089/brain.2012.0073&quot;,&quot;ISSN&quot;:&quot;2158-0014, 2158-0022&quot;,&quot;URL&quot;:&quot;http://www.liebertpub.com/doi/10.1089/brain.2012.0073&quot;,&quot;issued&quot;:{&quot;date-parts&quot;:[[2012,6]]},&quot;page&quot;:&quot;125-141&quot;,&quot;language&quot;:&quot;en&quot;,&quot;abstract&quot;:&quot;Resting state functional connectivity reveals intrinsic, spontaneous networks that elucidate the functional architecture of the human brain. However, valid statistical analysis used to identify such networks must address sources of noise in order to avoid possible confounds such as spurious correlations based on non-neuronal sources. We have developed a functional connectivity toolbox Conn (www.nitrc.org/projects/conn) that implements the component-based noise correction method (CompCor) strategy for physiological and other noise source reduction, additional removal of movement, and temporal covariates, temporal ﬁltering and windowing of the residual blood oxygen level-dependent (BOLD) contrast signal, ﬁrst-level estimation of multiple standard functional connectivity magnetic resonance imaging (fcMRI) measures, and second-level random-effect analysis for resting state as well as task-related data. Compared to methods that rely on global signal regression, the CompCor noise reduction method allows for interpretation of anticorrelations as there is no regression of the global signal. The toolbox implements fcMRI measures, such as estimation of seed-to-voxel and region of interest (ROI)-to-ROI functional correlations, as well as semipartial correlation and bivariate/multivariate regression analysis for multiple ROI sources, graph theoretical analysis, and novel voxel-to-voxel analysis of functional connectivity. We describe the methods implemented in the Conn toolbox for the analysis of fcMRI data, together with examples of use and interscan reliability estimates of all the implemented fcMRI measures. The results indicate that the CompCor method increases the sensitivity and selectivity of fcMRI analysis, and show a high degree of interscan reliability for many fcMRI measures.&quot;,&quot;issue&quot;:&quot;3&quot;,&quot;volume&quot;:&quot;2&quot;},&quot;isTemporary&quot;:false}]},{&quot;citationID&quot;:&quot;MENDELEY_CITATION_5117f9a8-4561-4bce-b827-c386f04c0c52&quot;,&quot;properties&quot;:{&quot;noteIndex&quot;:0},&quot;isEdited&quot;:false,&quot;manualOverride&quot;:{&quot;isManuallyOverridden&quot;:false,&quot;citeprocText&quot;:&quot;(Van Dijk &lt;i&gt;et al.&lt;/i&gt;, 2010)&quot;,&quot;manualOverrideText&quot;:&quot;&quot;},&quot;citationTag&quot;:&quot;MENDELEY_CITATION_v3_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&quot;,&quot;citationItems&quot;:[{&quot;id&quot;:&quot;dfc613ae-4efb-3c07-b941-6fc390c5eccc&quot;,&quot;itemData&quot;:{&quot;type&quot;:&quot;article-journal&quot;,&quot;id&quot;:&quot;dfc613ae-4efb-3c07-b941-6fc390c5eccc&quot;,&quot;title&quot;:&quot;Intrinsic functional connectivity as a tool for human connectomics: Theory, properties, and optimization&quot;,&quot;author&quot;:[{&quot;family&quot;:&quot;Dijk&quot;,&quot;given&quot;:&quot;Koene R.A.&quot;,&quot;parse-names&quot;:false,&quot;dropping-particle&quot;:&quot;&quot;,&quot;non-dropping-particle&quot;:&quot;Van&quot;},{&quot;family&quot;:&quot;Hedden&quot;,&quot;given&quot;:&quot;Trey&quot;,&quot;parse-names&quot;:false,&quot;dropping-particle&quot;:&quot;&quot;,&quot;non-dropping-particle&quot;:&quot;&quot;},{&quot;family&quot;:&quot;Venkataraman&quot;,&quot;given&quot;:&quot;Archana&quot;,&quot;parse-names&quot;:false,&quot;dropping-particle&quot;:&quot;&quot;,&quot;non-dropping-particle&quot;:&quot;&quot;},{&quot;family&quot;:&quot;Evans&quot;,&quot;given&quot;:&quot;Karleyton C.&quot;,&quot;parse-names&quot;:false,&quot;dropping-particle&quot;:&quot;&quot;,&quot;non-dropping-particle&quot;:&quot;&quot;},{&quot;family&quot;:&quot;Lazar&quot;,&quot;given&quot;:&quot;Sara W.&quot;,&quot;parse-names&quot;:false,&quot;dropping-particle&quot;:&quot;&quot;,&quot;non-dropping-particle&quot;:&quot;&quot;},{&quot;family&quot;:&quot;Buckner&quot;,&quot;given&quot;:&quot;Randy L.&quot;,&quot;parse-names&quot;:false,&quot;dropping-particle&quot;:&quot;&quot;,&quot;non-dropping-particle&quot;:&quot;&quot;}],&quot;container-title&quot;:&quot;Journal of Neurophysiology&quot;,&quot;container-title-short&quot;:&quot;J Neurophysiol&quot;,&quot;accessed&quot;:{&quot;date-parts&quot;:[[2024,1,19]]},&quot;DOI&quot;:&quot;10.1152/JN.00783.2009/ASSET/IMAGES/LARGE/Z9K0011098670015.JPEG&quot;,&quot;ISSN&quot;:&quot;00223077&quot;,&quot;PMID&quot;:&quot;19889849&quot;,&quot;URL&quot;:&quot;https://journals.physiology.org/doi/10.1152/jn.00783.2009&quot;,&quot;issued&quot;:{&quot;date-parts&quot;:[[2010,1]]},&quot;page&quot;:&quot;297-321&quot;,&quot;abstract&quot;:&quot;Resting state functional connectivity MRI (fcMRI) is widely used to investigate brain networks that exhibit correlated fluctuations. While fcMRI does not provide direct measurement of anatomic connectivity, accumulating evidence suggests it is sufficiently constrained by anatomy to allow the architecture of distinct brain systems to be characterized. fcMRI is particularly useful for characterizing large-scale systems that span distributed areas (e.g., polysynaptic cortical pathways, cerebro-cerebellar circuits, cortical-thalamic circuits) and has complementary strengths when contrasted with the other major tool available for human connectomics - high angular resolution diffusion imaging (HARDI). We review what is known about fcMRI and then explore fcMRI data reliability, effects of preprocessing, analysis procedures, and effects of different acquisition parameters across six studies (n = 98) to provide recommendations for optimization. Run length (2-12 min), run structure (1 12-min run or 2 6-min runs), temporal resolution (2.5 or 5.0 s), spatial resolution (2 or 3 mm), and the task (fixation, eyes closed rest, eyes open rest, continuous word-classification) were varied. Results revealed moderate to high test-retest reliability. Run structure, temporal resolution, and spatial resolution minimally influenced fcMRI results while fixation and eyes open rest yielded stronger correlations as contrasted to other task conditions. Commonly used preprocessing steps involving regression of nuisance signals minimized nonspecific (noise) correlations including those associated with respiration. The most surprising finding was that estimates of correlation strengths stabilized with acquisition times as brief as 5 min. The brevity and robustness of fcMRI positions it as a powerful tool for large-scale explorations of genetic influences on brain architecture. We conclude by discussing the strengths and limitations of fcMRI and how it can be combined with HARDI techniques to support the emerging field of human connectomics. Copyright © 2010 The American Physiological Society.&quot;,&quot;publisher&quot;:&quot; American Physiological Society Bethesda, MD&quot;,&quot;issue&quot;:&quot;1&quot;,&quot;volume&quot;:&quot;103&quot;},&quot;isTemporary&quot;:false}]},{&quot;citationID&quot;:&quot;MENDELEY_CITATION_9092f4b7-1745-48a4-8fa8-2beffae08973&quot;,&quot;properties&quot;:{&quot;noteIndex&quot;:0},&quot;isEdited&quot;:false,&quot;manualOverride&quot;:{&quot;isManuallyOverridden&quot;:false,&quot;citeprocText&quot;:&quot;(Yang &lt;i&gt;et al.&lt;/i&gt;, 2020)&quot;,&quot;manualOverrideText&quot;:&quot;&quot;},&quot;citationTag&quot;:&quot;MENDELEY_CITATION_v3_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&quot;,&quot;citationItems&quot;:[{&quot;id&quot;:&quot;191adf03-1148-33fc-bdd6-6fb706b02f89&quot;,&quot;itemData&quot;:{&quot;type&quot;:&quot;article-journal&quot;,&quot;id&quot;:&quot;191adf03-1148-33fc-bdd6-6fb706b02f89&quot;,&quot;title&quot;:&quot;Current methods and new directions in resting state fMRI&quot;,&quot;author&quot;:[{&quot;family&quot;:&quot;Yang&quot;,&quot;given&quot;:&quot;Jackie&quot;,&quot;parse-names&quot;:false,&quot;dropping-particle&quot;:&quot;&quot;,&quot;non-dropping-particle&quot;:&quot;&quot;},{&quot;family&quot;:&quot;Gohel&quot;,&quot;given&quot;:&quot;Suril&quot;,&quot;parse-names&quot;:false,&quot;dropping-particle&quot;:&quot;&quot;,&quot;non-dropping-particle&quot;:&quot;&quot;},{&quot;family&quot;:&quot;Vachha&quot;,&quot;given&quot;:&quot;Behroze&quot;,&quot;parse-names&quot;:false,&quot;dropping-particle&quot;:&quot;&quot;,&quot;non-dropping-particle&quot;:&quot;&quot;}],&quot;container-title&quot;:&quot;Clinical Imaging&quot;,&quot;container-title-short&quot;:&quot;Clin Imaging&quot;,&quot;DOI&quot;:&quot;10.1016/j.clinimag.2020.04.004&quot;,&quot;ISSN&quot;:&quot;0899-7071&quot;,&quot;URL&quot;:&quot;https://www.sciencedirect.com/science/article/pii/S0899707120301029&quot;,&quot;issued&quot;:{&quot;date-parts&quot;:[[2020,9]]},&quot;page&quot;:&quot;47-53&quot;,&quot;language&quot;:&quot;en&quot;,&quot;abstract&quot;:&quot;Resting state functional connectivity magnetic resonance imaging (rsfcMRI) has become a key component of investigations of neurocognitive and psychiatric behaviors. Over the past two decades, several methods and paradigms have been adopted to utilize and interpret data from resting-state fluctuations in the brain. These findings have increased our understanding of changes in many disease states. As the amount of resting state data available for research increases with big datasets and data-sharing projects, it is important to review the established traditional analysis methods and recognize areas where research methodology can be adapted to better accommodate the scale and complexity of rsfcMRI analysis. In this paper, we review established methods of analysis as well as areas that have been receiving increasing attention such as dynamic rsfcMRI, independent vector analysis, multiband rsfcMRI and network of networks.&quot;,&quot;volume&quot;:&quot;65&quot;},&quot;isTemporary&quot;:false}]},{&quot;citationID&quot;:&quot;MENDELEY_CITATION_f4eed8fc-364b-41dc-b8c2-74911280488e&quot;,&quot;properties&quot;:{&quot;noteIndex&quot;:0},&quot;isEdited&quot;:false,&quot;manualOverride&quot;:{&quot;isManuallyOverridden&quot;:false,&quot;citeprocText&quot;:&quot;(Smith &lt;i&gt;et al.&lt;/i&gt;, 2004)&quot;,&quot;manualOverrideText&quot;:&quot;&quot;},&quot;citationTag&quot;:&quot;MENDELEY_CITATION_v3_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&quot;,&quot;citationItems&quot;:[{&quot;id&quot;:&quot;450829ca-ca58-311f-a3d9-52a913d83b13&quot;,&quot;itemData&quot;:{&quot;type&quot;:&quot;article-journal&quot;,&quot;id&quot;:&quot;450829ca-ca58-311f-a3d9-52a913d83b13&quot;,&quot;title&quot;:&quot;Advances in functional and structural MR image analysis and implementation as FSL&quot;,&quot;author&quot;:[{&quot;family&quot;:&quot;Smith&quot;,&quot;given&quot;:&quot;Stephen M.&quot;,&quot;parse-names&quot;:false,&quot;dropping-particle&quot;:&quot;&quot;,&quot;non-dropping-particle&quot;:&quot;&quot;},{&quot;family&quot;:&quot;Jenkinson&quot;,&quot;given&quot;:&quot;Mark&quot;,&quot;parse-names&quot;:false,&quot;dropping-particle&quot;:&quot;&quot;,&quot;non-dropping-particle&quot;:&quot;&quot;},{&quot;family&quot;:&quot;Woolrich&quot;,&quot;given&quot;:&quot;Mark W.&quot;,&quot;parse-names&quot;:false,&quot;dropping-particle&quot;:&quot;&quot;,&quot;non-dropping-particle&quot;:&quot;&quot;},{&quot;family&quot;:&quot;Beckmann&quot;,&quot;given&quot;:&quot;Christian F.&quot;,&quot;parse-names&quot;:false,&quot;dropping-particle&quot;:&quot;&quot;,&quot;non-dropping-particle&quot;:&quot;&quot;},{&quot;family&quot;:&quot;Behrens&quot;,&quot;given&quot;:&quot;Timothy E.J.&quot;,&quot;parse-names&quot;:false,&quot;dropping-particle&quot;:&quot;&quot;,&quot;non-dropping-particle&quot;:&quot;&quot;},{&quot;family&quot;:&quot;Johansen-Berg&quot;,&quot;given&quot;:&quot;Heidi&quot;,&quot;parse-names&quot;:false,&quot;dropping-particle&quot;:&quot;&quot;,&quot;non-dropping-particle&quot;:&quot;&quot;},{&quot;family&quot;:&quot;Bannister&quot;,&quot;given&quot;:&quot;Peter R.&quot;,&quot;parse-names&quot;:false,&quot;dropping-particle&quot;:&quot;&quot;,&quot;non-dropping-particle&quot;:&quot;&quot;},{&quot;family&quot;:&quot;Luca&quot;,&quot;given&quot;:&quot;Marilena&quot;,&quot;parse-names&quot;:false,&quot;dropping-particle&quot;:&quot;&quot;,&quot;non-dropping-particle&quot;:&quot;De&quot;},{&quot;family&quot;:&quot;Drobnjak&quot;,&quot;given&quot;:&quot;Ivana&quot;,&quot;parse-names&quot;:false,&quot;dropping-particle&quot;:&quot;&quot;,&quot;non-dropping-particle&quot;:&quot;&quot;},{&quot;family&quot;:&quot;Flitney&quot;,&quot;given&quot;:&quot;David E.&quot;,&quot;parse-names&quot;:false,&quot;dropping-particle&quot;:&quot;&quot;,&quot;non-dropping-particle&quot;:&quot;&quot;},{&quot;family&quot;:&quot;Niazy&quot;,&quot;given&quot;:&quot;Rami K.&quot;,&quot;parse-names&quot;:false,&quot;dropping-particle&quot;:&quot;&quot;,&quot;non-dropping-particle&quot;:&quot;&quot;},{&quot;family&quot;:&quot;Saunders&quot;,&quot;given&quot;:&quot;James&quot;,&quot;parse-names&quot;:false,&quot;dropping-particle&quot;:&quot;&quot;,&quot;non-dropping-particle&quot;:&quot;&quot;},{&quot;family&quot;:&quot;Vickers&quot;,&quot;given&quot;:&quot;John&quot;,&quot;parse-names&quot;:false,&quot;dropping-particle&quot;:&quot;&quot;,&quot;non-dropping-particle&quot;:&quot;&quot;},{&quot;family&quot;:&quot;Zhang&quot;,&quot;given&quot;:&quot;Yongyue&quot;,&quot;parse-names&quot;:false,&quot;dropping-particle&quot;:&quot;&quot;,&quot;non-dropping-particle&quot;:&quot;&quot;},{&quot;family&quot;:&quot;Stefano&quot;,&quot;given&quot;:&quot;Nicola&quot;,&quot;parse-names&quot;:false,&quot;dropping-particle&quot;:&quot;&quot;,&quot;non-dropping-particle&quot;:&quot;De&quot;},{&quot;family&quot;:&quot;Brady&quot;,&quot;given&quot;:&quot;J. Michael&quot;,&quot;parse-names&quot;:false,&quot;dropping-particle&quot;:&quot;&quot;,&quot;non-dropping-particle&quot;:&quot;&quot;},{&quot;family&quot;:&quot;Matthews&quot;,&quot;given&quot;:&quot;Paul M.&quot;,&quot;parse-names&quot;:false,&quot;dropping-particle&quot;:&quot;&quot;,&quot;non-dropping-particle&quot;:&quot;&quot;}],&quot;container-title&quot;:&quot;NeuroImage&quot;,&quot;container-title-short&quot;:&quot;Neuroimage&quot;,&quot;accessed&quot;:{&quot;date-parts&quot;:[[2023,12,19]]},&quot;DOI&quot;:&quot;10.1016/J.NEUROIMAGE.2004.07.051&quot;,&quot;ISSN&quot;:&quot;1053-8119&quot;,&quot;PMID&quot;:&quot;15501092&quot;,&quot;issued&quot;:{&quot;date-parts&quot;:[[2004,1,1]]},&quot;page&quot;:&quot;S208-S219&quot;,&quot;abstract&quot;:&quot;The techniques available for the interrogation and analysis of neuroimaging data have a large influence in determining the flexibility, sensitivity, and scope of neuroimaging experiments. The development of such methodologies has allowed investigators to address scientific questions that could not previously be answered and, as such, has become an important research area in its own right. In this paper, we present a review of the research carried out by the Analysis Group at the Oxford Centre for Functional MRI of the Brain (FMRIB). This research has focussed on the development of new methodologies for the analysis of both structural and functional magnetic resonance imaging data. The majority of the research laid out in this paper has been implemented as freely available software tools within FMRIB's Software Library (FSL). © 2004 Elsevier Inc. All rights reserved.&quot;,&quot;publisher&quot;:&quot;Academic Press&quot;,&quot;issue&quot;:&quot;SUPPL. 1&quot;,&quot;volume&quot;:&quot;23&quot;},&quot;isTemporary&quot;:false}]},{&quot;citationID&quot;:&quot;MENDELEY_CITATION_b1f75452-1524-4cec-8400-d620dca67262&quot;,&quot;properties&quot;:{&quot;noteIndex&quot;:0},&quot;isEdited&quot;:false,&quot;manualOverride&quot;:{&quot;isManuallyOverridden&quot;:false,&quot;citeprocText&quot;:&quot;(Voevodskaya &lt;i&gt;et al.&lt;/i&gt;, 2014)&quot;,&quot;manualOverrideText&quot;:&quot;&quot;},&quot;citationTag&quot;:&quot;MENDELEY_CITATION_v3_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&quot;,&quot;citationItems&quot;:[{&quot;id&quot;:&quot;f32b22b0-baee-3a0d-bed1-7969f7198504&quot;,&quot;itemData&quot;:{&quot;type&quot;:&quot;article-journal&quot;,&quot;id&quot;:&quot;f32b22b0-baee-3a0d-bed1-7969f7198504&quot;,&quot;title&quot;:&quot;The effects of intracranial volume adjustment approaches on multiple regional MRI volumes in healthy aging and Alzheimer's disease&quot;,&quot;author&quot;:[{&quot;family&quot;:&quot;Voevodskaya&quot;,&quot;given&quot;:&quot;Olga&quot;,&quot;parse-names&quot;:false,&quot;dropping-particle&quot;:&quot;&quot;,&quot;non-dropping-particle&quot;:&quot;&quot;},{&quot;family&quot;:&quot;Simmons&quot;,&quot;given&quot;:&quot;Andrew&quot;,&quot;parse-names&quot;:false,&quot;dropping-particle&quot;:&quot;&quot;,&quot;non-dropping-particle&quot;:&quot;&quot;},{&quot;family&quot;:&quot;Nordenskjöld&quot;,&quot;given&quot;:&quot;Richard&quot;,&quot;parse-names&quot;:false,&quot;dropping-particle&quot;:&quot;&quot;,&quot;non-dropping-particle&quot;:&quot;&quot;},{&quot;family&quot;:&quot;Kullberg&quot;,&quot;given&quot;:&quot;Joel&quot;,&quot;parse-names&quot;:false,&quot;dropping-particle&quot;:&quot;&quot;,&quot;non-dropping-particle&quot;:&quot;&quot;},{&quot;family&quot;:&quot;Ahlström&quot;,&quot;given&quot;:&quot;Håkan&quot;,&quot;parse-names&quot;:false,&quot;dropping-particle&quot;:&quot;&quot;,&quot;non-dropping-particle&quot;:&quot;&quot;},{&quot;family&quot;:&quot;Lind&quot;,&quot;given&quot;:&quot;Lars&quot;,&quot;parse-names&quot;:false,&quot;dropping-particle&quot;:&quot;&quot;,&quot;non-dropping-particle&quot;:&quot;&quot;},{&quot;family&quot;:&quot;Wahlund&quot;,&quot;given&quot;:&quot;Lars-Olof&quot;,&quot;parse-names&quot;:false,&quot;dropping-particle&quot;:&quot;&quot;,&quot;non-dropping-particle&quot;:&quot;&quot;},{&quot;family&quot;:&quot;Larsson&quot;,&quot;given&quot;:&quot;Elna-Marie&quot;,&quot;parse-names&quot;:false,&quot;dropping-particle&quot;:&quot;&quot;,&quot;non-dropping-particle&quot;:&quot;&quot;},{&quot;family&quot;:&quot;Westman&quot;,&quot;given&quot;:&quot;Eric&quot;,&quot;parse-names&quot;:false,&quot;dropping-particle&quot;:&quot;&quot;,&quot;non-dropping-particle&quot;:&quot;&quot;},{&quot;family&quot;:&quot;Alzheimer's&quot;,&quot;given&quot;:&quot;Disease Neuroimaging Initiative&quot;,&quot;parse-names&quot;:false,&quot;dropping-particle&quot;:&quot;&quot;,&quot;non-dropping-particle&quot;:&quot;&quot;}],&quot;container-title&quot;:&quot;Frontiers in Aging Neuroscience&quot;,&quot;container-title-short&quot;:&quot;Front Aging Neurosci&quot;,&quot;DOI&quot;:&quot;10.3389/fnagi.2014.00264&quot;,&quot;ISSN&quot;:&quot;1663-4365&quot;,&quot;URL&quot;:&quot;https://www.frontiersin.org/article/10.3389/fnagi.2014.00264&quot;,&quot;issued&quot;:{&quot;date-parts&quot;:[[2014]]},&quot;page&quot;:&quot;264&quot;,&quot;abstract&quot;:&quot;In neurodegeneration research, normalization of regional volumes by intracranial volume (ICV) is important to estimate the extent of disease-driven atrophy. There is little agreement as to whether raw volumes, volume-to-ICV fractions or regional volumes from which the ICV factor has been regressed out should be used for volumetric brain imaging studies. Using multiple regional cortical and subcortical volumetric measures generated by Freesurfer (51 in total), the main aim of this study was to elucidate the implications of these adjustment approaches. Magnetic resonance imaging (MRI) data were analyzed from two large cohorts, the population-based PIVUS cohort (N = 406, all subjects age 75) and the Alzheimer disease Neuroimaging Initiative (ADNI) cohort (N = 724). Further, we studied whether the chosen ICV normalization approach influenced the relationship between hippocampus and cognition in the three diagnostic groups of the ADNI cohort (Alzheimer's disease, mild cognitive impairment, and healthy individuals). The ability of raw vs. adjusted hippocampal volumes to predict diagnostic status was also assessed. In both cohorts raw volumes correlate positively with ICV, but do not scale directly proportionally with it. The correlation direction is reversed for all volume-to-ICV fractions, except the lateral and third ventricles. Most gray matter fractions are larger in females, while lateral ventricle fractions are greater in males. Residual correction effectively eliminated the correlation between the regional volumes and ICV and removed gender differences. The association between hippocampal volumes and cognition was not altered by ICV normalization. Comparing prediction of diagnostic status using the different approaches, small but significant differences were found. The choice of normalization approach should be carefully considered when designing a volumetric brain imaging study.&quot;,&quot;volume&quot;:&quot;6&quot;},&quot;isTemporary&quot;:false}]}]"/>
    <we:property name="MENDELEY_CITATIONS_LOCALE_CODE" value="&quot;en-GB&quot;"/>
    <we:property name="MENDELEY_CITATIONS_STYLE" value="{&quot;id&quot;:&quot;https://www.zotero.org/styles/griffith-college-harvard&quot;,&quot;title&quot;:&quot;Griffith College - Harvard&quot;,&quot;format&quot;:&quot;author-date&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0379AD-5A4E-49CC-84B5-6E536F2C7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189</Words>
  <Characters>1045</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VARELA LOPEZ BENXAMIN</dc:creator>
  <cp:keywords/>
  <dc:description/>
  <cp:lastModifiedBy>VARELA LOPEZ BENXAMIN</cp:lastModifiedBy>
  <cp:revision>2</cp:revision>
  <dcterms:created xsi:type="dcterms:W3CDTF">2024-05-24T18:12:00Z</dcterms:created>
  <dcterms:modified xsi:type="dcterms:W3CDTF">2024-05-24T18:12:00Z</dcterms:modified>
</cp:coreProperties>
</file>