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1FE7E" w14:textId="4D7BE65A" w:rsidR="00987DEC" w:rsidRDefault="00987DEC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noProof/>
          <w:szCs w:val="28"/>
        </w:rPr>
        <w:drawing>
          <wp:inline distT="0" distB="0" distL="0" distR="0" wp14:anchorId="0A7605C7" wp14:editId="59014ADB">
            <wp:extent cx="6391892" cy="4311266"/>
            <wp:effectExtent l="0" t="0" r="0" b="0"/>
            <wp:docPr id="971772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277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892" cy="431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B080F" w14:textId="59AB89C3" w:rsidR="0009778C" w:rsidRDefault="00D309B5" w:rsidP="0009778C">
      <w:pPr>
        <w:spacing w:line="480" w:lineRule="auto"/>
        <w:jc w:val="both"/>
        <w:rPr>
          <w:rFonts w:ascii="Times New Roman" w:hAnsi="Times New Roman" w:cs="Times New Roman"/>
          <w:szCs w:val="28"/>
        </w:rPr>
      </w:pPr>
      <w:r w:rsidRPr="00D6675E">
        <w:rPr>
          <w:rFonts w:ascii="Times New Roman" w:hAnsi="Times New Roman" w:cs="Times New Roman"/>
          <w:b/>
          <w:bCs/>
          <w:szCs w:val="28"/>
        </w:rPr>
        <w:t>Fig</w:t>
      </w:r>
      <w:r w:rsidR="00DE09CA">
        <w:rPr>
          <w:rFonts w:ascii="Times New Roman" w:hAnsi="Times New Roman" w:cs="Times New Roman"/>
          <w:b/>
          <w:bCs/>
          <w:szCs w:val="28"/>
        </w:rPr>
        <w:t>ure</w:t>
      </w:r>
      <w:r w:rsidRPr="00D6675E">
        <w:rPr>
          <w:rFonts w:ascii="Times New Roman" w:hAnsi="Times New Roman" w:cs="Times New Roman"/>
          <w:b/>
          <w:bCs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Cs w:val="28"/>
        </w:rPr>
        <w:t>S1</w:t>
      </w:r>
      <w:r w:rsidRPr="00D6675E">
        <w:rPr>
          <w:rFonts w:ascii="Times New Roman" w:hAnsi="Times New Roman" w:cs="Times New Roman"/>
          <w:b/>
          <w:bCs/>
          <w:szCs w:val="28"/>
        </w:rPr>
        <w:t xml:space="preserve">. </w:t>
      </w:r>
      <w:r w:rsidR="0009778C">
        <w:rPr>
          <w:rFonts w:ascii="Times New Roman" w:hAnsi="Times New Roman" w:cs="Times New Roman"/>
          <w:b/>
          <w:bCs/>
          <w:szCs w:val="28"/>
        </w:rPr>
        <w:t>ACSL3</w:t>
      </w:r>
      <w:r w:rsidR="00A4560C">
        <w:rPr>
          <w:rFonts w:ascii="Times New Roman" w:hAnsi="Times New Roman" w:cs="Times New Roman"/>
          <w:b/>
          <w:bCs/>
          <w:szCs w:val="28"/>
        </w:rPr>
        <w:t xml:space="preserve"> overexpression</w:t>
      </w:r>
      <w:r w:rsidR="0009778C">
        <w:rPr>
          <w:rFonts w:ascii="Times New Roman" w:hAnsi="Times New Roman" w:cs="Times New Roman"/>
          <w:b/>
          <w:bCs/>
          <w:szCs w:val="28"/>
        </w:rPr>
        <w:t xml:space="preserve"> via AAV </w:t>
      </w:r>
      <w:r w:rsidR="00A4560C">
        <w:rPr>
          <w:rFonts w:ascii="Times New Roman" w:hAnsi="Times New Roman" w:cs="Times New Roman"/>
          <w:b/>
          <w:bCs/>
          <w:szCs w:val="28"/>
        </w:rPr>
        <w:t>had no</w:t>
      </w:r>
      <w:r w:rsidR="0009778C">
        <w:rPr>
          <w:rFonts w:ascii="Times New Roman" w:hAnsi="Times New Roman" w:cs="Times New Roman"/>
          <w:b/>
          <w:bCs/>
          <w:szCs w:val="28"/>
        </w:rPr>
        <w:t xml:space="preserve"> </w:t>
      </w:r>
      <w:r w:rsidR="00A4560C">
        <w:rPr>
          <w:rFonts w:ascii="Times New Roman" w:hAnsi="Times New Roman" w:cs="Times New Roman"/>
          <w:b/>
          <w:bCs/>
          <w:szCs w:val="28"/>
        </w:rPr>
        <w:t>effect on</w:t>
      </w:r>
      <w:r w:rsidR="0009778C">
        <w:rPr>
          <w:rFonts w:ascii="Times New Roman" w:hAnsi="Times New Roman" w:cs="Times New Roman"/>
          <w:b/>
          <w:bCs/>
          <w:szCs w:val="28"/>
        </w:rPr>
        <w:t xml:space="preserve"> PDGFRβ</w:t>
      </w:r>
      <w:r>
        <w:rPr>
          <w:rFonts w:ascii="Times New Roman" w:hAnsi="Times New Roman" w:cs="Times New Roman"/>
          <w:b/>
          <w:bCs/>
          <w:szCs w:val="28"/>
        </w:rPr>
        <w:t xml:space="preserve"> and </w:t>
      </w:r>
      <w:r w:rsidR="0009778C">
        <w:rPr>
          <w:rFonts w:ascii="Times New Roman" w:hAnsi="Times New Roman" w:cs="Times New Roman"/>
          <w:b/>
          <w:bCs/>
          <w:szCs w:val="28"/>
        </w:rPr>
        <w:t>IGF1R</w:t>
      </w:r>
      <w:r w:rsidRPr="00D6675E">
        <w:rPr>
          <w:rFonts w:ascii="Times New Roman" w:hAnsi="Times New Roman" w:cs="Times New Roman"/>
          <w:b/>
          <w:bCs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Cs w:val="28"/>
        </w:rPr>
        <w:t xml:space="preserve">protein levels </w:t>
      </w:r>
      <w:r w:rsidR="0009778C">
        <w:rPr>
          <w:rFonts w:ascii="Times New Roman" w:hAnsi="Times New Roman" w:cs="Times New Roman"/>
          <w:b/>
          <w:bCs/>
          <w:szCs w:val="28"/>
        </w:rPr>
        <w:t xml:space="preserve">in aged 3xTg-AD female mice. </w:t>
      </w:r>
      <w:r w:rsidR="0009778C">
        <w:rPr>
          <w:rFonts w:ascii="Times New Roman" w:hAnsi="Times New Roman" w:cs="Times New Roman"/>
          <w:szCs w:val="28"/>
        </w:rPr>
        <w:t xml:space="preserve">Protein levels of </w:t>
      </w:r>
      <w:r w:rsidR="0009778C" w:rsidRPr="0009778C">
        <w:rPr>
          <w:rFonts w:ascii="Times New Roman" w:hAnsi="Times New Roman" w:cs="Times New Roman"/>
          <w:szCs w:val="28"/>
        </w:rPr>
        <w:t xml:space="preserve">PDGFRβ </w:t>
      </w:r>
      <w:r w:rsidR="0009778C" w:rsidRPr="00B61341">
        <w:rPr>
          <w:rFonts w:ascii="Times New Roman" w:hAnsi="Times New Roman" w:cs="Times New Roman"/>
          <w:b/>
          <w:bCs/>
          <w:szCs w:val="28"/>
        </w:rPr>
        <w:t>(A)</w:t>
      </w:r>
      <w:r w:rsidR="0009778C">
        <w:rPr>
          <w:rFonts w:ascii="Times New Roman" w:hAnsi="Times New Roman" w:cs="Times New Roman"/>
          <w:b/>
          <w:bCs/>
          <w:szCs w:val="28"/>
        </w:rPr>
        <w:t xml:space="preserve"> </w:t>
      </w:r>
      <w:r w:rsidR="0009778C">
        <w:rPr>
          <w:rFonts w:ascii="Times New Roman" w:hAnsi="Times New Roman" w:cs="Times New Roman"/>
          <w:szCs w:val="28"/>
        </w:rPr>
        <w:t xml:space="preserve">and </w:t>
      </w:r>
      <w:r w:rsidR="0009778C" w:rsidRPr="0009778C">
        <w:rPr>
          <w:rFonts w:ascii="Times New Roman" w:hAnsi="Times New Roman" w:cs="Times New Roman"/>
          <w:szCs w:val="28"/>
        </w:rPr>
        <w:t xml:space="preserve">IGF1R </w:t>
      </w:r>
      <w:r w:rsidR="0009778C" w:rsidRPr="00E67715">
        <w:rPr>
          <w:rFonts w:ascii="Times New Roman" w:hAnsi="Times New Roman" w:cs="Times New Roman"/>
          <w:b/>
          <w:bCs/>
          <w:szCs w:val="28"/>
        </w:rPr>
        <w:t>(B)</w:t>
      </w:r>
      <w:r w:rsidR="0009778C">
        <w:rPr>
          <w:rFonts w:ascii="Times New Roman" w:hAnsi="Times New Roman" w:cs="Times New Roman"/>
          <w:szCs w:val="28"/>
        </w:rPr>
        <w:t xml:space="preserve"> in the hippocampus of AD mice were measured via </w:t>
      </w:r>
      <w:r w:rsidR="0009778C">
        <w:rPr>
          <w:rFonts w:ascii="Times New Roman" w:hAnsi="Times New Roman" w:cs="Times New Roman"/>
          <w:szCs w:val="28"/>
        </w:rPr>
        <w:t>capillary-based immunoassay</w:t>
      </w:r>
      <w:r w:rsidR="0009778C">
        <w:rPr>
          <w:rFonts w:ascii="Times New Roman" w:hAnsi="Times New Roman" w:cs="Times New Roman"/>
          <w:szCs w:val="28"/>
        </w:rPr>
        <w:t xml:space="preserve">. </w:t>
      </w:r>
      <w:r w:rsidR="0009778C" w:rsidRPr="0009778C">
        <w:rPr>
          <w:rFonts w:ascii="Times New Roman" w:hAnsi="Times New Roman" w:cs="Times New Roman"/>
          <w:szCs w:val="28"/>
        </w:rPr>
        <w:t xml:space="preserve">PDGFRβ and IGF1R protein levels </w:t>
      </w:r>
      <w:r w:rsidR="0009778C" w:rsidRPr="00CD24E2">
        <w:rPr>
          <w:rFonts w:ascii="Times New Roman" w:hAnsi="Times New Roman" w:cs="Times New Roman"/>
          <w:szCs w:val="28"/>
        </w:rPr>
        <w:t xml:space="preserve">were normalized </w:t>
      </w:r>
      <w:r w:rsidR="00A4560C">
        <w:rPr>
          <w:rFonts w:ascii="Times New Roman" w:hAnsi="Times New Roman" w:cs="Times New Roman"/>
          <w:szCs w:val="28"/>
        </w:rPr>
        <w:t>to</w:t>
      </w:r>
      <w:r w:rsidR="0009778C" w:rsidRPr="00CD24E2">
        <w:rPr>
          <w:rFonts w:ascii="Times New Roman" w:hAnsi="Times New Roman" w:cs="Times New Roman"/>
          <w:szCs w:val="28"/>
        </w:rPr>
        <w:t xml:space="preserve"> total protein</w:t>
      </w:r>
      <w:r w:rsidR="0009778C">
        <w:rPr>
          <w:rFonts w:ascii="Times New Roman" w:hAnsi="Times New Roman" w:cs="Times New Roman"/>
          <w:szCs w:val="28"/>
        </w:rPr>
        <w:t xml:space="preserve"> and</w:t>
      </w:r>
      <w:r w:rsidR="00A4560C">
        <w:rPr>
          <w:rFonts w:ascii="Times New Roman" w:hAnsi="Times New Roman" w:cs="Times New Roman"/>
          <w:szCs w:val="28"/>
        </w:rPr>
        <w:t xml:space="preserve"> presented as</w:t>
      </w:r>
      <w:r w:rsidR="0009778C">
        <w:rPr>
          <w:rFonts w:ascii="Times New Roman" w:hAnsi="Times New Roman" w:cs="Times New Roman"/>
          <w:szCs w:val="28"/>
        </w:rPr>
        <w:t xml:space="preserve"> </w:t>
      </w:r>
      <w:r w:rsidR="00B46D6E">
        <w:rPr>
          <w:rFonts w:ascii="Times New Roman" w:hAnsi="Times New Roman" w:cs="Times New Roman"/>
          <w:szCs w:val="28"/>
        </w:rPr>
        <w:t>bar graphs</w:t>
      </w:r>
      <w:r w:rsidR="0009778C" w:rsidRPr="00CD24E2">
        <w:rPr>
          <w:rFonts w:ascii="Times New Roman" w:hAnsi="Times New Roman" w:cs="Times New Roman"/>
          <w:szCs w:val="28"/>
        </w:rPr>
        <w:t>.</w:t>
      </w:r>
      <w:r w:rsidR="0009778C">
        <w:rPr>
          <w:rFonts w:ascii="Times New Roman" w:hAnsi="Times New Roman" w:cs="Times New Roman"/>
          <w:szCs w:val="28"/>
        </w:rPr>
        <w:t xml:space="preserve"> </w:t>
      </w:r>
      <w:r w:rsidR="00B46D6E">
        <w:rPr>
          <w:rFonts w:ascii="Times New Roman" w:hAnsi="Times New Roman" w:cs="Times New Roman"/>
          <w:szCs w:val="28"/>
        </w:rPr>
        <w:t xml:space="preserve">Results were analyzed </w:t>
      </w:r>
      <w:r w:rsidR="0009778C" w:rsidRPr="001C6345">
        <w:rPr>
          <w:rFonts w:ascii="Times New Roman" w:hAnsi="Times New Roman" w:cs="Times New Roman"/>
          <w:szCs w:val="28"/>
        </w:rPr>
        <w:t xml:space="preserve">via one-way ANOVA with Tukey’s </w:t>
      </w:r>
      <w:r w:rsidR="0009778C" w:rsidRPr="001C6345">
        <w:rPr>
          <w:rFonts w:ascii="Times New Roman" w:hAnsi="Times New Roman" w:cs="Times New Roman"/>
          <w:i/>
          <w:iCs/>
          <w:szCs w:val="28"/>
        </w:rPr>
        <w:t>post-hoc</w:t>
      </w:r>
      <w:r w:rsidR="0009778C" w:rsidRPr="001C6345">
        <w:rPr>
          <w:rFonts w:ascii="Times New Roman" w:hAnsi="Times New Roman" w:cs="Times New Roman"/>
          <w:szCs w:val="28"/>
        </w:rPr>
        <w:t>.</w:t>
      </w:r>
    </w:p>
    <w:p w14:paraId="23A1378A" w14:textId="13E0FAD9" w:rsidR="0009778C" w:rsidRDefault="0009778C" w:rsidP="00D309B5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0464A50D" w14:textId="77777777" w:rsidR="00987DEC" w:rsidRDefault="00987DEC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79CCDB15" w14:textId="77777777" w:rsidR="00987DEC" w:rsidRDefault="00987DEC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17DE9A46" w14:textId="77777777" w:rsidR="00987DEC" w:rsidRDefault="00987DEC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5ED61438" w14:textId="77777777" w:rsidR="00987DEC" w:rsidRDefault="00987DEC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55E66352" w14:textId="76F343BB" w:rsidR="0003015E" w:rsidRDefault="003D4830" w:rsidP="0003015E">
      <w:pPr>
        <w:spacing w:line="480" w:lineRule="auto"/>
        <w:jc w:val="both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noProof/>
          <w:szCs w:val="28"/>
        </w:rPr>
        <w:lastRenderedPageBreak/>
        <w:drawing>
          <wp:inline distT="0" distB="0" distL="0" distR="0" wp14:anchorId="2B4355C2" wp14:editId="074D3921">
            <wp:extent cx="5106692" cy="2987145"/>
            <wp:effectExtent l="0" t="0" r="0" b="0"/>
            <wp:docPr id="1330198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060" cy="299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D89D5" w14:textId="62686304" w:rsidR="0003015E" w:rsidRPr="00DC6339" w:rsidRDefault="0003015E" w:rsidP="0003015E">
      <w:pPr>
        <w:spacing w:line="480" w:lineRule="auto"/>
        <w:jc w:val="both"/>
        <w:rPr>
          <w:rFonts w:ascii="Times New Roman" w:hAnsi="Times New Roman" w:cs="Times New Roman"/>
          <w:szCs w:val="28"/>
        </w:rPr>
      </w:pPr>
      <w:r w:rsidRPr="00DC6339">
        <w:rPr>
          <w:rFonts w:ascii="Times New Roman" w:hAnsi="Times New Roman" w:cs="Times New Roman"/>
          <w:b/>
          <w:bCs/>
          <w:szCs w:val="28"/>
        </w:rPr>
        <w:t>Fig</w:t>
      </w:r>
      <w:r w:rsidR="00DE09CA">
        <w:rPr>
          <w:rFonts w:ascii="Times New Roman" w:hAnsi="Times New Roman" w:cs="Times New Roman"/>
          <w:b/>
          <w:bCs/>
          <w:szCs w:val="28"/>
        </w:rPr>
        <w:t>ure</w:t>
      </w:r>
      <w:r w:rsidRPr="00DC6339">
        <w:rPr>
          <w:rFonts w:ascii="Times New Roman" w:hAnsi="Times New Roman" w:cs="Times New Roman"/>
          <w:b/>
          <w:bCs/>
          <w:szCs w:val="28"/>
        </w:rPr>
        <w:t xml:space="preserve"> S</w:t>
      </w:r>
      <w:r w:rsidR="00D309B5">
        <w:rPr>
          <w:rFonts w:ascii="Times New Roman" w:hAnsi="Times New Roman" w:cs="Times New Roman"/>
          <w:b/>
          <w:bCs/>
          <w:szCs w:val="28"/>
        </w:rPr>
        <w:t>2</w:t>
      </w:r>
      <w:r w:rsidRPr="00DC6339">
        <w:rPr>
          <w:rFonts w:ascii="Times New Roman" w:hAnsi="Times New Roman" w:cs="Times New Roman"/>
          <w:b/>
          <w:bCs/>
          <w:szCs w:val="28"/>
        </w:rPr>
        <w:t>.</w:t>
      </w:r>
      <w:r>
        <w:rPr>
          <w:rFonts w:ascii="Times New Roman" w:hAnsi="Times New Roman" w:cs="Times New Roman"/>
          <w:b/>
          <w:bCs/>
          <w:szCs w:val="28"/>
        </w:rPr>
        <w:t xml:space="preserve"> </w:t>
      </w:r>
      <w:r w:rsidRPr="00DC6339">
        <w:rPr>
          <w:rFonts w:ascii="Times New Roman" w:hAnsi="Times New Roman" w:cs="Times New Roman"/>
          <w:b/>
          <w:bCs/>
          <w:szCs w:val="28"/>
        </w:rPr>
        <w:t xml:space="preserve">ACSL3 upregulation exhibits antidepressant-like effects in 3xTg-AD mice. </w:t>
      </w:r>
      <w:r w:rsidRPr="00DC6339">
        <w:rPr>
          <w:rFonts w:ascii="Times New Roman" w:hAnsi="Times New Roman" w:cs="Times New Roman"/>
          <w:szCs w:val="28"/>
        </w:rPr>
        <w:t>Aged female 3xTg-AD mice (9-12 months) were treated with GW3965 (20mg/kg/day, ip). Behavioral paradigms were implemented in mice 7 days after GW3965 treatment. GW3965 observably reduced the immobility time of aged 3xTg-AD mice in TST and FST. *p</w:t>
      </w:r>
      <w:r w:rsidRPr="00DC6339">
        <w:rPr>
          <w:rFonts w:ascii="Times New Roman" w:hAnsi="Times New Roman" w:cs="Times New Roman"/>
          <w:szCs w:val="28"/>
        </w:rPr>
        <w:sym w:font="Symbol" w:char="F0A3"/>
      </w:r>
      <w:r w:rsidRPr="00DC6339">
        <w:rPr>
          <w:rFonts w:ascii="Times New Roman" w:hAnsi="Times New Roman" w:cs="Times New Roman"/>
          <w:szCs w:val="28"/>
        </w:rPr>
        <w:t xml:space="preserve">0.05 indicates overall significantly different from aged 3xTg-AD mice, evaluated by one-way ANOVA with Tukey’s </w:t>
      </w:r>
      <w:r w:rsidRPr="00DC6339">
        <w:rPr>
          <w:rFonts w:ascii="Times New Roman" w:hAnsi="Times New Roman" w:cs="Times New Roman"/>
          <w:i/>
          <w:iCs/>
          <w:szCs w:val="28"/>
        </w:rPr>
        <w:t>post-hoc</w:t>
      </w:r>
      <w:r w:rsidRPr="00DC6339">
        <w:rPr>
          <w:rFonts w:ascii="Times New Roman" w:hAnsi="Times New Roman" w:cs="Times New Roman"/>
          <w:szCs w:val="28"/>
        </w:rPr>
        <w:t>.</w:t>
      </w:r>
    </w:p>
    <w:p w14:paraId="29D342AE" w14:textId="77777777" w:rsidR="0003015E" w:rsidRDefault="0003015E"/>
    <w:sectPr w:rsidR="0003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5E"/>
    <w:rsid w:val="0003015E"/>
    <w:rsid w:val="0009778C"/>
    <w:rsid w:val="0020213D"/>
    <w:rsid w:val="0025194F"/>
    <w:rsid w:val="003D4830"/>
    <w:rsid w:val="00781B63"/>
    <w:rsid w:val="00987DEC"/>
    <w:rsid w:val="00A24604"/>
    <w:rsid w:val="00A4560C"/>
    <w:rsid w:val="00AB0C2C"/>
    <w:rsid w:val="00B46D6E"/>
    <w:rsid w:val="00D10C69"/>
    <w:rsid w:val="00D309B5"/>
    <w:rsid w:val="00D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916C"/>
  <w15:chartTrackingRefBased/>
  <w15:docId w15:val="{0236764D-C6B3-4BF4-A0A3-430C49A1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5E"/>
    <w:pPr>
      <w:spacing w:after="0" w:line="240" w:lineRule="auto"/>
    </w:pPr>
    <w:rPr>
      <w:rFonts w:eastAsiaTheme="minorEastAsia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1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1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1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1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1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15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15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15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15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1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0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15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0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15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0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15E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0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Hui-Chao</dc:creator>
  <cp:keywords/>
  <dc:description/>
  <cp:lastModifiedBy>Lee, Hui-Chao</cp:lastModifiedBy>
  <cp:revision>14</cp:revision>
  <dcterms:created xsi:type="dcterms:W3CDTF">2024-08-14T15:48:00Z</dcterms:created>
  <dcterms:modified xsi:type="dcterms:W3CDTF">2024-10-17T21:22:00Z</dcterms:modified>
</cp:coreProperties>
</file>