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03D7B" w14:textId="77777777" w:rsidR="00513955" w:rsidRDefault="00513955" w:rsidP="00A552C7">
      <w:pPr>
        <w:pStyle w:val="Legend"/>
      </w:pPr>
      <w:r w:rsidRPr="0091259B">
        <w:rPr>
          <w:b/>
          <w:bCs/>
        </w:rPr>
        <w:t>Supplementary Table 1.</w:t>
      </w:r>
      <w:r w:rsidRPr="00A552C7">
        <w:t xml:space="preserve"> </w:t>
      </w:r>
      <w:r w:rsidRPr="0091259B">
        <w:t>Number of subjects included in the generalized linear mixed effects analyses for each time point</w:t>
      </w:r>
    </w:p>
    <w:p w14:paraId="1DB38B86" w14:textId="77777777" w:rsidR="00513955" w:rsidRPr="008E6851" w:rsidRDefault="00513955" w:rsidP="0091259B">
      <w:pPr>
        <w:pStyle w:val="Legend"/>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1136"/>
        <w:gridCol w:w="1136"/>
      </w:tblGrid>
      <w:tr w:rsidR="00513955" w:rsidRPr="0091259B" w14:paraId="1244D437" w14:textId="77777777" w:rsidTr="009707D4">
        <w:trPr>
          <w:trHeight w:val="198"/>
        </w:trPr>
        <w:tc>
          <w:tcPr>
            <w:tcW w:w="630" w:type="dxa"/>
            <w:tcBorders>
              <w:bottom w:val="single" w:sz="4" w:space="0" w:color="auto"/>
              <w:right w:val="single" w:sz="4" w:space="0" w:color="auto"/>
            </w:tcBorders>
            <w:vAlign w:val="center"/>
          </w:tcPr>
          <w:p w14:paraId="0BFC667B"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Day</w:t>
            </w:r>
          </w:p>
        </w:tc>
        <w:tc>
          <w:tcPr>
            <w:tcW w:w="1060" w:type="dxa"/>
            <w:tcBorders>
              <w:left w:val="single" w:sz="4" w:space="0" w:color="auto"/>
              <w:bottom w:val="single" w:sz="4" w:space="0" w:color="auto"/>
              <w:right w:val="single" w:sz="4" w:space="0" w:color="auto"/>
            </w:tcBorders>
            <w:vAlign w:val="center"/>
          </w:tcPr>
          <w:p w14:paraId="6CF42524"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No Delirium</w:t>
            </w:r>
          </w:p>
        </w:tc>
        <w:tc>
          <w:tcPr>
            <w:tcW w:w="1058" w:type="dxa"/>
            <w:tcBorders>
              <w:left w:val="single" w:sz="4" w:space="0" w:color="auto"/>
              <w:bottom w:val="single" w:sz="4" w:space="0" w:color="auto"/>
            </w:tcBorders>
            <w:vAlign w:val="center"/>
          </w:tcPr>
          <w:p w14:paraId="6D41D993"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Delirium</w:t>
            </w:r>
          </w:p>
        </w:tc>
      </w:tr>
      <w:tr w:rsidR="00513955" w:rsidRPr="0091259B" w14:paraId="45229CDB" w14:textId="77777777" w:rsidTr="009707D4">
        <w:tc>
          <w:tcPr>
            <w:tcW w:w="630" w:type="dxa"/>
            <w:tcBorders>
              <w:top w:val="single" w:sz="4" w:space="0" w:color="auto"/>
              <w:bottom w:val="dotted" w:sz="4" w:space="0" w:color="auto"/>
              <w:right w:val="dotted" w:sz="4" w:space="0" w:color="auto"/>
            </w:tcBorders>
          </w:tcPr>
          <w:p w14:paraId="758E0689"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0</w:t>
            </w:r>
          </w:p>
        </w:tc>
        <w:tc>
          <w:tcPr>
            <w:tcW w:w="1060" w:type="dxa"/>
            <w:tcBorders>
              <w:top w:val="single" w:sz="4" w:space="0" w:color="auto"/>
              <w:left w:val="dotted" w:sz="4" w:space="0" w:color="auto"/>
              <w:bottom w:val="dotted" w:sz="4" w:space="0" w:color="auto"/>
              <w:right w:val="dotted" w:sz="4" w:space="0" w:color="auto"/>
            </w:tcBorders>
          </w:tcPr>
          <w:p w14:paraId="649DBDB0"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30</w:t>
            </w:r>
          </w:p>
        </w:tc>
        <w:tc>
          <w:tcPr>
            <w:tcW w:w="1058" w:type="dxa"/>
            <w:tcBorders>
              <w:top w:val="single" w:sz="4" w:space="0" w:color="auto"/>
              <w:left w:val="dotted" w:sz="4" w:space="0" w:color="auto"/>
              <w:bottom w:val="dotted" w:sz="4" w:space="0" w:color="auto"/>
            </w:tcBorders>
          </w:tcPr>
          <w:p w14:paraId="1282F5F6"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24</w:t>
            </w:r>
          </w:p>
        </w:tc>
      </w:tr>
      <w:tr w:rsidR="00513955" w:rsidRPr="0091259B" w14:paraId="2F96F35C" w14:textId="77777777" w:rsidTr="009707D4">
        <w:tc>
          <w:tcPr>
            <w:tcW w:w="630" w:type="dxa"/>
            <w:tcBorders>
              <w:top w:val="dotted" w:sz="4" w:space="0" w:color="auto"/>
              <w:bottom w:val="dotted" w:sz="4" w:space="0" w:color="auto"/>
              <w:right w:val="dotted" w:sz="4" w:space="0" w:color="auto"/>
            </w:tcBorders>
          </w:tcPr>
          <w:p w14:paraId="5BE86A21"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4</w:t>
            </w:r>
          </w:p>
        </w:tc>
        <w:tc>
          <w:tcPr>
            <w:tcW w:w="1060" w:type="dxa"/>
            <w:tcBorders>
              <w:top w:val="dotted" w:sz="4" w:space="0" w:color="auto"/>
              <w:left w:val="dotted" w:sz="4" w:space="0" w:color="auto"/>
              <w:bottom w:val="dotted" w:sz="4" w:space="0" w:color="auto"/>
              <w:right w:val="dotted" w:sz="4" w:space="0" w:color="auto"/>
            </w:tcBorders>
          </w:tcPr>
          <w:p w14:paraId="7E3C5564"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35</w:t>
            </w:r>
          </w:p>
        </w:tc>
        <w:tc>
          <w:tcPr>
            <w:tcW w:w="1058" w:type="dxa"/>
            <w:tcBorders>
              <w:top w:val="dotted" w:sz="4" w:space="0" w:color="auto"/>
              <w:left w:val="dotted" w:sz="4" w:space="0" w:color="auto"/>
              <w:bottom w:val="dotted" w:sz="4" w:space="0" w:color="auto"/>
            </w:tcBorders>
          </w:tcPr>
          <w:p w14:paraId="6BA4E2A0"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24</w:t>
            </w:r>
          </w:p>
        </w:tc>
      </w:tr>
      <w:tr w:rsidR="00513955" w:rsidRPr="0091259B" w14:paraId="7733D91F" w14:textId="77777777" w:rsidTr="009707D4">
        <w:tc>
          <w:tcPr>
            <w:tcW w:w="630" w:type="dxa"/>
            <w:tcBorders>
              <w:top w:val="dotted" w:sz="4" w:space="0" w:color="auto"/>
              <w:bottom w:val="dotted" w:sz="4" w:space="0" w:color="auto"/>
              <w:right w:val="dotted" w:sz="4" w:space="0" w:color="auto"/>
            </w:tcBorders>
          </w:tcPr>
          <w:p w14:paraId="4D02E52A"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7</w:t>
            </w:r>
          </w:p>
        </w:tc>
        <w:tc>
          <w:tcPr>
            <w:tcW w:w="1060" w:type="dxa"/>
            <w:tcBorders>
              <w:top w:val="dotted" w:sz="4" w:space="0" w:color="auto"/>
              <w:left w:val="dotted" w:sz="4" w:space="0" w:color="auto"/>
              <w:bottom w:val="dotted" w:sz="4" w:space="0" w:color="auto"/>
              <w:right w:val="dotted" w:sz="4" w:space="0" w:color="auto"/>
            </w:tcBorders>
          </w:tcPr>
          <w:p w14:paraId="031E66CF"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36</w:t>
            </w:r>
          </w:p>
        </w:tc>
        <w:tc>
          <w:tcPr>
            <w:tcW w:w="1058" w:type="dxa"/>
            <w:tcBorders>
              <w:top w:val="dotted" w:sz="4" w:space="0" w:color="auto"/>
              <w:left w:val="dotted" w:sz="4" w:space="0" w:color="auto"/>
              <w:bottom w:val="dotted" w:sz="4" w:space="0" w:color="auto"/>
            </w:tcBorders>
          </w:tcPr>
          <w:p w14:paraId="405AD1EA"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22</w:t>
            </w:r>
          </w:p>
        </w:tc>
      </w:tr>
      <w:tr w:rsidR="00513955" w:rsidRPr="0091259B" w14:paraId="4EDF2529" w14:textId="77777777" w:rsidTr="009707D4">
        <w:tc>
          <w:tcPr>
            <w:tcW w:w="630" w:type="dxa"/>
            <w:tcBorders>
              <w:top w:val="dotted" w:sz="4" w:space="0" w:color="auto"/>
              <w:bottom w:val="dotted" w:sz="4" w:space="0" w:color="auto"/>
              <w:right w:val="dotted" w:sz="4" w:space="0" w:color="auto"/>
            </w:tcBorders>
          </w:tcPr>
          <w:p w14:paraId="1B1D6650"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14</w:t>
            </w:r>
          </w:p>
        </w:tc>
        <w:tc>
          <w:tcPr>
            <w:tcW w:w="1060" w:type="dxa"/>
            <w:tcBorders>
              <w:top w:val="dotted" w:sz="4" w:space="0" w:color="auto"/>
              <w:left w:val="dotted" w:sz="4" w:space="0" w:color="auto"/>
              <w:bottom w:val="dotted" w:sz="4" w:space="0" w:color="auto"/>
              <w:right w:val="dotted" w:sz="4" w:space="0" w:color="auto"/>
            </w:tcBorders>
          </w:tcPr>
          <w:p w14:paraId="51EABBD7"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21</w:t>
            </w:r>
          </w:p>
        </w:tc>
        <w:tc>
          <w:tcPr>
            <w:tcW w:w="1058" w:type="dxa"/>
            <w:tcBorders>
              <w:top w:val="dotted" w:sz="4" w:space="0" w:color="auto"/>
              <w:left w:val="dotted" w:sz="4" w:space="0" w:color="auto"/>
              <w:bottom w:val="dotted" w:sz="4" w:space="0" w:color="auto"/>
            </w:tcBorders>
          </w:tcPr>
          <w:p w14:paraId="35350A76"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20</w:t>
            </w:r>
          </w:p>
        </w:tc>
      </w:tr>
      <w:tr w:rsidR="00513955" w:rsidRPr="0091259B" w14:paraId="0D56BE2A" w14:textId="77777777" w:rsidTr="009707D4">
        <w:tc>
          <w:tcPr>
            <w:tcW w:w="630" w:type="dxa"/>
            <w:tcBorders>
              <w:top w:val="dotted" w:sz="4" w:space="0" w:color="auto"/>
              <w:bottom w:val="dotted" w:sz="4" w:space="0" w:color="auto"/>
              <w:right w:val="dotted" w:sz="4" w:space="0" w:color="auto"/>
            </w:tcBorders>
          </w:tcPr>
          <w:p w14:paraId="61A17CFE"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21</w:t>
            </w:r>
          </w:p>
        </w:tc>
        <w:tc>
          <w:tcPr>
            <w:tcW w:w="1060" w:type="dxa"/>
            <w:tcBorders>
              <w:top w:val="dotted" w:sz="4" w:space="0" w:color="auto"/>
              <w:left w:val="dotted" w:sz="4" w:space="0" w:color="auto"/>
              <w:bottom w:val="dotted" w:sz="4" w:space="0" w:color="auto"/>
              <w:right w:val="dotted" w:sz="4" w:space="0" w:color="auto"/>
            </w:tcBorders>
          </w:tcPr>
          <w:p w14:paraId="0B451A15"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11</w:t>
            </w:r>
          </w:p>
        </w:tc>
        <w:tc>
          <w:tcPr>
            <w:tcW w:w="1058" w:type="dxa"/>
            <w:tcBorders>
              <w:top w:val="dotted" w:sz="4" w:space="0" w:color="auto"/>
              <w:left w:val="dotted" w:sz="4" w:space="0" w:color="auto"/>
              <w:bottom w:val="dotted" w:sz="4" w:space="0" w:color="auto"/>
            </w:tcBorders>
          </w:tcPr>
          <w:p w14:paraId="75064A21"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14</w:t>
            </w:r>
          </w:p>
        </w:tc>
      </w:tr>
      <w:tr w:rsidR="00513955" w:rsidRPr="0091259B" w14:paraId="10CC3B6C" w14:textId="77777777" w:rsidTr="009707D4">
        <w:tc>
          <w:tcPr>
            <w:tcW w:w="630" w:type="dxa"/>
            <w:tcBorders>
              <w:top w:val="dotted" w:sz="4" w:space="0" w:color="auto"/>
              <w:bottom w:val="single" w:sz="4" w:space="0" w:color="auto"/>
              <w:right w:val="dotted" w:sz="4" w:space="0" w:color="auto"/>
            </w:tcBorders>
          </w:tcPr>
          <w:p w14:paraId="53CA1392" w14:textId="77777777" w:rsidR="00513955" w:rsidRPr="0091259B" w:rsidRDefault="00513955" w:rsidP="009707D4">
            <w:pPr>
              <w:jc w:val="center"/>
              <w:rPr>
                <w:rFonts w:ascii="Times New Roman" w:hAnsi="Times New Roman" w:cs="Times New Roman"/>
                <w:b/>
                <w:bCs/>
                <w:sz w:val="24"/>
                <w:szCs w:val="24"/>
              </w:rPr>
            </w:pPr>
            <w:r w:rsidRPr="0091259B">
              <w:rPr>
                <w:rFonts w:ascii="Times New Roman" w:hAnsi="Times New Roman" w:cs="Times New Roman"/>
                <w:b/>
                <w:bCs/>
                <w:sz w:val="24"/>
                <w:szCs w:val="24"/>
              </w:rPr>
              <w:t>28</w:t>
            </w:r>
          </w:p>
        </w:tc>
        <w:tc>
          <w:tcPr>
            <w:tcW w:w="1060" w:type="dxa"/>
            <w:tcBorders>
              <w:top w:val="dotted" w:sz="4" w:space="0" w:color="auto"/>
              <w:left w:val="dotted" w:sz="4" w:space="0" w:color="auto"/>
              <w:bottom w:val="single" w:sz="4" w:space="0" w:color="auto"/>
              <w:right w:val="dotted" w:sz="4" w:space="0" w:color="auto"/>
            </w:tcBorders>
          </w:tcPr>
          <w:p w14:paraId="0A5D985E"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7</w:t>
            </w:r>
          </w:p>
        </w:tc>
        <w:tc>
          <w:tcPr>
            <w:tcW w:w="1058" w:type="dxa"/>
            <w:tcBorders>
              <w:top w:val="dotted" w:sz="4" w:space="0" w:color="auto"/>
              <w:left w:val="dotted" w:sz="4" w:space="0" w:color="auto"/>
              <w:bottom w:val="single" w:sz="4" w:space="0" w:color="auto"/>
            </w:tcBorders>
          </w:tcPr>
          <w:p w14:paraId="43AAF6D6" w14:textId="77777777" w:rsidR="00513955" w:rsidRPr="0091259B" w:rsidRDefault="00513955" w:rsidP="009707D4">
            <w:pPr>
              <w:jc w:val="center"/>
              <w:rPr>
                <w:rFonts w:ascii="Times New Roman" w:hAnsi="Times New Roman" w:cs="Times New Roman"/>
                <w:sz w:val="24"/>
                <w:szCs w:val="24"/>
              </w:rPr>
            </w:pPr>
            <w:r w:rsidRPr="0091259B">
              <w:rPr>
                <w:rFonts w:ascii="Times New Roman" w:hAnsi="Times New Roman" w:cs="Times New Roman"/>
                <w:sz w:val="24"/>
                <w:szCs w:val="24"/>
              </w:rPr>
              <w:t>13</w:t>
            </w:r>
          </w:p>
        </w:tc>
      </w:tr>
    </w:tbl>
    <w:p w14:paraId="0610633F" w14:textId="26D84801" w:rsidR="00513955" w:rsidRDefault="00513955">
      <w:pPr>
        <w:rPr>
          <w:rFonts w:eastAsia="Times New Roman"/>
          <w:b/>
          <w:bCs/>
          <w:kern w:val="28"/>
          <w:sz w:val="24"/>
          <w:szCs w:val="24"/>
        </w:rPr>
      </w:pPr>
    </w:p>
    <w:p w14:paraId="661CDE2B" w14:textId="5CC2FC4F" w:rsidR="00513955" w:rsidRPr="00B5326E" w:rsidRDefault="00513955" w:rsidP="00574F27">
      <w:pPr>
        <w:spacing w:afterLines="100" w:after="240"/>
        <w:rPr>
          <w:sz w:val="24"/>
          <w:szCs w:val="24"/>
        </w:rPr>
      </w:pPr>
      <w:bookmarkStart w:id="0" w:name="_GoBack"/>
      <w:bookmarkEnd w:id="0"/>
    </w:p>
    <w:sectPr w:rsidR="00513955" w:rsidRPr="00B5326E" w:rsidSect="004A10BE">
      <w:footerReference w:type="even" r:id="rId11"/>
      <w:footerReference w:type="default" r:id="rId12"/>
      <w:headerReference w:type="first" r:id="rId13"/>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79825" w14:textId="77777777" w:rsidR="000A2939" w:rsidRDefault="000A2939" w:rsidP="004A10BE">
      <w:r>
        <w:separator/>
      </w:r>
    </w:p>
  </w:endnote>
  <w:endnote w:type="continuationSeparator" w:id="0">
    <w:p w14:paraId="05BB54FF" w14:textId="77777777" w:rsidR="000A2939" w:rsidRDefault="000A2939"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58953518"/>
      <w:docPartObj>
        <w:docPartGallery w:val="Page Numbers (Bottom of Page)"/>
        <w:docPartUnique/>
      </w:docPartObj>
    </w:sdtPr>
    <w:sdtEndPr>
      <w:rPr>
        <w:rStyle w:val="PageNumber"/>
      </w:rPr>
    </w:sdtEndPr>
    <w:sdtContent>
      <w:p w14:paraId="7790E1F8" w14:textId="2459E122" w:rsidR="008E6851" w:rsidRDefault="008E6851" w:rsidP="00AC29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2312B1" w14:textId="77777777" w:rsidR="008E6851" w:rsidRDefault="008E6851" w:rsidP="009125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81171465"/>
      <w:docPartObj>
        <w:docPartGallery w:val="Page Numbers (Bottom of Page)"/>
        <w:docPartUnique/>
      </w:docPartObj>
    </w:sdtPr>
    <w:sdtEndPr>
      <w:rPr>
        <w:rStyle w:val="PageNumber"/>
      </w:rPr>
    </w:sdtEndPr>
    <w:sdtContent>
      <w:p w14:paraId="685F7898" w14:textId="62FB4640" w:rsidR="008E6851" w:rsidRDefault="008E6851" w:rsidP="00AC29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74F27">
          <w:rPr>
            <w:rStyle w:val="PageNumber"/>
            <w:noProof/>
          </w:rPr>
          <w:t>7</w:t>
        </w:r>
        <w:r>
          <w:rPr>
            <w:rStyle w:val="PageNumber"/>
          </w:rPr>
          <w:fldChar w:fldCharType="end"/>
        </w:r>
      </w:p>
    </w:sdtContent>
  </w:sdt>
  <w:p w14:paraId="7E60F337" w14:textId="77777777" w:rsidR="008E6851" w:rsidRDefault="008E6851" w:rsidP="009125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46373" w14:textId="77777777" w:rsidR="000A2939" w:rsidRDefault="000A2939" w:rsidP="004A10BE">
      <w:r>
        <w:separator/>
      </w:r>
    </w:p>
  </w:footnote>
  <w:footnote w:type="continuationSeparator" w:id="0">
    <w:p w14:paraId="6C369288" w14:textId="77777777" w:rsidR="000A2939" w:rsidRDefault="000A2939" w:rsidP="004A1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E752E" w14:textId="77777777" w:rsidR="008573F1" w:rsidRDefault="008573F1" w:rsidP="004A10BE">
    <w:pPr>
      <w:pStyle w:val="Header"/>
    </w:pPr>
  </w:p>
  <w:p w14:paraId="2AB23E5A" w14:textId="035C103C" w:rsidR="008573F1" w:rsidRPr="00204015" w:rsidRDefault="008573F1" w:rsidP="004A10BE">
    <w:pPr>
      <w:pStyle w:val="Header"/>
    </w:pPr>
    <w:r>
      <w:tab/>
    </w:r>
    <w:r w:rsidRPr="00204015">
      <w:t>Submitted Manuscript:  Confidential</w:t>
    </w:r>
    <w:r>
      <w:tab/>
    </w:r>
    <w:r w:rsidR="005341F3">
      <w:t xml:space="preserve">             </w:t>
    </w:r>
  </w:p>
  <w:p w14:paraId="130ED7F7" w14:textId="77777777" w:rsidR="008573F1" w:rsidRDefault="008573F1" w:rsidP="004A1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1D"/>
    <w:rsid w:val="00010E69"/>
    <w:rsid w:val="00015855"/>
    <w:rsid w:val="0001790F"/>
    <w:rsid w:val="0002067A"/>
    <w:rsid w:val="00023672"/>
    <w:rsid w:val="00027D80"/>
    <w:rsid w:val="0004257C"/>
    <w:rsid w:val="00046D74"/>
    <w:rsid w:val="00056579"/>
    <w:rsid w:val="00067A6E"/>
    <w:rsid w:val="000853DE"/>
    <w:rsid w:val="0008650E"/>
    <w:rsid w:val="0008753D"/>
    <w:rsid w:val="00096361"/>
    <w:rsid w:val="000A2939"/>
    <w:rsid w:val="000A2C09"/>
    <w:rsid w:val="000B10E8"/>
    <w:rsid w:val="000B3858"/>
    <w:rsid w:val="000B4C7C"/>
    <w:rsid w:val="000B5566"/>
    <w:rsid w:val="000B5882"/>
    <w:rsid w:val="000B6CD9"/>
    <w:rsid w:val="000C134D"/>
    <w:rsid w:val="000C2586"/>
    <w:rsid w:val="000C3598"/>
    <w:rsid w:val="000C4EDF"/>
    <w:rsid w:val="000E4E26"/>
    <w:rsid w:val="00103F12"/>
    <w:rsid w:val="001072FC"/>
    <w:rsid w:val="00130CA1"/>
    <w:rsid w:val="00134431"/>
    <w:rsid w:val="00143FC8"/>
    <w:rsid w:val="001454A6"/>
    <w:rsid w:val="00145E73"/>
    <w:rsid w:val="00152225"/>
    <w:rsid w:val="0016290F"/>
    <w:rsid w:val="0016523E"/>
    <w:rsid w:val="00170DC3"/>
    <w:rsid w:val="00175CBB"/>
    <w:rsid w:val="00177CF1"/>
    <w:rsid w:val="00186155"/>
    <w:rsid w:val="001862B1"/>
    <w:rsid w:val="00197906"/>
    <w:rsid w:val="001B2FFF"/>
    <w:rsid w:val="001B3725"/>
    <w:rsid w:val="001B6547"/>
    <w:rsid w:val="001B6A0A"/>
    <w:rsid w:val="001B7FCB"/>
    <w:rsid w:val="001C6DFB"/>
    <w:rsid w:val="001C6EDA"/>
    <w:rsid w:val="001C7166"/>
    <w:rsid w:val="001D1D05"/>
    <w:rsid w:val="001F464B"/>
    <w:rsid w:val="00203592"/>
    <w:rsid w:val="00205DD7"/>
    <w:rsid w:val="00211E95"/>
    <w:rsid w:val="00216FA4"/>
    <w:rsid w:val="00217AE4"/>
    <w:rsid w:val="00220125"/>
    <w:rsid w:val="00227BF9"/>
    <w:rsid w:val="00233952"/>
    <w:rsid w:val="00233C4E"/>
    <w:rsid w:val="00240A26"/>
    <w:rsid w:val="0024167A"/>
    <w:rsid w:val="002434FA"/>
    <w:rsid w:val="0024773E"/>
    <w:rsid w:val="002657B0"/>
    <w:rsid w:val="00274829"/>
    <w:rsid w:val="00282E30"/>
    <w:rsid w:val="00282FA6"/>
    <w:rsid w:val="00287C0C"/>
    <w:rsid w:val="002A25B6"/>
    <w:rsid w:val="002A4E73"/>
    <w:rsid w:val="002C2220"/>
    <w:rsid w:val="002C5592"/>
    <w:rsid w:val="002C72C2"/>
    <w:rsid w:val="002D058B"/>
    <w:rsid w:val="002D2148"/>
    <w:rsid w:val="002D21D1"/>
    <w:rsid w:val="002E444F"/>
    <w:rsid w:val="002E5ACD"/>
    <w:rsid w:val="002E5CDD"/>
    <w:rsid w:val="002F4D23"/>
    <w:rsid w:val="00311429"/>
    <w:rsid w:val="003145DF"/>
    <w:rsid w:val="003202D7"/>
    <w:rsid w:val="00335030"/>
    <w:rsid w:val="00335A44"/>
    <w:rsid w:val="00342616"/>
    <w:rsid w:val="003534DE"/>
    <w:rsid w:val="003623FC"/>
    <w:rsid w:val="00376FB8"/>
    <w:rsid w:val="003A5205"/>
    <w:rsid w:val="003A5F64"/>
    <w:rsid w:val="003A62CC"/>
    <w:rsid w:val="003C0C0A"/>
    <w:rsid w:val="003C43BD"/>
    <w:rsid w:val="003C7833"/>
    <w:rsid w:val="003D5A1D"/>
    <w:rsid w:val="003E051F"/>
    <w:rsid w:val="003E19C3"/>
    <w:rsid w:val="003E4C8E"/>
    <w:rsid w:val="00401246"/>
    <w:rsid w:val="00411E1F"/>
    <w:rsid w:val="00413509"/>
    <w:rsid w:val="00414F6B"/>
    <w:rsid w:val="00420B3F"/>
    <w:rsid w:val="00431385"/>
    <w:rsid w:val="00446258"/>
    <w:rsid w:val="00447F47"/>
    <w:rsid w:val="00451C3E"/>
    <w:rsid w:val="00472254"/>
    <w:rsid w:val="00476497"/>
    <w:rsid w:val="00477122"/>
    <w:rsid w:val="00483D7A"/>
    <w:rsid w:val="00485BFD"/>
    <w:rsid w:val="00487E8B"/>
    <w:rsid w:val="00490912"/>
    <w:rsid w:val="004940DD"/>
    <w:rsid w:val="00494CDD"/>
    <w:rsid w:val="00495C1D"/>
    <w:rsid w:val="004963F6"/>
    <w:rsid w:val="004A10BE"/>
    <w:rsid w:val="004B386E"/>
    <w:rsid w:val="004C2DD6"/>
    <w:rsid w:val="004F0155"/>
    <w:rsid w:val="004F059E"/>
    <w:rsid w:val="004F56DF"/>
    <w:rsid w:val="0050325A"/>
    <w:rsid w:val="0051135A"/>
    <w:rsid w:val="00513955"/>
    <w:rsid w:val="005222BE"/>
    <w:rsid w:val="00524C76"/>
    <w:rsid w:val="00527879"/>
    <w:rsid w:val="005341F3"/>
    <w:rsid w:val="005358B1"/>
    <w:rsid w:val="005371C0"/>
    <w:rsid w:val="005400FA"/>
    <w:rsid w:val="00540789"/>
    <w:rsid w:val="0054096B"/>
    <w:rsid w:val="005474D0"/>
    <w:rsid w:val="00550071"/>
    <w:rsid w:val="0055082E"/>
    <w:rsid w:val="00551A82"/>
    <w:rsid w:val="00552069"/>
    <w:rsid w:val="00554111"/>
    <w:rsid w:val="00556C7A"/>
    <w:rsid w:val="00562070"/>
    <w:rsid w:val="0056310B"/>
    <w:rsid w:val="00574F27"/>
    <w:rsid w:val="005815C7"/>
    <w:rsid w:val="00582D07"/>
    <w:rsid w:val="005859F5"/>
    <w:rsid w:val="0059103C"/>
    <w:rsid w:val="0059436D"/>
    <w:rsid w:val="00596AEF"/>
    <w:rsid w:val="005A33DA"/>
    <w:rsid w:val="005B1769"/>
    <w:rsid w:val="005B2DA1"/>
    <w:rsid w:val="005C2373"/>
    <w:rsid w:val="005D0C80"/>
    <w:rsid w:val="005D2D8A"/>
    <w:rsid w:val="005D5C8E"/>
    <w:rsid w:val="005E150F"/>
    <w:rsid w:val="005E4EDB"/>
    <w:rsid w:val="006140DF"/>
    <w:rsid w:val="00616B56"/>
    <w:rsid w:val="0062053C"/>
    <w:rsid w:val="0062164D"/>
    <w:rsid w:val="0062456A"/>
    <w:rsid w:val="00627307"/>
    <w:rsid w:val="006310FF"/>
    <w:rsid w:val="0063267F"/>
    <w:rsid w:val="0064261D"/>
    <w:rsid w:val="00646445"/>
    <w:rsid w:val="00664164"/>
    <w:rsid w:val="006643B7"/>
    <w:rsid w:val="0066796A"/>
    <w:rsid w:val="0067446C"/>
    <w:rsid w:val="00674959"/>
    <w:rsid w:val="00674BF4"/>
    <w:rsid w:val="0068450A"/>
    <w:rsid w:val="00685664"/>
    <w:rsid w:val="006979E0"/>
    <w:rsid w:val="006B115E"/>
    <w:rsid w:val="006B14C3"/>
    <w:rsid w:val="006B4CE4"/>
    <w:rsid w:val="006C5353"/>
    <w:rsid w:val="006D29DB"/>
    <w:rsid w:val="006E30D9"/>
    <w:rsid w:val="006F205B"/>
    <w:rsid w:val="00710ACD"/>
    <w:rsid w:val="00731C76"/>
    <w:rsid w:val="00736622"/>
    <w:rsid w:val="0074020C"/>
    <w:rsid w:val="00741F08"/>
    <w:rsid w:val="00744222"/>
    <w:rsid w:val="00745F0D"/>
    <w:rsid w:val="00751737"/>
    <w:rsid w:val="007539D1"/>
    <w:rsid w:val="007556C9"/>
    <w:rsid w:val="00763A00"/>
    <w:rsid w:val="0077326F"/>
    <w:rsid w:val="00773FEA"/>
    <w:rsid w:val="007759B0"/>
    <w:rsid w:val="00776A2D"/>
    <w:rsid w:val="007805F1"/>
    <w:rsid w:val="007831F4"/>
    <w:rsid w:val="00785D85"/>
    <w:rsid w:val="0078657C"/>
    <w:rsid w:val="00786F10"/>
    <w:rsid w:val="0079041A"/>
    <w:rsid w:val="00790B88"/>
    <w:rsid w:val="00794679"/>
    <w:rsid w:val="007A1EA4"/>
    <w:rsid w:val="007B2757"/>
    <w:rsid w:val="007E343F"/>
    <w:rsid w:val="007E5A6D"/>
    <w:rsid w:val="007E68E3"/>
    <w:rsid w:val="0080160F"/>
    <w:rsid w:val="00817110"/>
    <w:rsid w:val="00820671"/>
    <w:rsid w:val="00821273"/>
    <w:rsid w:val="00821BDA"/>
    <w:rsid w:val="00826B7B"/>
    <w:rsid w:val="008312AD"/>
    <w:rsid w:val="008320DE"/>
    <w:rsid w:val="00832FBD"/>
    <w:rsid w:val="00840C10"/>
    <w:rsid w:val="00841015"/>
    <w:rsid w:val="00847D79"/>
    <w:rsid w:val="008573F1"/>
    <w:rsid w:val="008620E8"/>
    <w:rsid w:val="00864A49"/>
    <w:rsid w:val="008669B2"/>
    <w:rsid w:val="008716D5"/>
    <w:rsid w:val="00877796"/>
    <w:rsid w:val="008872F7"/>
    <w:rsid w:val="0089043D"/>
    <w:rsid w:val="008B220C"/>
    <w:rsid w:val="008C01F1"/>
    <w:rsid w:val="008D1CE5"/>
    <w:rsid w:val="008D7795"/>
    <w:rsid w:val="008E5932"/>
    <w:rsid w:val="008E6851"/>
    <w:rsid w:val="008F6D55"/>
    <w:rsid w:val="009014E2"/>
    <w:rsid w:val="00910803"/>
    <w:rsid w:val="00910E3C"/>
    <w:rsid w:val="0091259B"/>
    <w:rsid w:val="009230E5"/>
    <w:rsid w:val="00923498"/>
    <w:rsid w:val="009269A6"/>
    <w:rsid w:val="00927175"/>
    <w:rsid w:val="00927373"/>
    <w:rsid w:val="00932E9F"/>
    <w:rsid w:val="0093670B"/>
    <w:rsid w:val="0093733A"/>
    <w:rsid w:val="00937B68"/>
    <w:rsid w:val="00942275"/>
    <w:rsid w:val="009438BF"/>
    <w:rsid w:val="00943D39"/>
    <w:rsid w:val="00955C09"/>
    <w:rsid w:val="009624CA"/>
    <w:rsid w:val="0096289C"/>
    <w:rsid w:val="00981F0A"/>
    <w:rsid w:val="00986019"/>
    <w:rsid w:val="009868E3"/>
    <w:rsid w:val="009A00B0"/>
    <w:rsid w:val="009A2EFB"/>
    <w:rsid w:val="009B04CF"/>
    <w:rsid w:val="009B1602"/>
    <w:rsid w:val="009B4ADB"/>
    <w:rsid w:val="009C2F32"/>
    <w:rsid w:val="009D5179"/>
    <w:rsid w:val="009F4FBC"/>
    <w:rsid w:val="009F544C"/>
    <w:rsid w:val="00A045DE"/>
    <w:rsid w:val="00A2214C"/>
    <w:rsid w:val="00A22695"/>
    <w:rsid w:val="00A26626"/>
    <w:rsid w:val="00A267EE"/>
    <w:rsid w:val="00A27547"/>
    <w:rsid w:val="00A30B08"/>
    <w:rsid w:val="00A3480E"/>
    <w:rsid w:val="00A351F3"/>
    <w:rsid w:val="00A372B2"/>
    <w:rsid w:val="00A37665"/>
    <w:rsid w:val="00A420FE"/>
    <w:rsid w:val="00A42BD3"/>
    <w:rsid w:val="00A433B0"/>
    <w:rsid w:val="00A47F1C"/>
    <w:rsid w:val="00A51818"/>
    <w:rsid w:val="00A552C7"/>
    <w:rsid w:val="00A65867"/>
    <w:rsid w:val="00A83C4E"/>
    <w:rsid w:val="00A85CEF"/>
    <w:rsid w:val="00A9335A"/>
    <w:rsid w:val="00A9777E"/>
    <w:rsid w:val="00AA1E43"/>
    <w:rsid w:val="00AA4110"/>
    <w:rsid w:val="00AB7AF9"/>
    <w:rsid w:val="00AC1F69"/>
    <w:rsid w:val="00AC3AD8"/>
    <w:rsid w:val="00AC4693"/>
    <w:rsid w:val="00AD73ED"/>
    <w:rsid w:val="00AE3304"/>
    <w:rsid w:val="00AE53FE"/>
    <w:rsid w:val="00B0011E"/>
    <w:rsid w:val="00B04A7E"/>
    <w:rsid w:val="00B130FB"/>
    <w:rsid w:val="00B177BD"/>
    <w:rsid w:val="00B20FB4"/>
    <w:rsid w:val="00B2287C"/>
    <w:rsid w:val="00B26917"/>
    <w:rsid w:val="00B26A48"/>
    <w:rsid w:val="00B3718F"/>
    <w:rsid w:val="00B4116E"/>
    <w:rsid w:val="00B44F7B"/>
    <w:rsid w:val="00B471F7"/>
    <w:rsid w:val="00B5326E"/>
    <w:rsid w:val="00B574C8"/>
    <w:rsid w:val="00B577FD"/>
    <w:rsid w:val="00B6106E"/>
    <w:rsid w:val="00B64AAD"/>
    <w:rsid w:val="00B67127"/>
    <w:rsid w:val="00B86701"/>
    <w:rsid w:val="00B94F0B"/>
    <w:rsid w:val="00B9714A"/>
    <w:rsid w:val="00BA33C9"/>
    <w:rsid w:val="00BA7E08"/>
    <w:rsid w:val="00BD4A45"/>
    <w:rsid w:val="00BE06FE"/>
    <w:rsid w:val="00BE20E7"/>
    <w:rsid w:val="00BF7542"/>
    <w:rsid w:val="00BF7DD6"/>
    <w:rsid w:val="00C00BE7"/>
    <w:rsid w:val="00C01F92"/>
    <w:rsid w:val="00C07CF7"/>
    <w:rsid w:val="00C11879"/>
    <w:rsid w:val="00C24683"/>
    <w:rsid w:val="00C24CCC"/>
    <w:rsid w:val="00C303FF"/>
    <w:rsid w:val="00C3389C"/>
    <w:rsid w:val="00C34355"/>
    <w:rsid w:val="00C5635E"/>
    <w:rsid w:val="00C60277"/>
    <w:rsid w:val="00C62840"/>
    <w:rsid w:val="00C65FEB"/>
    <w:rsid w:val="00C676A0"/>
    <w:rsid w:val="00C73A8F"/>
    <w:rsid w:val="00C75F07"/>
    <w:rsid w:val="00C769F9"/>
    <w:rsid w:val="00C917E9"/>
    <w:rsid w:val="00CB5419"/>
    <w:rsid w:val="00CB5C78"/>
    <w:rsid w:val="00CC12FB"/>
    <w:rsid w:val="00CC16E1"/>
    <w:rsid w:val="00CE2EDF"/>
    <w:rsid w:val="00CE3B9E"/>
    <w:rsid w:val="00CF27EF"/>
    <w:rsid w:val="00CF3ABA"/>
    <w:rsid w:val="00CF462E"/>
    <w:rsid w:val="00CF4DF2"/>
    <w:rsid w:val="00CF550D"/>
    <w:rsid w:val="00CF72F9"/>
    <w:rsid w:val="00D0079B"/>
    <w:rsid w:val="00D12773"/>
    <w:rsid w:val="00D141C3"/>
    <w:rsid w:val="00D25D22"/>
    <w:rsid w:val="00D52289"/>
    <w:rsid w:val="00D86277"/>
    <w:rsid w:val="00D952C8"/>
    <w:rsid w:val="00DB18E0"/>
    <w:rsid w:val="00DB2ECB"/>
    <w:rsid w:val="00DB3D3D"/>
    <w:rsid w:val="00DB4B50"/>
    <w:rsid w:val="00DB52C6"/>
    <w:rsid w:val="00DB56D3"/>
    <w:rsid w:val="00DB6744"/>
    <w:rsid w:val="00DC0E8E"/>
    <w:rsid w:val="00DD1F80"/>
    <w:rsid w:val="00DD6D0F"/>
    <w:rsid w:val="00DE1188"/>
    <w:rsid w:val="00DE3828"/>
    <w:rsid w:val="00E03285"/>
    <w:rsid w:val="00E21305"/>
    <w:rsid w:val="00E27309"/>
    <w:rsid w:val="00E31560"/>
    <w:rsid w:val="00E35DC4"/>
    <w:rsid w:val="00E367E5"/>
    <w:rsid w:val="00E4152B"/>
    <w:rsid w:val="00E435A8"/>
    <w:rsid w:val="00E46FE6"/>
    <w:rsid w:val="00E47E17"/>
    <w:rsid w:val="00E50AF5"/>
    <w:rsid w:val="00E568AB"/>
    <w:rsid w:val="00E624E3"/>
    <w:rsid w:val="00E657B5"/>
    <w:rsid w:val="00E70DA3"/>
    <w:rsid w:val="00E72D3C"/>
    <w:rsid w:val="00E81A31"/>
    <w:rsid w:val="00E903B2"/>
    <w:rsid w:val="00E91FD4"/>
    <w:rsid w:val="00EB546D"/>
    <w:rsid w:val="00EC419B"/>
    <w:rsid w:val="00EC64A2"/>
    <w:rsid w:val="00ED1B43"/>
    <w:rsid w:val="00ED1B63"/>
    <w:rsid w:val="00ED3D47"/>
    <w:rsid w:val="00ED46B9"/>
    <w:rsid w:val="00EE2396"/>
    <w:rsid w:val="00EE3DF3"/>
    <w:rsid w:val="00EF329D"/>
    <w:rsid w:val="00EF6553"/>
    <w:rsid w:val="00EF7CBE"/>
    <w:rsid w:val="00F06D2C"/>
    <w:rsid w:val="00F11CF7"/>
    <w:rsid w:val="00F20E2B"/>
    <w:rsid w:val="00F329B0"/>
    <w:rsid w:val="00F34F62"/>
    <w:rsid w:val="00F35EC7"/>
    <w:rsid w:val="00F3605E"/>
    <w:rsid w:val="00F36A30"/>
    <w:rsid w:val="00F44BEE"/>
    <w:rsid w:val="00F541F4"/>
    <w:rsid w:val="00F5662C"/>
    <w:rsid w:val="00F61511"/>
    <w:rsid w:val="00F623A9"/>
    <w:rsid w:val="00F63572"/>
    <w:rsid w:val="00F66B33"/>
    <w:rsid w:val="00F67F9E"/>
    <w:rsid w:val="00F742D9"/>
    <w:rsid w:val="00F77DAB"/>
    <w:rsid w:val="00F81C3C"/>
    <w:rsid w:val="00F84785"/>
    <w:rsid w:val="00F904D5"/>
    <w:rsid w:val="00F93EBD"/>
    <w:rsid w:val="00FA0689"/>
    <w:rsid w:val="00FA2894"/>
    <w:rsid w:val="00FA4592"/>
    <w:rsid w:val="00FA6E26"/>
    <w:rsid w:val="00FB2A95"/>
    <w:rsid w:val="00FB6E26"/>
    <w:rsid w:val="00FC44C1"/>
    <w:rsid w:val="00FD09FA"/>
    <w:rsid w:val="00FD1B6C"/>
    <w:rsid w:val="00FD4284"/>
    <w:rsid w:val="00FD67DF"/>
    <w:rsid w:val="00FE33A9"/>
    <w:rsid w:val="00FE3528"/>
    <w:rsid w:val="00FE3ED4"/>
    <w:rsid w:val="00FF4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E2809"/>
  <w15:chartTrackingRefBased/>
  <w15:docId w15:val="{262F7728-816C-CB41-BE31-A5695EB7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7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Text">
    <w:name w:val="Base_Text"/>
    <w:rsid w:val="009A3899"/>
    <w:pPr>
      <w:spacing w:before="120"/>
    </w:pPr>
    <w:rPr>
      <w:rFonts w:eastAsia="Times New Roman"/>
      <w:sz w:val="24"/>
      <w:szCs w:val="24"/>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BalloonText">
    <w:name w:val="Balloon Text"/>
    <w:basedOn w:val="Normal"/>
    <w:link w:val="BalloonTextChar"/>
    <w:semiHidden/>
    <w:rsid w:val="009A3899"/>
    <w:rPr>
      <w:rFonts w:ascii="Lucida Grande" w:eastAsia="Times New Roman" w:hAnsi="Lucida Grande"/>
      <w:sz w:val="18"/>
      <w:szCs w:val="18"/>
    </w:rPr>
  </w:style>
  <w:style w:type="character" w:customStyle="1" w:styleId="BalloonTextChar">
    <w:name w:val="Balloon Text Char"/>
    <w:link w:val="BalloonText"/>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basedOn w:val="bibbase"/>
    <w:rsid w:val="009A3899"/>
    <w:rPr>
      <w:sz w:val="24"/>
    </w:rPr>
  </w:style>
  <w:style w:type="character" w:customStyle="1" w:styleId="bibdeg">
    <w:name w:val="bib_deg"/>
    <w:basedOn w:val="bibbase"/>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basedOn w:val="bibbase"/>
    <w:rsid w:val="009A3899"/>
    <w:rPr>
      <w:sz w:val="24"/>
    </w:rPr>
  </w:style>
  <w:style w:type="character" w:customStyle="1" w:styleId="bibnumber">
    <w:name w:val="bib_number"/>
    <w:basedOn w:val="bibbase"/>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basedOn w:val="bibbase"/>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basedOn w:val="bibbase"/>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basedOn w:val="citebase"/>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CommentReference">
    <w:name w:val="annotation reference"/>
    <w:uiPriority w:val="99"/>
    <w:rsid w:val="009A3899"/>
    <w:rPr>
      <w:sz w:val="18"/>
      <w:szCs w:val="18"/>
    </w:rPr>
  </w:style>
  <w:style w:type="paragraph" w:styleId="CommentText">
    <w:name w:val="annotation text"/>
    <w:basedOn w:val="Normal"/>
    <w:link w:val="CommentTextChar"/>
    <w:uiPriority w:val="99"/>
    <w:semiHidden/>
    <w:rsid w:val="009A3899"/>
    <w:rPr>
      <w:rFonts w:eastAsia="Times New Roman"/>
    </w:rPr>
  </w:style>
  <w:style w:type="character" w:customStyle="1" w:styleId="CommentTextChar">
    <w:name w:val="Comment Text Char"/>
    <w:link w:val="CommentText"/>
    <w:uiPriority w:val="99"/>
    <w:semiHidden/>
    <w:rsid w:val="009A38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A3899"/>
    <w:rPr>
      <w:b/>
      <w:bCs/>
    </w:rPr>
  </w:style>
  <w:style w:type="character" w:customStyle="1" w:styleId="CommentSubjectChar">
    <w:name w:val="Comment Subject Char"/>
    <w:link w:val="CommentSubject"/>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Emphasis">
    <w:name w:val="Emphasis"/>
    <w:uiPriority w:val="20"/>
    <w:qFormat/>
    <w:rsid w:val="009A3899"/>
    <w:rPr>
      <w:i/>
      <w:iCs/>
    </w:rPr>
  </w:style>
  <w:style w:type="character" w:styleId="EndnoteReference">
    <w:name w:val="endnote reference"/>
    <w:semiHidden/>
    <w:rsid w:val="009A3899"/>
    <w:rPr>
      <w:vertAlign w:val="superscript"/>
    </w:rPr>
  </w:style>
  <w:style w:type="paragraph" w:styleId="EndnoteText">
    <w:name w:val="endnote text"/>
    <w:basedOn w:val="Normal"/>
    <w:link w:val="EndnoteTextChar"/>
    <w:semiHidden/>
    <w:rsid w:val="009A3899"/>
    <w:rPr>
      <w:rFonts w:ascii="Cambria" w:eastAsia="Cambria" w:hAnsi="Cambria"/>
    </w:rPr>
  </w:style>
  <w:style w:type="character" w:customStyle="1" w:styleId="EndnoteTextChar">
    <w:name w:val="Endnote Text Char"/>
    <w:link w:val="EndnoteText"/>
    <w:semiHidden/>
    <w:rsid w:val="009A3899"/>
    <w:rPr>
      <w:rFonts w:ascii="Cambria" w:eastAsia="Cambria" w:hAnsi="Cambria"/>
      <w:sz w:val="20"/>
      <w:szCs w:val="20"/>
    </w:rPr>
  </w:style>
  <w:style w:type="character" w:customStyle="1" w:styleId="eqno">
    <w:name w:val="eq_no"/>
    <w:basedOn w:val="citebase"/>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FollowedHyperlink">
    <w:name w:val="FollowedHyperlink"/>
    <w:rsid w:val="009A3899"/>
    <w:rPr>
      <w:color w:val="800080"/>
      <w:u w:val="single"/>
    </w:rPr>
  </w:style>
  <w:style w:type="paragraph" w:styleId="Footer">
    <w:name w:val="footer"/>
    <w:basedOn w:val="Normal"/>
    <w:link w:val="FooterChar"/>
    <w:rsid w:val="009A3899"/>
    <w:pPr>
      <w:tabs>
        <w:tab w:val="center" w:pos="4320"/>
        <w:tab w:val="right" w:pos="8640"/>
      </w:tabs>
    </w:pPr>
    <w:rPr>
      <w:rFonts w:eastAsia="Times New Roman"/>
    </w:rPr>
  </w:style>
  <w:style w:type="character" w:customStyle="1" w:styleId="FooterChar">
    <w:name w:val="Footer Char"/>
    <w:link w:val="Footer"/>
    <w:rsid w:val="009A3899"/>
    <w:rPr>
      <w:rFonts w:ascii="Times New Roman" w:eastAsia="Times New Roman" w:hAnsi="Times New Roman"/>
      <w:sz w:val="20"/>
      <w:szCs w:val="20"/>
    </w:rPr>
  </w:style>
  <w:style w:type="character" w:styleId="FootnoteReference">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Header">
    <w:name w:val="header"/>
    <w:basedOn w:val="Normal"/>
    <w:link w:val="HeaderChar"/>
    <w:rsid w:val="009A3899"/>
    <w:pPr>
      <w:tabs>
        <w:tab w:val="center" w:pos="4320"/>
        <w:tab w:val="right" w:pos="8640"/>
      </w:tabs>
    </w:pPr>
    <w:rPr>
      <w:rFonts w:eastAsia="Times New Roman"/>
    </w:rPr>
  </w:style>
  <w:style w:type="character" w:customStyle="1" w:styleId="HeaderChar">
    <w:name w:val="Header Char"/>
    <w:link w:val="Header"/>
    <w:rsid w:val="009A3899"/>
    <w:rPr>
      <w:rFonts w:ascii="Times New Roman" w:eastAsia="Times New Roman" w:hAnsi="Times New Roman"/>
      <w:sz w:val="20"/>
      <w:szCs w:val="20"/>
    </w:rPr>
  </w:style>
  <w:style w:type="character" w:styleId="HTMLAcronym">
    <w:name w:val="HTML Acronym"/>
    <w:basedOn w:val="DefaultParagraphFont"/>
    <w:rsid w:val="009A3899"/>
  </w:style>
  <w:style w:type="character" w:styleId="HTMLCite">
    <w:name w:val="HTML Cite"/>
    <w:rsid w:val="009A3899"/>
    <w:rPr>
      <w:i/>
      <w:iCs/>
    </w:rPr>
  </w:style>
  <w:style w:type="character" w:styleId="HTMLCode">
    <w:name w:val="HTML Code"/>
    <w:rsid w:val="009A3899"/>
    <w:rPr>
      <w:rFonts w:ascii="Courier New" w:hAnsi="Courier New" w:cs="Courier New"/>
      <w:sz w:val="20"/>
      <w:szCs w:val="20"/>
    </w:rPr>
  </w:style>
  <w:style w:type="character" w:styleId="HTMLDefinition">
    <w:name w:val="HTML Definition"/>
    <w:rsid w:val="009A3899"/>
    <w:rPr>
      <w:i/>
      <w:iCs/>
    </w:rPr>
  </w:style>
  <w:style w:type="character" w:styleId="HTMLKeyboard">
    <w:name w:val="HTML Keyboard"/>
    <w:rsid w:val="009A3899"/>
    <w:rPr>
      <w:rFonts w:ascii="Courier New" w:hAnsi="Courier New" w:cs="Courier New"/>
      <w:sz w:val="20"/>
      <w:szCs w:val="20"/>
    </w:rPr>
  </w:style>
  <w:style w:type="paragraph" w:styleId="HTMLPreformatted">
    <w:name w:val="HTML Preformatted"/>
    <w:basedOn w:val="Normal"/>
    <w:link w:val="HTMLPreformattedChar"/>
    <w:rsid w:val="009A3899"/>
    <w:rPr>
      <w:rFonts w:ascii="Consolas" w:eastAsia="Times New Roman" w:hAnsi="Consolas"/>
    </w:rPr>
  </w:style>
  <w:style w:type="character" w:customStyle="1" w:styleId="HTMLPreformattedChar">
    <w:name w:val="HTML Preformatted Char"/>
    <w:link w:val="HTMLPreformatted"/>
    <w:rsid w:val="009A3899"/>
    <w:rPr>
      <w:rFonts w:ascii="Consolas" w:eastAsia="Times New Roman" w:hAnsi="Consolas"/>
      <w:sz w:val="20"/>
      <w:szCs w:val="20"/>
    </w:rPr>
  </w:style>
  <w:style w:type="character" w:styleId="HTMLSample">
    <w:name w:val="HTML Sample"/>
    <w:rsid w:val="009A3899"/>
    <w:rPr>
      <w:rFonts w:ascii="Courier New" w:hAnsi="Courier New" w:cs="Courier New"/>
    </w:rPr>
  </w:style>
  <w:style w:type="character" w:styleId="HTMLTypewriter">
    <w:name w:val="HTML Typewriter"/>
    <w:rsid w:val="009A3899"/>
    <w:rPr>
      <w:rFonts w:ascii="Courier New" w:hAnsi="Courier New" w:cs="Courier New"/>
      <w:sz w:val="20"/>
      <w:szCs w:val="20"/>
    </w:rPr>
  </w:style>
  <w:style w:type="character" w:styleId="HTMLVariable">
    <w:name w:val="HTML Variable"/>
    <w:rsid w:val="009A3899"/>
    <w:rPr>
      <w:i/>
      <w:iCs/>
    </w:rPr>
  </w:style>
  <w:style w:type="character" w:styleId="Hyperlink">
    <w:name w:val="Hyperlink"/>
    <w:uiPriority w:val="99"/>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LineNumber">
    <w:name w:val="line number"/>
    <w:basedOn w:val="DefaultParagraphFont"/>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PageNumber">
    <w:name w:val="page number"/>
    <w:basedOn w:val="DefaultParagraphFont"/>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Strong">
    <w:name w:val="Strong"/>
    <w:uiPriority w:val="22"/>
    <w:qFormat/>
    <w:rsid w:val="009A3899"/>
    <w:rPr>
      <w:b/>
      <w:bCs/>
    </w:rPr>
  </w:style>
  <w:style w:type="paragraph" w:customStyle="1" w:styleId="SX-Abstract">
    <w:name w:val="SX-Abstract"/>
    <w:basedOn w:val="Normal"/>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9A3899"/>
    <w:pPr>
      <w:spacing w:after="160" w:line="190" w:lineRule="exact"/>
    </w:pPr>
    <w:rPr>
      <w:rFonts w:ascii="BlissRegular" w:eastAsia="Times New Roman" w:hAnsi="BlissRegular"/>
      <w:sz w:val="16"/>
    </w:rPr>
  </w:style>
  <w:style w:type="paragraph" w:customStyle="1" w:styleId="SX-Articlehead">
    <w:name w:val="SX-Article head"/>
    <w:basedOn w:val="Normal"/>
    <w:qFormat/>
    <w:rsid w:val="009A3899"/>
    <w:pPr>
      <w:spacing w:before="210" w:line="210" w:lineRule="exact"/>
      <w:ind w:firstLine="288"/>
      <w:jc w:val="both"/>
    </w:pPr>
    <w:rPr>
      <w:rFonts w:eastAsia="Times New Roman"/>
      <w:b/>
      <w:sz w:val="18"/>
    </w:rPr>
  </w:style>
  <w:style w:type="paragraph" w:customStyle="1" w:styleId="SX-Authornames">
    <w:name w:val="SX-Author names"/>
    <w:basedOn w:val="Normal"/>
    <w:rsid w:val="009A3899"/>
    <w:pPr>
      <w:spacing w:after="120" w:line="210" w:lineRule="exact"/>
    </w:pPr>
    <w:rPr>
      <w:rFonts w:ascii="BlissMedium" w:eastAsia="Times New Roman" w:hAnsi="BlissMedium"/>
    </w:rPr>
  </w:style>
  <w:style w:type="paragraph" w:customStyle="1" w:styleId="SX-Bodytext">
    <w:name w:val="SX-Body text"/>
    <w:basedOn w:val="Normal"/>
    <w:next w:val="Normal"/>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Normal"/>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Normal"/>
    <w:rsid w:val="009A3899"/>
    <w:pPr>
      <w:spacing w:line="190" w:lineRule="exact"/>
      <w:ind w:left="245" w:hanging="245"/>
      <w:jc w:val="both"/>
    </w:pPr>
    <w:rPr>
      <w:rFonts w:eastAsia="Times New Roman"/>
      <w:sz w:val="16"/>
    </w:rPr>
  </w:style>
  <w:style w:type="paragraph" w:customStyle="1" w:styleId="SX-RefHead">
    <w:name w:val="SX-RefHead"/>
    <w:basedOn w:val="Normal"/>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Normal"/>
    <w:qFormat/>
    <w:rsid w:val="009A3899"/>
    <w:rPr>
      <w:rFonts w:eastAsia="Times New Roman"/>
      <w:szCs w:val="24"/>
    </w:rPr>
  </w:style>
  <w:style w:type="paragraph" w:customStyle="1" w:styleId="SX-Tablelegend">
    <w:name w:val="SX-Tablelegend"/>
    <w:basedOn w:val="Normal"/>
    <w:qFormat/>
    <w:rsid w:val="009A3899"/>
    <w:pPr>
      <w:spacing w:line="190" w:lineRule="exact"/>
      <w:ind w:left="245" w:hanging="245"/>
      <w:jc w:val="both"/>
    </w:pPr>
    <w:rPr>
      <w:rFonts w:eastAsia="Times New Roman"/>
      <w:sz w:val="16"/>
    </w:rPr>
  </w:style>
  <w:style w:type="paragraph" w:customStyle="1" w:styleId="SX-Tabletext">
    <w:name w:val="SX-Tabletext"/>
    <w:basedOn w:val="Normal"/>
    <w:qFormat/>
    <w:rsid w:val="009A3899"/>
    <w:pPr>
      <w:spacing w:line="210" w:lineRule="exact"/>
      <w:jc w:val="center"/>
    </w:pPr>
    <w:rPr>
      <w:rFonts w:eastAsia="Times New Roman"/>
      <w:sz w:val="18"/>
    </w:rPr>
  </w:style>
  <w:style w:type="paragraph" w:customStyle="1" w:styleId="SX-Tabletitle">
    <w:name w:val="SX-Tabletitle"/>
    <w:basedOn w:val="Normal"/>
    <w:qFormat/>
    <w:rsid w:val="009A3899"/>
    <w:pPr>
      <w:spacing w:after="120" w:line="210" w:lineRule="exact"/>
      <w:jc w:val="both"/>
    </w:pPr>
    <w:rPr>
      <w:rFonts w:ascii="BlissMedium" w:eastAsia="Times New Roman" w:hAnsi="BlissMedium"/>
      <w:sz w:val="18"/>
    </w:rPr>
  </w:style>
  <w:style w:type="paragraph" w:customStyle="1" w:styleId="SX-Title">
    <w:name w:val="SX-Title"/>
    <w:basedOn w:val="Normal"/>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Normal"/>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DefaultParagraphFont"/>
    <w:rsid w:val="00943D39"/>
  </w:style>
  <w:style w:type="character" w:customStyle="1" w:styleId="custom-cit-title">
    <w:name w:val="custom-cit-title"/>
    <w:basedOn w:val="DefaultParagraphFont"/>
    <w:rsid w:val="00943D39"/>
  </w:style>
  <w:style w:type="character" w:customStyle="1" w:styleId="custom-cit-jour-title">
    <w:name w:val="custom-cit-jour-title"/>
    <w:basedOn w:val="DefaultParagraphFont"/>
    <w:rsid w:val="00943D39"/>
  </w:style>
  <w:style w:type="character" w:customStyle="1" w:styleId="custom-cit-volume">
    <w:name w:val="custom-cit-volume"/>
    <w:basedOn w:val="DefaultParagraphFont"/>
    <w:rsid w:val="00943D39"/>
  </w:style>
  <w:style w:type="character" w:customStyle="1" w:styleId="custom-cit-volume-sep">
    <w:name w:val="custom-cit-volume-sep"/>
    <w:basedOn w:val="DefaultParagraphFont"/>
    <w:rsid w:val="00943D39"/>
  </w:style>
  <w:style w:type="character" w:customStyle="1" w:styleId="custom-cit-fpage">
    <w:name w:val="custom-cit-fpage"/>
    <w:basedOn w:val="DefaultParagraphFont"/>
    <w:rsid w:val="00943D39"/>
  </w:style>
  <w:style w:type="character" w:customStyle="1" w:styleId="custom-cit-date">
    <w:name w:val="custom-cit-date"/>
    <w:basedOn w:val="DefaultParagraphFont"/>
    <w:rsid w:val="00943D39"/>
  </w:style>
  <w:style w:type="character" w:customStyle="1" w:styleId="UnresolvedMention">
    <w:name w:val="Unresolved Mention"/>
    <w:uiPriority w:val="99"/>
    <w:semiHidden/>
    <w:unhideWhenUsed/>
    <w:rsid w:val="00175CBB"/>
    <w:rPr>
      <w:color w:val="605E5C"/>
      <w:shd w:val="clear" w:color="auto" w:fill="E1DFDD"/>
    </w:rPr>
  </w:style>
  <w:style w:type="paragraph" w:styleId="Revision">
    <w:name w:val="Revision"/>
    <w:hidden/>
    <w:uiPriority w:val="99"/>
    <w:semiHidden/>
    <w:rsid w:val="00BA7E08"/>
  </w:style>
  <w:style w:type="character" w:customStyle="1" w:styleId="normaltextrun">
    <w:name w:val="normaltextrun"/>
    <w:basedOn w:val="DefaultParagraphFont"/>
    <w:rsid w:val="00D141C3"/>
  </w:style>
  <w:style w:type="character" w:customStyle="1" w:styleId="eop">
    <w:name w:val="eop"/>
    <w:basedOn w:val="DefaultParagraphFont"/>
    <w:rsid w:val="00FA6E26"/>
  </w:style>
  <w:style w:type="paragraph" w:styleId="NormalWeb">
    <w:name w:val="Normal (Web)"/>
    <w:basedOn w:val="Normal"/>
    <w:uiPriority w:val="99"/>
    <w:unhideWhenUsed/>
    <w:rsid w:val="00233C4E"/>
    <w:pPr>
      <w:spacing w:before="100" w:beforeAutospacing="1" w:after="100" w:afterAutospacing="1"/>
    </w:pPr>
    <w:rPr>
      <w:rFonts w:eastAsia="Times New Roman"/>
      <w:sz w:val="24"/>
      <w:szCs w:val="24"/>
    </w:rPr>
  </w:style>
  <w:style w:type="table" w:styleId="GridTable1Light">
    <w:name w:val="Grid Table 1 Light"/>
    <w:basedOn w:val="TableNormal"/>
    <w:uiPriority w:val="46"/>
    <w:rsid w:val="00B5326E"/>
    <w:rPr>
      <w:rFonts w:asciiTheme="minorHAnsi" w:eastAsiaTheme="minorHAnsi" w:hAnsiTheme="minorHAnsi" w:cstheme="minorBidi"/>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sl-left-margin">
    <w:name w:val="csl-left-margin"/>
    <w:basedOn w:val="DefaultParagraphFont"/>
    <w:rsid w:val="00B2287C"/>
  </w:style>
  <w:style w:type="character" w:customStyle="1" w:styleId="csl-right-inline">
    <w:name w:val="csl-right-inline"/>
    <w:basedOn w:val="DefaultParagraphFont"/>
    <w:rsid w:val="00B2287C"/>
  </w:style>
  <w:style w:type="table" w:styleId="TableGrid">
    <w:name w:val="Table Grid"/>
    <w:basedOn w:val="TableNormal"/>
    <w:uiPriority w:val="39"/>
    <w:rsid w:val="00A552C7"/>
    <w:rPr>
      <w:rFonts w:ascii="Arial" w:eastAsiaTheme="minorHAnsi" w:hAnsi="Arial"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37486">
      <w:bodyDiv w:val="1"/>
      <w:marLeft w:val="0"/>
      <w:marRight w:val="0"/>
      <w:marTop w:val="0"/>
      <w:marBottom w:val="0"/>
      <w:divBdr>
        <w:top w:val="none" w:sz="0" w:space="0" w:color="auto"/>
        <w:left w:val="none" w:sz="0" w:space="0" w:color="auto"/>
        <w:bottom w:val="none" w:sz="0" w:space="0" w:color="auto"/>
        <w:right w:val="none" w:sz="0" w:space="0" w:color="auto"/>
      </w:divBdr>
    </w:div>
    <w:div w:id="120152906">
      <w:bodyDiv w:val="1"/>
      <w:marLeft w:val="0"/>
      <w:marRight w:val="0"/>
      <w:marTop w:val="0"/>
      <w:marBottom w:val="0"/>
      <w:divBdr>
        <w:top w:val="none" w:sz="0" w:space="0" w:color="auto"/>
        <w:left w:val="none" w:sz="0" w:space="0" w:color="auto"/>
        <w:bottom w:val="none" w:sz="0" w:space="0" w:color="auto"/>
        <w:right w:val="none" w:sz="0" w:space="0" w:color="auto"/>
      </w:divBdr>
    </w:div>
    <w:div w:id="132187687">
      <w:bodyDiv w:val="1"/>
      <w:marLeft w:val="0"/>
      <w:marRight w:val="0"/>
      <w:marTop w:val="0"/>
      <w:marBottom w:val="0"/>
      <w:divBdr>
        <w:top w:val="none" w:sz="0" w:space="0" w:color="auto"/>
        <w:left w:val="none" w:sz="0" w:space="0" w:color="auto"/>
        <w:bottom w:val="none" w:sz="0" w:space="0" w:color="auto"/>
        <w:right w:val="none" w:sz="0" w:space="0" w:color="auto"/>
      </w:divBdr>
    </w:div>
    <w:div w:id="136925224">
      <w:bodyDiv w:val="1"/>
      <w:marLeft w:val="0"/>
      <w:marRight w:val="0"/>
      <w:marTop w:val="0"/>
      <w:marBottom w:val="0"/>
      <w:divBdr>
        <w:top w:val="none" w:sz="0" w:space="0" w:color="auto"/>
        <w:left w:val="none" w:sz="0" w:space="0" w:color="auto"/>
        <w:bottom w:val="none" w:sz="0" w:space="0" w:color="auto"/>
        <w:right w:val="none" w:sz="0" w:space="0" w:color="auto"/>
      </w:divBdr>
    </w:div>
    <w:div w:id="173422377">
      <w:bodyDiv w:val="1"/>
      <w:marLeft w:val="0"/>
      <w:marRight w:val="0"/>
      <w:marTop w:val="0"/>
      <w:marBottom w:val="0"/>
      <w:divBdr>
        <w:top w:val="none" w:sz="0" w:space="0" w:color="auto"/>
        <w:left w:val="none" w:sz="0" w:space="0" w:color="auto"/>
        <w:bottom w:val="none" w:sz="0" w:space="0" w:color="auto"/>
        <w:right w:val="none" w:sz="0" w:space="0" w:color="auto"/>
      </w:divBdr>
    </w:div>
    <w:div w:id="217472211">
      <w:bodyDiv w:val="1"/>
      <w:marLeft w:val="0"/>
      <w:marRight w:val="0"/>
      <w:marTop w:val="0"/>
      <w:marBottom w:val="0"/>
      <w:divBdr>
        <w:top w:val="none" w:sz="0" w:space="0" w:color="auto"/>
        <w:left w:val="none" w:sz="0" w:space="0" w:color="auto"/>
        <w:bottom w:val="none" w:sz="0" w:space="0" w:color="auto"/>
        <w:right w:val="none" w:sz="0" w:space="0" w:color="auto"/>
      </w:divBdr>
    </w:div>
    <w:div w:id="224999682">
      <w:bodyDiv w:val="1"/>
      <w:marLeft w:val="0"/>
      <w:marRight w:val="0"/>
      <w:marTop w:val="0"/>
      <w:marBottom w:val="0"/>
      <w:divBdr>
        <w:top w:val="none" w:sz="0" w:space="0" w:color="auto"/>
        <w:left w:val="none" w:sz="0" w:space="0" w:color="auto"/>
        <w:bottom w:val="none" w:sz="0" w:space="0" w:color="auto"/>
        <w:right w:val="none" w:sz="0" w:space="0" w:color="auto"/>
      </w:divBdr>
    </w:div>
    <w:div w:id="259994664">
      <w:bodyDiv w:val="1"/>
      <w:marLeft w:val="0"/>
      <w:marRight w:val="0"/>
      <w:marTop w:val="0"/>
      <w:marBottom w:val="0"/>
      <w:divBdr>
        <w:top w:val="none" w:sz="0" w:space="0" w:color="auto"/>
        <w:left w:val="none" w:sz="0" w:space="0" w:color="auto"/>
        <w:bottom w:val="none" w:sz="0" w:space="0" w:color="auto"/>
        <w:right w:val="none" w:sz="0" w:space="0" w:color="auto"/>
      </w:divBdr>
    </w:div>
    <w:div w:id="307560696">
      <w:bodyDiv w:val="1"/>
      <w:marLeft w:val="0"/>
      <w:marRight w:val="0"/>
      <w:marTop w:val="0"/>
      <w:marBottom w:val="0"/>
      <w:divBdr>
        <w:top w:val="none" w:sz="0" w:space="0" w:color="auto"/>
        <w:left w:val="none" w:sz="0" w:space="0" w:color="auto"/>
        <w:bottom w:val="none" w:sz="0" w:space="0" w:color="auto"/>
        <w:right w:val="none" w:sz="0" w:space="0" w:color="auto"/>
      </w:divBdr>
    </w:div>
    <w:div w:id="316155374">
      <w:bodyDiv w:val="1"/>
      <w:marLeft w:val="0"/>
      <w:marRight w:val="0"/>
      <w:marTop w:val="0"/>
      <w:marBottom w:val="0"/>
      <w:divBdr>
        <w:top w:val="none" w:sz="0" w:space="0" w:color="auto"/>
        <w:left w:val="none" w:sz="0" w:space="0" w:color="auto"/>
        <w:bottom w:val="none" w:sz="0" w:space="0" w:color="auto"/>
        <w:right w:val="none" w:sz="0" w:space="0" w:color="auto"/>
      </w:divBdr>
    </w:div>
    <w:div w:id="348027782">
      <w:bodyDiv w:val="1"/>
      <w:marLeft w:val="0"/>
      <w:marRight w:val="0"/>
      <w:marTop w:val="0"/>
      <w:marBottom w:val="0"/>
      <w:divBdr>
        <w:top w:val="none" w:sz="0" w:space="0" w:color="auto"/>
        <w:left w:val="none" w:sz="0" w:space="0" w:color="auto"/>
        <w:bottom w:val="none" w:sz="0" w:space="0" w:color="auto"/>
        <w:right w:val="none" w:sz="0" w:space="0" w:color="auto"/>
      </w:divBdr>
    </w:div>
    <w:div w:id="352265191">
      <w:bodyDiv w:val="1"/>
      <w:marLeft w:val="0"/>
      <w:marRight w:val="0"/>
      <w:marTop w:val="0"/>
      <w:marBottom w:val="0"/>
      <w:divBdr>
        <w:top w:val="none" w:sz="0" w:space="0" w:color="auto"/>
        <w:left w:val="none" w:sz="0" w:space="0" w:color="auto"/>
        <w:bottom w:val="none" w:sz="0" w:space="0" w:color="auto"/>
        <w:right w:val="none" w:sz="0" w:space="0" w:color="auto"/>
      </w:divBdr>
    </w:div>
    <w:div w:id="383529054">
      <w:bodyDiv w:val="1"/>
      <w:marLeft w:val="0"/>
      <w:marRight w:val="0"/>
      <w:marTop w:val="0"/>
      <w:marBottom w:val="0"/>
      <w:divBdr>
        <w:top w:val="none" w:sz="0" w:space="0" w:color="auto"/>
        <w:left w:val="none" w:sz="0" w:space="0" w:color="auto"/>
        <w:bottom w:val="none" w:sz="0" w:space="0" w:color="auto"/>
        <w:right w:val="none" w:sz="0" w:space="0" w:color="auto"/>
      </w:divBdr>
    </w:div>
    <w:div w:id="400255873">
      <w:bodyDiv w:val="1"/>
      <w:marLeft w:val="0"/>
      <w:marRight w:val="0"/>
      <w:marTop w:val="0"/>
      <w:marBottom w:val="0"/>
      <w:divBdr>
        <w:top w:val="none" w:sz="0" w:space="0" w:color="auto"/>
        <w:left w:val="none" w:sz="0" w:space="0" w:color="auto"/>
        <w:bottom w:val="none" w:sz="0" w:space="0" w:color="auto"/>
        <w:right w:val="none" w:sz="0" w:space="0" w:color="auto"/>
      </w:divBdr>
    </w:div>
    <w:div w:id="407385931">
      <w:bodyDiv w:val="1"/>
      <w:marLeft w:val="0"/>
      <w:marRight w:val="0"/>
      <w:marTop w:val="0"/>
      <w:marBottom w:val="0"/>
      <w:divBdr>
        <w:top w:val="none" w:sz="0" w:space="0" w:color="auto"/>
        <w:left w:val="none" w:sz="0" w:space="0" w:color="auto"/>
        <w:bottom w:val="none" w:sz="0" w:space="0" w:color="auto"/>
        <w:right w:val="none" w:sz="0" w:space="0" w:color="auto"/>
      </w:divBdr>
    </w:div>
    <w:div w:id="426270484">
      <w:bodyDiv w:val="1"/>
      <w:marLeft w:val="0"/>
      <w:marRight w:val="0"/>
      <w:marTop w:val="0"/>
      <w:marBottom w:val="0"/>
      <w:divBdr>
        <w:top w:val="none" w:sz="0" w:space="0" w:color="auto"/>
        <w:left w:val="none" w:sz="0" w:space="0" w:color="auto"/>
        <w:bottom w:val="none" w:sz="0" w:space="0" w:color="auto"/>
        <w:right w:val="none" w:sz="0" w:space="0" w:color="auto"/>
      </w:divBdr>
    </w:div>
    <w:div w:id="429398907">
      <w:bodyDiv w:val="1"/>
      <w:marLeft w:val="0"/>
      <w:marRight w:val="0"/>
      <w:marTop w:val="0"/>
      <w:marBottom w:val="0"/>
      <w:divBdr>
        <w:top w:val="none" w:sz="0" w:space="0" w:color="auto"/>
        <w:left w:val="none" w:sz="0" w:space="0" w:color="auto"/>
        <w:bottom w:val="none" w:sz="0" w:space="0" w:color="auto"/>
        <w:right w:val="none" w:sz="0" w:space="0" w:color="auto"/>
      </w:divBdr>
    </w:div>
    <w:div w:id="438186792">
      <w:bodyDiv w:val="1"/>
      <w:marLeft w:val="0"/>
      <w:marRight w:val="0"/>
      <w:marTop w:val="0"/>
      <w:marBottom w:val="0"/>
      <w:divBdr>
        <w:top w:val="none" w:sz="0" w:space="0" w:color="auto"/>
        <w:left w:val="none" w:sz="0" w:space="0" w:color="auto"/>
        <w:bottom w:val="none" w:sz="0" w:space="0" w:color="auto"/>
        <w:right w:val="none" w:sz="0" w:space="0" w:color="auto"/>
      </w:divBdr>
    </w:div>
    <w:div w:id="464158697">
      <w:bodyDiv w:val="1"/>
      <w:marLeft w:val="0"/>
      <w:marRight w:val="0"/>
      <w:marTop w:val="0"/>
      <w:marBottom w:val="0"/>
      <w:divBdr>
        <w:top w:val="none" w:sz="0" w:space="0" w:color="auto"/>
        <w:left w:val="none" w:sz="0" w:space="0" w:color="auto"/>
        <w:bottom w:val="none" w:sz="0" w:space="0" w:color="auto"/>
        <w:right w:val="none" w:sz="0" w:space="0" w:color="auto"/>
      </w:divBdr>
    </w:div>
    <w:div w:id="478420065">
      <w:bodyDiv w:val="1"/>
      <w:marLeft w:val="0"/>
      <w:marRight w:val="0"/>
      <w:marTop w:val="0"/>
      <w:marBottom w:val="0"/>
      <w:divBdr>
        <w:top w:val="none" w:sz="0" w:space="0" w:color="auto"/>
        <w:left w:val="none" w:sz="0" w:space="0" w:color="auto"/>
        <w:bottom w:val="none" w:sz="0" w:space="0" w:color="auto"/>
        <w:right w:val="none" w:sz="0" w:space="0" w:color="auto"/>
      </w:divBdr>
    </w:div>
    <w:div w:id="491796330">
      <w:bodyDiv w:val="1"/>
      <w:marLeft w:val="0"/>
      <w:marRight w:val="0"/>
      <w:marTop w:val="0"/>
      <w:marBottom w:val="0"/>
      <w:divBdr>
        <w:top w:val="none" w:sz="0" w:space="0" w:color="auto"/>
        <w:left w:val="none" w:sz="0" w:space="0" w:color="auto"/>
        <w:bottom w:val="none" w:sz="0" w:space="0" w:color="auto"/>
        <w:right w:val="none" w:sz="0" w:space="0" w:color="auto"/>
      </w:divBdr>
    </w:div>
    <w:div w:id="529346092">
      <w:bodyDiv w:val="1"/>
      <w:marLeft w:val="0"/>
      <w:marRight w:val="0"/>
      <w:marTop w:val="0"/>
      <w:marBottom w:val="0"/>
      <w:divBdr>
        <w:top w:val="none" w:sz="0" w:space="0" w:color="auto"/>
        <w:left w:val="none" w:sz="0" w:space="0" w:color="auto"/>
        <w:bottom w:val="none" w:sz="0" w:space="0" w:color="auto"/>
        <w:right w:val="none" w:sz="0" w:space="0" w:color="auto"/>
      </w:divBdr>
    </w:div>
    <w:div w:id="537475309">
      <w:bodyDiv w:val="1"/>
      <w:marLeft w:val="0"/>
      <w:marRight w:val="0"/>
      <w:marTop w:val="0"/>
      <w:marBottom w:val="0"/>
      <w:divBdr>
        <w:top w:val="none" w:sz="0" w:space="0" w:color="auto"/>
        <w:left w:val="none" w:sz="0" w:space="0" w:color="auto"/>
        <w:bottom w:val="none" w:sz="0" w:space="0" w:color="auto"/>
        <w:right w:val="none" w:sz="0" w:space="0" w:color="auto"/>
      </w:divBdr>
    </w:div>
    <w:div w:id="542519833">
      <w:bodyDiv w:val="1"/>
      <w:marLeft w:val="0"/>
      <w:marRight w:val="0"/>
      <w:marTop w:val="0"/>
      <w:marBottom w:val="0"/>
      <w:divBdr>
        <w:top w:val="none" w:sz="0" w:space="0" w:color="auto"/>
        <w:left w:val="none" w:sz="0" w:space="0" w:color="auto"/>
        <w:bottom w:val="none" w:sz="0" w:space="0" w:color="auto"/>
        <w:right w:val="none" w:sz="0" w:space="0" w:color="auto"/>
      </w:divBdr>
    </w:div>
    <w:div w:id="560673133">
      <w:bodyDiv w:val="1"/>
      <w:marLeft w:val="0"/>
      <w:marRight w:val="0"/>
      <w:marTop w:val="0"/>
      <w:marBottom w:val="0"/>
      <w:divBdr>
        <w:top w:val="none" w:sz="0" w:space="0" w:color="auto"/>
        <w:left w:val="none" w:sz="0" w:space="0" w:color="auto"/>
        <w:bottom w:val="none" w:sz="0" w:space="0" w:color="auto"/>
        <w:right w:val="none" w:sz="0" w:space="0" w:color="auto"/>
      </w:divBdr>
    </w:div>
    <w:div w:id="562640113">
      <w:bodyDiv w:val="1"/>
      <w:marLeft w:val="0"/>
      <w:marRight w:val="0"/>
      <w:marTop w:val="0"/>
      <w:marBottom w:val="0"/>
      <w:divBdr>
        <w:top w:val="none" w:sz="0" w:space="0" w:color="auto"/>
        <w:left w:val="none" w:sz="0" w:space="0" w:color="auto"/>
        <w:bottom w:val="none" w:sz="0" w:space="0" w:color="auto"/>
        <w:right w:val="none" w:sz="0" w:space="0" w:color="auto"/>
      </w:divBdr>
    </w:div>
    <w:div w:id="871918204">
      <w:bodyDiv w:val="1"/>
      <w:marLeft w:val="0"/>
      <w:marRight w:val="0"/>
      <w:marTop w:val="0"/>
      <w:marBottom w:val="0"/>
      <w:divBdr>
        <w:top w:val="none" w:sz="0" w:space="0" w:color="auto"/>
        <w:left w:val="none" w:sz="0" w:space="0" w:color="auto"/>
        <w:bottom w:val="none" w:sz="0" w:space="0" w:color="auto"/>
        <w:right w:val="none" w:sz="0" w:space="0" w:color="auto"/>
      </w:divBdr>
    </w:div>
    <w:div w:id="957372855">
      <w:bodyDiv w:val="1"/>
      <w:marLeft w:val="0"/>
      <w:marRight w:val="0"/>
      <w:marTop w:val="0"/>
      <w:marBottom w:val="0"/>
      <w:divBdr>
        <w:top w:val="none" w:sz="0" w:space="0" w:color="auto"/>
        <w:left w:val="none" w:sz="0" w:space="0" w:color="auto"/>
        <w:bottom w:val="none" w:sz="0" w:space="0" w:color="auto"/>
        <w:right w:val="none" w:sz="0" w:space="0" w:color="auto"/>
      </w:divBdr>
    </w:div>
    <w:div w:id="986086660">
      <w:bodyDiv w:val="1"/>
      <w:marLeft w:val="0"/>
      <w:marRight w:val="0"/>
      <w:marTop w:val="0"/>
      <w:marBottom w:val="0"/>
      <w:divBdr>
        <w:top w:val="none" w:sz="0" w:space="0" w:color="auto"/>
        <w:left w:val="none" w:sz="0" w:space="0" w:color="auto"/>
        <w:bottom w:val="none" w:sz="0" w:space="0" w:color="auto"/>
        <w:right w:val="none" w:sz="0" w:space="0" w:color="auto"/>
      </w:divBdr>
    </w:div>
    <w:div w:id="1001853930">
      <w:bodyDiv w:val="1"/>
      <w:marLeft w:val="0"/>
      <w:marRight w:val="0"/>
      <w:marTop w:val="0"/>
      <w:marBottom w:val="0"/>
      <w:divBdr>
        <w:top w:val="none" w:sz="0" w:space="0" w:color="auto"/>
        <w:left w:val="none" w:sz="0" w:space="0" w:color="auto"/>
        <w:bottom w:val="none" w:sz="0" w:space="0" w:color="auto"/>
        <w:right w:val="none" w:sz="0" w:space="0" w:color="auto"/>
      </w:divBdr>
    </w:div>
    <w:div w:id="1036780584">
      <w:bodyDiv w:val="1"/>
      <w:marLeft w:val="0"/>
      <w:marRight w:val="0"/>
      <w:marTop w:val="0"/>
      <w:marBottom w:val="0"/>
      <w:divBdr>
        <w:top w:val="none" w:sz="0" w:space="0" w:color="auto"/>
        <w:left w:val="none" w:sz="0" w:space="0" w:color="auto"/>
        <w:bottom w:val="none" w:sz="0" w:space="0" w:color="auto"/>
        <w:right w:val="none" w:sz="0" w:space="0" w:color="auto"/>
      </w:divBdr>
    </w:div>
    <w:div w:id="1039010751">
      <w:bodyDiv w:val="1"/>
      <w:marLeft w:val="0"/>
      <w:marRight w:val="0"/>
      <w:marTop w:val="0"/>
      <w:marBottom w:val="0"/>
      <w:divBdr>
        <w:top w:val="none" w:sz="0" w:space="0" w:color="auto"/>
        <w:left w:val="none" w:sz="0" w:space="0" w:color="auto"/>
        <w:bottom w:val="none" w:sz="0" w:space="0" w:color="auto"/>
        <w:right w:val="none" w:sz="0" w:space="0" w:color="auto"/>
      </w:divBdr>
    </w:div>
    <w:div w:id="1101880196">
      <w:bodyDiv w:val="1"/>
      <w:marLeft w:val="0"/>
      <w:marRight w:val="0"/>
      <w:marTop w:val="0"/>
      <w:marBottom w:val="0"/>
      <w:divBdr>
        <w:top w:val="none" w:sz="0" w:space="0" w:color="auto"/>
        <w:left w:val="none" w:sz="0" w:space="0" w:color="auto"/>
        <w:bottom w:val="none" w:sz="0" w:space="0" w:color="auto"/>
        <w:right w:val="none" w:sz="0" w:space="0" w:color="auto"/>
      </w:divBdr>
    </w:div>
    <w:div w:id="1156802071">
      <w:bodyDiv w:val="1"/>
      <w:marLeft w:val="0"/>
      <w:marRight w:val="0"/>
      <w:marTop w:val="0"/>
      <w:marBottom w:val="0"/>
      <w:divBdr>
        <w:top w:val="none" w:sz="0" w:space="0" w:color="auto"/>
        <w:left w:val="none" w:sz="0" w:space="0" w:color="auto"/>
        <w:bottom w:val="none" w:sz="0" w:space="0" w:color="auto"/>
        <w:right w:val="none" w:sz="0" w:space="0" w:color="auto"/>
      </w:divBdr>
    </w:div>
    <w:div w:id="1164857028">
      <w:bodyDiv w:val="1"/>
      <w:marLeft w:val="0"/>
      <w:marRight w:val="0"/>
      <w:marTop w:val="0"/>
      <w:marBottom w:val="0"/>
      <w:divBdr>
        <w:top w:val="none" w:sz="0" w:space="0" w:color="auto"/>
        <w:left w:val="none" w:sz="0" w:space="0" w:color="auto"/>
        <w:bottom w:val="none" w:sz="0" w:space="0" w:color="auto"/>
        <w:right w:val="none" w:sz="0" w:space="0" w:color="auto"/>
      </w:divBdr>
    </w:div>
    <w:div w:id="1167554819">
      <w:bodyDiv w:val="1"/>
      <w:marLeft w:val="0"/>
      <w:marRight w:val="0"/>
      <w:marTop w:val="0"/>
      <w:marBottom w:val="0"/>
      <w:divBdr>
        <w:top w:val="none" w:sz="0" w:space="0" w:color="auto"/>
        <w:left w:val="none" w:sz="0" w:space="0" w:color="auto"/>
        <w:bottom w:val="none" w:sz="0" w:space="0" w:color="auto"/>
        <w:right w:val="none" w:sz="0" w:space="0" w:color="auto"/>
      </w:divBdr>
    </w:div>
    <w:div w:id="1299341559">
      <w:bodyDiv w:val="1"/>
      <w:marLeft w:val="0"/>
      <w:marRight w:val="0"/>
      <w:marTop w:val="0"/>
      <w:marBottom w:val="0"/>
      <w:divBdr>
        <w:top w:val="none" w:sz="0" w:space="0" w:color="auto"/>
        <w:left w:val="none" w:sz="0" w:space="0" w:color="auto"/>
        <w:bottom w:val="none" w:sz="0" w:space="0" w:color="auto"/>
        <w:right w:val="none" w:sz="0" w:space="0" w:color="auto"/>
      </w:divBdr>
    </w:div>
    <w:div w:id="1404403004">
      <w:bodyDiv w:val="1"/>
      <w:marLeft w:val="0"/>
      <w:marRight w:val="0"/>
      <w:marTop w:val="0"/>
      <w:marBottom w:val="0"/>
      <w:divBdr>
        <w:top w:val="none" w:sz="0" w:space="0" w:color="auto"/>
        <w:left w:val="none" w:sz="0" w:space="0" w:color="auto"/>
        <w:bottom w:val="none" w:sz="0" w:space="0" w:color="auto"/>
        <w:right w:val="none" w:sz="0" w:space="0" w:color="auto"/>
      </w:divBdr>
    </w:div>
    <w:div w:id="1407873778">
      <w:bodyDiv w:val="1"/>
      <w:marLeft w:val="0"/>
      <w:marRight w:val="0"/>
      <w:marTop w:val="0"/>
      <w:marBottom w:val="0"/>
      <w:divBdr>
        <w:top w:val="none" w:sz="0" w:space="0" w:color="auto"/>
        <w:left w:val="none" w:sz="0" w:space="0" w:color="auto"/>
        <w:bottom w:val="none" w:sz="0" w:space="0" w:color="auto"/>
        <w:right w:val="none" w:sz="0" w:space="0" w:color="auto"/>
      </w:divBdr>
    </w:div>
    <w:div w:id="1425953348">
      <w:bodyDiv w:val="1"/>
      <w:marLeft w:val="0"/>
      <w:marRight w:val="0"/>
      <w:marTop w:val="0"/>
      <w:marBottom w:val="0"/>
      <w:divBdr>
        <w:top w:val="none" w:sz="0" w:space="0" w:color="auto"/>
        <w:left w:val="none" w:sz="0" w:space="0" w:color="auto"/>
        <w:bottom w:val="none" w:sz="0" w:space="0" w:color="auto"/>
        <w:right w:val="none" w:sz="0" w:space="0" w:color="auto"/>
      </w:divBdr>
    </w:div>
    <w:div w:id="1456632195">
      <w:bodyDiv w:val="1"/>
      <w:marLeft w:val="0"/>
      <w:marRight w:val="0"/>
      <w:marTop w:val="0"/>
      <w:marBottom w:val="0"/>
      <w:divBdr>
        <w:top w:val="none" w:sz="0" w:space="0" w:color="auto"/>
        <w:left w:val="none" w:sz="0" w:space="0" w:color="auto"/>
        <w:bottom w:val="none" w:sz="0" w:space="0" w:color="auto"/>
        <w:right w:val="none" w:sz="0" w:space="0" w:color="auto"/>
      </w:divBdr>
    </w:div>
    <w:div w:id="1483542144">
      <w:bodyDiv w:val="1"/>
      <w:marLeft w:val="0"/>
      <w:marRight w:val="0"/>
      <w:marTop w:val="0"/>
      <w:marBottom w:val="0"/>
      <w:divBdr>
        <w:top w:val="none" w:sz="0" w:space="0" w:color="auto"/>
        <w:left w:val="none" w:sz="0" w:space="0" w:color="auto"/>
        <w:bottom w:val="none" w:sz="0" w:space="0" w:color="auto"/>
        <w:right w:val="none" w:sz="0" w:space="0" w:color="auto"/>
      </w:divBdr>
    </w:div>
    <w:div w:id="1594125336">
      <w:bodyDiv w:val="1"/>
      <w:marLeft w:val="0"/>
      <w:marRight w:val="0"/>
      <w:marTop w:val="0"/>
      <w:marBottom w:val="0"/>
      <w:divBdr>
        <w:top w:val="none" w:sz="0" w:space="0" w:color="auto"/>
        <w:left w:val="none" w:sz="0" w:space="0" w:color="auto"/>
        <w:bottom w:val="none" w:sz="0" w:space="0" w:color="auto"/>
        <w:right w:val="none" w:sz="0" w:space="0" w:color="auto"/>
      </w:divBdr>
    </w:div>
    <w:div w:id="1623883315">
      <w:bodyDiv w:val="1"/>
      <w:marLeft w:val="0"/>
      <w:marRight w:val="0"/>
      <w:marTop w:val="0"/>
      <w:marBottom w:val="0"/>
      <w:divBdr>
        <w:top w:val="none" w:sz="0" w:space="0" w:color="auto"/>
        <w:left w:val="none" w:sz="0" w:space="0" w:color="auto"/>
        <w:bottom w:val="none" w:sz="0" w:space="0" w:color="auto"/>
        <w:right w:val="none" w:sz="0" w:space="0" w:color="auto"/>
      </w:divBdr>
    </w:div>
    <w:div w:id="1641957738">
      <w:bodyDiv w:val="1"/>
      <w:marLeft w:val="0"/>
      <w:marRight w:val="0"/>
      <w:marTop w:val="0"/>
      <w:marBottom w:val="0"/>
      <w:divBdr>
        <w:top w:val="none" w:sz="0" w:space="0" w:color="auto"/>
        <w:left w:val="none" w:sz="0" w:space="0" w:color="auto"/>
        <w:bottom w:val="none" w:sz="0" w:space="0" w:color="auto"/>
        <w:right w:val="none" w:sz="0" w:space="0" w:color="auto"/>
      </w:divBdr>
    </w:div>
    <w:div w:id="1654481677">
      <w:bodyDiv w:val="1"/>
      <w:marLeft w:val="0"/>
      <w:marRight w:val="0"/>
      <w:marTop w:val="0"/>
      <w:marBottom w:val="0"/>
      <w:divBdr>
        <w:top w:val="none" w:sz="0" w:space="0" w:color="auto"/>
        <w:left w:val="none" w:sz="0" w:space="0" w:color="auto"/>
        <w:bottom w:val="none" w:sz="0" w:space="0" w:color="auto"/>
        <w:right w:val="none" w:sz="0" w:space="0" w:color="auto"/>
      </w:divBdr>
    </w:div>
    <w:div w:id="1695228636">
      <w:bodyDiv w:val="1"/>
      <w:marLeft w:val="0"/>
      <w:marRight w:val="0"/>
      <w:marTop w:val="0"/>
      <w:marBottom w:val="0"/>
      <w:divBdr>
        <w:top w:val="none" w:sz="0" w:space="0" w:color="auto"/>
        <w:left w:val="none" w:sz="0" w:space="0" w:color="auto"/>
        <w:bottom w:val="none" w:sz="0" w:space="0" w:color="auto"/>
        <w:right w:val="none" w:sz="0" w:space="0" w:color="auto"/>
      </w:divBdr>
    </w:div>
    <w:div w:id="1725982529">
      <w:bodyDiv w:val="1"/>
      <w:marLeft w:val="0"/>
      <w:marRight w:val="0"/>
      <w:marTop w:val="0"/>
      <w:marBottom w:val="0"/>
      <w:divBdr>
        <w:top w:val="none" w:sz="0" w:space="0" w:color="auto"/>
        <w:left w:val="none" w:sz="0" w:space="0" w:color="auto"/>
        <w:bottom w:val="none" w:sz="0" w:space="0" w:color="auto"/>
        <w:right w:val="none" w:sz="0" w:space="0" w:color="auto"/>
      </w:divBdr>
    </w:div>
    <w:div w:id="1727532184">
      <w:bodyDiv w:val="1"/>
      <w:marLeft w:val="0"/>
      <w:marRight w:val="0"/>
      <w:marTop w:val="0"/>
      <w:marBottom w:val="0"/>
      <w:divBdr>
        <w:top w:val="none" w:sz="0" w:space="0" w:color="auto"/>
        <w:left w:val="none" w:sz="0" w:space="0" w:color="auto"/>
        <w:bottom w:val="none" w:sz="0" w:space="0" w:color="auto"/>
        <w:right w:val="none" w:sz="0" w:space="0" w:color="auto"/>
      </w:divBdr>
    </w:div>
    <w:div w:id="1743598172">
      <w:bodyDiv w:val="1"/>
      <w:marLeft w:val="0"/>
      <w:marRight w:val="0"/>
      <w:marTop w:val="0"/>
      <w:marBottom w:val="0"/>
      <w:divBdr>
        <w:top w:val="none" w:sz="0" w:space="0" w:color="auto"/>
        <w:left w:val="none" w:sz="0" w:space="0" w:color="auto"/>
        <w:bottom w:val="none" w:sz="0" w:space="0" w:color="auto"/>
        <w:right w:val="none" w:sz="0" w:space="0" w:color="auto"/>
      </w:divBdr>
    </w:div>
    <w:div w:id="1749883784">
      <w:bodyDiv w:val="1"/>
      <w:marLeft w:val="0"/>
      <w:marRight w:val="0"/>
      <w:marTop w:val="0"/>
      <w:marBottom w:val="0"/>
      <w:divBdr>
        <w:top w:val="none" w:sz="0" w:space="0" w:color="auto"/>
        <w:left w:val="none" w:sz="0" w:space="0" w:color="auto"/>
        <w:bottom w:val="none" w:sz="0" w:space="0" w:color="auto"/>
        <w:right w:val="none" w:sz="0" w:space="0" w:color="auto"/>
      </w:divBdr>
    </w:div>
    <w:div w:id="1783572880">
      <w:bodyDiv w:val="1"/>
      <w:marLeft w:val="0"/>
      <w:marRight w:val="0"/>
      <w:marTop w:val="0"/>
      <w:marBottom w:val="0"/>
      <w:divBdr>
        <w:top w:val="none" w:sz="0" w:space="0" w:color="auto"/>
        <w:left w:val="none" w:sz="0" w:space="0" w:color="auto"/>
        <w:bottom w:val="none" w:sz="0" w:space="0" w:color="auto"/>
        <w:right w:val="none" w:sz="0" w:space="0" w:color="auto"/>
      </w:divBdr>
    </w:div>
    <w:div w:id="1803577007">
      <w:bodyDiv w:val="1"/>
      <w:marLeft w:val="0"/>
      <w:marRight w:val="0"/>
      <w:marTop w:val="0"/>
      <w:marBottom w:val="0"/>
      <w:divBdr>
        <w:top w:val="none" w:sz="0" w:space="0" w:color="auto"/>
        <w:left w:val="none" w:sz="0" w:space="0" w:color="auto"/>
        <w:bottom w:val="none" w:sz="0" w:space="0" w:color="auto"/>
        <w:right w:val="none" w:sz="0" w:space="0" w:color="auto"/>
      </w:divBdr>
    </w:div>
    <w:div w:id="1851867697">
      <w:bodyDiv w:val="1"/>
      <w:marLeft w:val="0"/>
      <w:marRight w:val="0"/>
      <w:marTop w:val="0"/>
      <w:marBottom w:val="0"/>
      <w:divBdr>
        <w:top w:val="none" w:sz="0" w:space="0" w:color="auto"/>
        <w:left w:val="none" w:sz="0" w:space="0" w:color="auto"/>
        <w:bottom w:val="none" w:sz="0" w:space="0" w:color="auto"/>
        <w:right w:val="none" w:sz="0" w:space="0" w:color="auto"/>
      </w:divBdr>
    </w:div>
    <w:div w:id="1874683374">
      <w:bodyDiv w:val="1"/>
      <w:marLeft w:val="0"/>
      <w:marRight w:val="0"/>
      <w:marTop w:val="0"/>
      <w:marBottom w:val="0"/>
      <w:divBdr>
        <w:top w:val="none" w:sz="0" w:space="0" w:color="auto"/>
        <w:left w:val="none" w:sz="0" w:space="0" w:color="auto"/>
        <w:bottom w:val="none" w:sz="0" w:space="0" w:color="auto"/>
        <w:right w:val="none" w:sz="0" w:space="0" w:color="auto"/>
      </w:divBdr>
    </w:div>
    <w:div w:id="1902862560">
      <w:bodyDiv w:val="1"/>
      <w:marLeft w:val="0"/>
      <w:marRight w:val="0"/>
      <w:marTop w:val="0"/>
      <w:marBottom w:val="0"/>
      <w:divBdr>
        <w:top w:val="none" w:sz="0" w:space="0" w:color="auto"/>
        <w:left w:val="none" w:sz="0" w:space="0" w:color="auto"/>
        <w:bottom w:val="none" w:sz="0" w:space="0" w:color="auto"/>
        <w:right w:val="none" w:sz="0" w:space="0" w:color="auto"/>
      </w:divBdr>
    </w:div>
    <w:div w:id="1935433042">
      <w:bodyDiv w:val="1"/>
      <w:marLeft w:val="0"/>
      <w:marRight w:val="0"/>
      <w:marTop w:val="0"/>
      <w:marBottom w:val="0"/>
      <w:divBdr>
        <w:top w:val="none" w:sz="0" w:space="0" w:color="auto"/>
        <w:left w:val="none" w:sz="0" w:space="0" w:color="auto"/>
        <w:bottom w:val="none" w:sz="0" w:space="0" w:color="auto"/>
        <w:right w:val="none" w:sz="0" w:space="0" w:color="auto"/>
      </w:divBdr>
    </w:div>
    <w:div w:id="2006204580">
      <w:bodyDiv w:val="1"/>
      <w:marLeft w:val="0"/>
      <w:marRight w:val="0"/>
      <w:marTop w:val="0"/>
      <w:marBottom w:val="0"/>
      <w:divBdr>
        <w:top w:val="none" w:sz="0" w:space="0" w:color="auto"/>
        <w:left w:val="none" w:sz="0" w:space="0" w:color="auto"/>
        <w:bottom w:val="none" w:sz="0" w:space="0" w:color="auto"/>
        <w:right w:val="none" w:sz="0" w:space="0" w:color="auto"/>
      </w:divBdr>
    </w:div>
    <w:div w:id="2008827370">
      <w:bodyDiv w:val="1"/>
      <w:marLeft w:val="0"/>
      <w:marRight w:val="0"/>
      <w:marTop w:val="0"/>
      <w:marBottom w:val="0"/>
      <w:divBdr>
        <w:top w:val="none" w:sz="0" w:space="0" w:color="auto"/>
        <w:left w:val="none" w:sz="0" w:space="0" w:color="auto"/>
        <w:bottom w:val="none" w:sz="0" w:space="0" w:color="auto"/>
        <w:right w:val="none" w:sz="0" w:space="0" w:color="auto"/>
      </w:divBdr>
    </w:div>
    <w:div w:id="2030138533">
      <w:bodyDiv w:val="1"/>
      <w:marLeft w:val="0"/>
      <w:marRight w:val="0"/>
      <w:marTop w:val="0"/>
      <w:marBottom w:val="0"/>
      <w:divBdr>
        <w:top w:val="none" w:sz="0" w:space="0" w:color="auto"/>
        <w:left w:val="none" w:sz="0" w:space="0" w:color="auto"/>
        <w:bottom w:val="none" w:sz="0" w:space="0" w:color="auto"/>
        <w:right w:val="none" w:sz="0" w:space="0" w:color="auto"/>
      </w:divBdr>
      <w:divsChild>
        <w:div w:id="280694744">
          <w:marLeft w:val="0"/>
          <w:marRight w:val="0"/>
          <w:marTop w:val="0"/>
          <w:marBottom w:val="0"/>
          <w:divBdr>
            <w:top w:val="none" w:sz="0" w:space="0" w:color="auto"/>
            <w:left w:val="none" w:sz="0" w:space="0" w:color="auto"/>
            <w:bottom w:val="none" w:sz="0" w:space="0" w:color="auto"/>
            <w:right w:val="none" w:sz="0" w:space="0" w:color="auto"/>
          </w:divBdr>
          <w:divsChild>
            <w:div w:id="6274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71227">
      <w:bodyDiv w:val="1"/>
      <w:marLeft w:val="0"/>
      <w:marRight w:val="0"/>
      <w:marTop w:val="0"/>
      <w:marBottom w:val="0"/>
      <w:divBdr>
        <w:top w:val="none" w:sz="0" w:space="0" w:color="auto"/>
        <w:left w:val="none" w:sz="0" w:space="0" w:color="auto"/>
        <w:bottom w:val="none" w:sz="0" w:space="0" w:color="auto"/>
        <w:right w:val="none" w:sz="0" w:space="0" w:color="auto"/>
      </w:divBdr>
    </w:div>
    <w:div w:id="2135831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F19C02-9989-7C4A-9DD7-9BB6DBD4A943}">
  <we:reference id="wa200002534" version="6.0.0.0" store="en-001" storeType="OMEX"/>
  <we:alternateReferences>
    <we:reference id="wa200002534" version="6.0.0.0" store="en-001" storeType="OMEX"/>
  </we:alternateReferences>
  <we:properties>
    <we:property name="sciwheel-csl-items" value="[{&quot;title&quot;:&quot;Effectiveness of multicomponent nonpharmacological delirium interventions: a meta-analysis.&quot;,&quot;page&quot;:&quot;512-520&quot;,&quot;volume&quot;:&quot;175&quot;,&quot;issue&quot;:&quot;4&quot;,&quot;journalAbbreviation&quot;:&quot;JAMA Intern. Med.&quot;,&quot;id&quot;:&quot;1364836&quot;,&quot;type&quot;:&quot;article-journal&quot;,&quot;container-title&quot;:&quot;JAMA internal medicine&quot;,&quot;container-title-short&quot;:&quot;JAMA Intern. Med.&quot;,&quot;author&quot;:[{&quot;family&quot;:&quot;Hshieh&quot;,&quot;given&quot;:&quot;Tammy T&quot;},{&quot;family&quot;:&quot;Yue&quot;,&quot;given&quot;:&quot;Jirong&quot;},{&quot;family&quot;:&quot;Oh&quot;,&quot;given&quot;:&quot;Esther&quot;},{&quot;family&quot;:&quot;Puelle&quot;,&quot;given&quot;:&quot;Margaret&quot;},{&quot;family&quot;:&quot;Dowal&quot;,&quot;given&quot;:&quot;Sarah&quot;},{&quot;family&quot;:&quot;Travison&quot;,&quot;given&quot;:&quot;Thomas&quot;},{&quot;family&quot;:&quot;Inouye&quot;,&quot;given&quot;:&quot;Sharon K&quot;}],&quot;issued&quot;:{&quot;date-parts&quot;:[[&quot;2015&quot;,&quot;4&quot;]]},&quot;DOI&quot;:&quot;10.1001/jamainternmed.2014.7779&quot;,&quot;PMID&quot;:&quot;25643002&quot;,&quot;PMCID&quot;:&quot;PMC4388802&quot;,&quot;citation-label&quot;:&quot;1364836&quot;},{&quot;title&quot;:&quot;Non-Pharmacologic Multicomponent Interventions Preventing Delirium in Hospitalized People.&quot;,&quot;page&quot;:&quot;1864-1871&quot;,&quot;volume&quot;:&quot;68&quot;,&quot;issue&quot;:&quot;8&quot;,&quot;journalAbbreviation&quot;:&quot;J. Am. Geriatr. Soc.&quot;,&quot;id&quot;:&quot;11071666&quot;,&quot;type&quot;:&quot;article-journal&quot;,&quot;container-title&quot;:&quot;Journal of the American Geriatrics Society&quot;,&quot;container-title-short&quot;:&quot;J. Am. Geriatr. Soc.&quot;,&quot;abstract&quot;:&quot;BACKGROUND/OBJECTIVES: Delirium is a common neurobehavioral complication in hospitalized patients with a high prevalence in various clinical settings. Prevention of delirium is critical due to its common occurrence and associated poor outcomes. Our objective was to evaluate the efficacy of multicomponent interventions in preventing incident delirium in hospitalized patients at risk.DESIGN: Systematic review and meta-analysis.SETTING: Hospital.PARTICIPANTS: We included a study if it was a randomized controlled trial and was evaluating effects of coordinated non-pharmacologic multicomponent interventions in the prevention of delirium.MEASUREMENTS: We performed a systematic literature search in PubMed and CENTRAL (PROSPERO: CRD42019138981; last update May 24, 2019). We assessed the quality of included studies by using the criteria established by the Cochrane Collaboration. We extracted the measured outcomes for delirium incidence, duration of delirium, length of hospital stay, falls during hospital stay, discharge to institutional care, and inpatient mortality.RESULTS: In total, we screened 1,027 eligible records and included eight studies with 2,105 patients in the review. We found evidence of an effect (ie, reduction) of multicomponent interventions on the incidence of delirium (risk ratio = .53; 95% confidence interval = .41-.69; I2 = 0). We detected no clear evidence of an effect for delirium duration, length of hospital stay, accidental falls, and mortality. Subgroup analyses did not result in findings of substantial effect modifiers, which can be explained by the high homogeneity within studies.CONCLUSION: Our findings confirm the current guidelines that multicomponent interventions are effective in preventing delirium. Data are still lacking to reach evidence-based conclusions concerning potential benefits for hard outcomes such as length of hospital stay, return to independent living, and mortality. J Am Geriatr Soc 68:1864-1871, 2020.© 2020 The Authors. Journal of the American Geriatrics Society published by Wiley Periodicals, Inc. on behalf of The American Geriatrics Society.&quot;,&quot;author&quot;:[{&quot;family&quot;:&quot;Ludolph&quot;,&quot;given&quot;:&quot;Paul&quot;},{&quot;family&quot;:&quot;Stoffers-Winterling&quot;,&quot;given&quot;:&quot;Jutta&quot;},{&quot;family&quot;:&quot;Kunzler&quot;,&quot;given&quot;:&quot;Angela M&quot;},{&quot;family&quot;:&quot;Rösch&quot;,&quot;given&quot;:&quot;Romina&quot;},{&quot;family&quot;:&quot;Geschke&quot;,&quot;given&quot;:&quot;Katharina&quot;},{&quot;family&quot;:&quot;Vahl&quot;,&quot;given&quot;:&quot;Christian Friedrich&quot;},{&quot;family&quot;:&quot;Lieb&quot;,&quot;given&quot;:&quot;Klaus&quot;}],&quot;issued&quot;:{&quot;date-parts&quot;:[[&quot;2020&quot;,&quot;8&quot;]]},&quot;DOI&quot;:&quot;10.1111/jgs.16565&quot;,&quot;PMID&quot;:&quot;32531089&quot;,&quot;citation-label&quot;:&quot;11071666&quot;},{&quot;title&quot;:&quot;Immunity, endothelial injury and complement-induced coagulopathy in COVID-19.&quot;,&quot;page&quot;:&quot;46-64&quot;,&quot;volume&quot;:&quot;17&quot;,&quot;issue&quot;:&quot;1&quot;,&quot;journalAbbreviation&quot;:&quot;Nat. Rev. Nephrol.&quot;,&quot;id&quot;:&quot;9866222&quot;,&quot;type&quot;:&quot;article-journal&quot;,&quot;container-title&quot;:&quot;Nature Reviews. Nephrology&quot;,&quot;container-title-short&quot;:&quot;Nat. Rev. Nephrol.&quot;,&quot;abstract&quot;:&quot;In December 2019, a novel coronavirus was isolated from the respiratory epithelium of patients with unexplained pneumonia in Wuhan, China. This pathogen, named severe acute respiratory syndrome coronavirus 2 (SARS-CoV-2), causes a pathogenic condition that has been termed coronavirus disease 2019 (COVID-19) and has reached pandemic proportions. As of 17 September 2020, more than 30 million confirmed SARS-CoV-2 infections have been reported in 204 different countries, claiming more than 1 million lives worldwide. Accumulating evidence suggests that SARS-CoV-2 infection can lead to a variety of clinical conditions, ranging from asymptomatic to life-threatening cases. In the early stages of the disease, most patients experience mild clinical symptoms, including a high fever and dry cough. However, 20% of patients rapidly progress to severe illness characterized by atypical interstitial bilateral pneumonia, acute respiratory distress syndrome and multiorgan dysfunction. Almost 10% of these critically ill patients subsequently die. Insights into the pathogenic mechanisms underlying SARS-CoV-2 infection and COVID-19 progression are emerging and highlight the critical role of the immunological hyper-response - characterized by widespread endothelial damage, complement-induced blood clotting and systemic microangiopathy - in disease exacerbation. These insights may aid the identification of new or existing therapeutic interventions to limit the progression of early disease and treat severe cases.&quot;,&quot;author&quot;:[{&quot;family&quot;:&quot;Perico&quot;,&quot;given&quot;:&quot;Luca&quot;},{&quot;family&quot;:&quot;Benigni&quot;,&quot;given&quot;:&quot;Ariela&quot;},{&quot;family&quot;:&quot;Casiraghi&quot;,&quot;given&quot;:&quot;Federica&quot;},{&quot;family&quot;:&quot;Ng&quot;,&quot;given&quot;:&quot;Lisa F P&quot;},{&quot;family&quot;:&quot;Renia&quot;,&quot;given&quot;:&quot;Laurent&quot;},{&quot;family&quot;:&quot;Remuzzi&quot;,&quot;given&quot;:&quot;Giuseppe&quot;}],&quot;issued&quot;:{&quot;date-parts&quot;:[[&quot;2021&quot;,&quot;1&quot;]]},&quot;DOI&quot;:&quot;10.1038/s41581-020-00357-4&quot;,&quot;PMID&quot;:&quot;33077917&quot;,&quot;PMCID&quot;:&quot;PMC7570423&quot;,&quot;citation-label&quot;:&quot;9866222&quot;},{&quot;title&quot;:&quot;Biomarkers associated with delirium in critically ill patients and their relation with long-term subjective cognitive dysfunction; indications for different pathways governing delirium in inflamed and noninflamed patients.&quot;,&quot;page&quot;:&quot;R297&quot;,&quot;volume&quot;:&quot;15&quot;,&quot;issue&quot;:&quot;6&quot;,&quot;journalAbbreviation&quot;:&quot;Crit. Care&quot;,&quot;id&quot;:&quot;2337467&quot;,&quot;type&quot;:&quot;article-journal&quot;,&quot;container-title&quot;:&quot;Critical Care&quot;,&quot;container-title-short&quot;:&quot;Crit. Care&quot;,&quot;abstract&quot;:&quot;INTRODUCTION: Delirium occurs frequently in critically ill patients and is associated with disease severity and infection. Although several pathways for delirium have been described, biomarkers associated with delirium in intensive care unit (ICU) patients is not well studied. We examined plasma biomarkers in delirious and nondelirious patients and the role of these biomarkers on long-term cognitive function.METHODS: In an exploratory observational study, we included 100 ICU patients with or without delirium and with (\&quot;inflamed\&quot;) and without (\&quot;noninflamed\&quot;) infection/systemic inflammatory response syndrome (SIRS). Delirium was diagnosed by using the confusion-assessment method-ICU (CAM-ICU). Within 24 hours after the onset of delirium, blood was obtained for biomarker analysis. No differences in patient characteristics were found between delirious and nondelirious patients. To determine associations between biomarkers and delirium, univariate and multivariate logistic regression analyses were performed. Eighteen months after ICU discharge, a cognitive-failure questionnaire was distributed to the ICU survivors.RESULTS: In total, 50 delirious and 50 nondelirious patients were included. We found that IL-8, MCP-1, procalcitonin (PCT), cortisol, and S100-β were significantly associated with delirium in inflamed patients (n = 46). In the noninflamed group of patients (n = 54), IL-8, IL-1ra, IL-10 ratio Aβ1-42/40, and ratio AβN-42/40 were significantly associated with delirium. In multivariate regression analysis, IL-8 was independently associated (odds ratio, 9.0; 95% confidence interval (CI), 1.8 to 44.0) with delirium in inflamed patients and IL-10 (OR 2.6; 95% CI 1.1 to 5.9), and Aβ1-42/40 (OR, 0.03; 95% CI, 0.002 to 0.50) with delirium in noninflamed patients. Furthermore, levels of several amyloid-β forms, but not human Tau or S100-β, were significantly correlated with self-reported cognitive impairment 18 months after ICU discharge, whereas inflammatory markers were not correlated to impaired long-term cognitive function.CONCLUSIONS: In inflamed patients, the proinflammatory cytokine IL-8 was associated with delirium, whereas in noninflamed patients, antiinflammatory cytokine IL-10 and Aβ1-42/40 were associated with delirium. This suggests that the underlying mechanism governing the development of delirium in inflamed patients differs from that in noninflamed patients. Finally, elevated levels of amyloid-β correlated with long-term subjective cognitive-impairment delirium may represent the first sign of a (subclinical) dementia process. Future studies must confirm these results.The study was registered in the Clinical Trial Register (NCT00604773).&quot;,&quot;author&quot;:[{&quot;family&quot;:&quot;van den Boogaard&quot;,&quot;given&quot;:&quot;Mark&quot;},{&quot;family&quot;:&quot;Kox&quot;,&quot;given&quot;:&quot;Matthijs&quot;},{&quot;family&quot;:&quot;Quinn&quot;,&quot;given&quot;:&quot;Kieran L&quot;},{&quot;family&quot;:&quot;van Achterberg&quot;,&quot;given&quot;:&quot;Theo&quot;},{&quot;family&quot;:&quot;van der Hoeven&quot;,&quot;given&quot;:&quot;Johannes G&quot;},{&quot;family&quot;:&quot;Schoonhoven&quot;,&quot;given&quot;:&quot;Lisette&quot;},{&quot;family&quot;:&quot;Pickkers&quot;,&quot;given&quot;:&quot;Peter&quot;}],&quot;issued&quot;:{&quot;date-parts&quot;:[[&quot;2011&quot;,&quot;12&quot;,&quot;29&quot;]]},&quot;DOI&quot;:&quot;10.1186/cc10598&quot;,&quot;PMID&quot;:&quot;22206727&quot;,&quot;PMCID&quot;:&quot;PMC3388649&quot;,&quot;citation-label&quot;:&quot;2337467&quot;},{&quot;title&quot;:&quot;Role of Blood-Brain Barrier Dysfunction in Delirium following Non-cardiac Surgery in Older Adults.&quot;,&quot;page&quot;:&quot;1024-1035&quot;,&quot;volume&quot;:&quot;94&quot;,&quot;issue&quot;:&quot;6&quot;,&quot;journalAbbreviation&quot;:&quot;Ann. Neurol.&quot;,&quot;id&quot;:&quot;15585410&quot;,&quot;type&quot;:&quot;article-journal&quot;,&quot;container-title&quot;:&quot;Annals of Neurology&quot;,&quot;container-title-short&quot;:&quot;Ann. Neurol.&quot;,&quot;abstract&quot;:&quot;OBJECTIVE: Although animal models suggest a role for blood-brain barrier dysfunction in postoperative delirium-like behavior, its role in postoperative delirium and postoperative recovery in humans is unclear. Thus, we evaluated the role of blood-brain barrier dysfunction in postoperative delirium and hospital length of stay among older surgery patients.METHODS: Cognitive testing, delirium assessment, and cerebrospinal fluid and blood sampling were prospectively performed before and after non-cardiac, non-neurologic surgery. Blood-brain barrier dysfunction was assessed using the cerebrospinal fluid-to-plasma albumin ratio (CPAR).RESULTS: Of 207 patients (median age = 68 years, 45% female) with complete CPAR and delirium data, 26 (12.6%) developed postoperative delirium. Overall, CPAR increased from before to 24 hours after surgery (median change = 0.28, interquartile range [IQR] = -0.48 to 1.24, Wilcoxon p = 0.001). Preoperative to 24 hours postoperative change in CPAR was greater among patients who developed delirium versus those who did not (median [IQR] = 1.31 [0.004 to 2.34] vs 0.19 [-0.55 to 1.08], p = 0.003). In a multivariable model adjusting for age, baseline cognition, and surgery type, preoperative to 24 hours postoperative change in CPAR was independently associated with delirium occurrence (per CPAR increase of 1, odds ratio = 1.30, 95% confidence interval [CI] = 1.03-1.63, p = 0.026) and increased hospital length of stay (incidence rate ratio = 1.15, 95% CI = 1.09-1.22, p &lt;  0.001).INTERPRETATION: Postoperative increases in blood-brain barrier permeability are independently associated with increased delirium rates and postoperative hospital length of stay. Although these findings do not establish causality, studies are warranted to determine whether interventions to reduce postoperative blood-brain barrier dysfunction would reduce postoperative delirium rates and hospital length of stay. ANN NEUROL 2023;94:1024-1035.© 2023 The Authors. Annals of Neurology published by Wiley Periodicals LLC on behalf of American Neurological Association.&quot;,&quot;author&quot;:[{&quot;family&quot;:&quot;Devinney&quot;,&quot;given&quot;:&quot;Michael J&quot;},{&quot;family&quot;:&quot;Wong&quot;,&quot;given&quot;:&quot;Megan K&quot;},{&quot;family&quot;:&quot;Wright&quot;,&quot;given&quot;:&quot;Mary Cooter&quot;},{&quot;family&quot;:&quot;Marcantonio&quot;,&quot;given&quot;:&quot;Edward R&quot;},{&quot;family&quot;:&quot;Terrando&quot;,&quot;given&quot;:&quot;Niccolò&quot;},{&quot;family&quot;:&quot;Browndyke&quot;,&quot;given&quot;:&quot;Jeffrey N&quot;},{&quot;family&quot;:&quot;Whitson&quot;,&quot;given&quot;:&quot;Heather E&quot;},{&quot;family&quot;:&quot;Cohen&quot;,&quot;given&quot;:&quot;Harvey J&quot;},{&quot;family&quot;:&quot;Nackley&quot;,&quot;given&quot;:&quot;Andrea G&quot;},{&quot;family&quot;:&quot;Klein&quot;,&quot;given&quot;:&quot;Marguerita E&quot;},{&quot;family&quot;:&quot;Ely&quot;,&quot;given&quot;:&quot;E Wesley&quot;},{&quot;family&quot;:&quot;Mathew&quot;,&quot;given&quot;:&quot;Joseph P&quot;},{&quot;family&quot;:&quot;Berger&quot;,&quot;given&quot;:&quot;Miles&quot;},{&quot;family&quot;:&quot;MADCO-PC and INTUIT Study Teams&quot;}],&quot;issued&quot;:{&quot;date-parts&quot;:[[&quot;2023&quot;,&quot;12&quot;]]},&quot;DOI&quot;:&quot;10.1002/ana.26771&quot;,&quot;PMID&quot;:&quot;37615660&quot;,&quot;PMCID&quot;:&quot;PMC10841407&quot;,&quot;citation-label&quot;:&quot;15585410&quot;},{&quot;title&quot;:&quot;Application of multiple omics to understand postoperative delirium pathophysiology in humans.&quot;,&quot;page&quot;:&quot;1369-1384&quot;,&quot;volume&quot;:&quot;69&quot;,&quot;issue&quot;:&quot;12&quot;,&quot;journalAbbreviation&quot;:&quot;Gerontology&quot;,&quot;id&quot;:&quot;15585376&quot;,&quot;type&quot;:&quot;article-journal&quot;,&quot;container-title&quot;:&quot;Gerontology&quot;,&quot;container-title-short&quot;:&quot;Gerontology&quot;,&quot;abstract&quot;:&quot;Delirium, an acute change in cognition, is common, morbid, and costly, particularly among hospitalized older adults. Despite growing knowledge of its epidemiology, far less is known about delirium pathophysiology. Initial work understanding delirium pathogenesis has focused on assaying single or a limited subset of molecules or genetic loci. Recent technological advances at the forefront of biomarker and drug target discovery have facilitated application of multiple \&quot;omics\&quot; approaches aimed to provide a more complete understanding of complex disease processes such as delirium. At its basic level, \&quot;omics\&quot; involves comparison of genes (genomics, epigenomics), transcripts (transcriptomics), proteins (proteomics), metabolites (metabolomics), or lipids (lipidomics) in biological fluids or tissues obtained from patients who have a certain condition (i.e., delirium) and those who do not. Multi-omics analyses of these various types of molecules combined with machine learning and systems biology enable the discovery of biomarkers, biological pathways, and predictors of delirium, thus elucidating its pathophysiology. This review provides an overview of the most recent omics techniques, their current impact on identifying delirium biomarkers, and future potential in enhancing our understanding of delirium pathogenesis. We summarize challenges in identification of specific biomarkers of delirium and, more importantly, in discovering the mechanisms underlying delirium pathophysiology. Based on mounting evidence, we highlight a heightened inflammatory response as one common pathway in delirium risk and progression, and we suggest other promising biological mechanisms that have recently emerged. Advanced multiple omics approaches coupled with bioinformatics methodologies have great promise to yield important discoveries that will advance delirium research.© 2023 The Author(s). Published by S. Karger AG, Basel.&quot;,&quot;author&quot;:[{&quot;family&quot;:&quot;Vasunilashorn&quot;,&quot;given&quot;:&quot;Sarinnapha M&quot;},{&quot;family&quot;:&quot;Dillon&quot;,&quot;given&quot;:&quot;Simon T&quot;},{&quot;family&quot;:&quot;Marcantonio&quot;,&quot;given&quot;:&quot;Edward R&quot;},{&quot;family&quot;:&quot;Libermann&quot;,&quot;given&quot;:&quot;Towia A&quot;}],&quot;issued&quot;:{&quot;date-parts&quot;:[[&quot;2023&quot;,&quot;9&quot;,&quot;18&quot;]]},&quot;DOI&quot;:&quot;10.1159/000533789&quot;,&quot;PMID&quot;:&quot;37722373&quot;,&quot;PMCID&quot;:&quot;PMC10711777&quot;,&quot;citation-label&quot;:&quot;15585376&quot;},{&quot;title&quot;:&quot;Inhibition of unfolded protein response prevents post-anesthesia neuronal hyperactivity and synapse loss in aged mice.&quot;,&quot;page&quot;:&quot;e13592&quot;,&quot;volume&quot;:&quot;21&quot;,&quot;issue&quot;:&quot;4&quot;,&quot;journalAbbreviation&quot;:&quot;Aging Cell&quot;,&quot;id&quot;:&quot;16523096&quot;,&quot;type&quot;:&quot;article-journal&quot;,&quot;container-title&quot;:&quot;Aging Cell&quot;,&quot;container-title-short&quot;:&quot;Aging Cell&quot;,&quot;abstract&quot;:&quot;Delirium is the most common postoperative complication in older patients after prolonged anesthesia and surgery and is associated with accelerated cognitive decline and dementia. The neuronal pathogenesis of postoperative delirium is largely unknown. The unfolded protein response (UPR) is an adaptive reaction of cells to perturbations in endoplasmic reticulum function. Dysregulation of UPR has been implicated in a variety of diseases including Alzheimer's disease and related dementias. However, whether UPR plays a role in anesthesia-induced cognitive impairment remains unexplored. By performing in vivo calcium imaging in the mouse frontal cortex, we showed that exposure of aged mice to the inhalational anesthetic sevoflurane for 2 hours resulted in a marked elevation of neuronal activity during recovery, which lasted for at least 24 hours after the end of exposure. Concomitantly, sevoflurane anesthesia caused a prolonged increase in phosphorylation of PERK and eIF2α, the markers of UPR activation. Genetic deletion or pharmacological inhibition of PERK prevented neuronal hyperactivity and memory impairment induced by sevoflurane. Moreover, we showed that PERK suppression also reversed various molecular and synaptic changes induced by sevoflurane anesthesia, including alterations of synaptic NMDA receptors, tau protein phosphorylation, and dendritic spine loss. Together, these findings suggest that sevoflurane anesthesia causes abnormal UPR in the aged brain, which contributes to neuronal hyperactivity, synapse loss and cognitive decline in aged mice.© 2022 The Authors. Aging Cell published by Anatomical Society and John Wiley &amp; Sons Ltd.&quot;,&quot;author&quot;:[{&quot;family&quot;:&quot;Chen&quot;,&quot;given&quot;:&quot;Kai&quot;},{&quot;family&quot;:&quot;Hu&quot;,&quot;given&quot;:&quot;Qiuping&quot;},{&quot;family&quot;:&quot;Gupta&quot;,&quot;given&quot;:&quot;Riya&quot;},{&quot;family&quot;:&quot;Stephens&quot;,&quot;given&quot;:&quot;Jessie&quot;},{&quot;family&quot;:&quot;Xie&quot;,&quot;given&quot;:&quot;Zhongcong&quot;},{&quot;family&quot;:&quot;Yang&quot;,&quot;given&quot;:&quot;Guang&quot;}],&quot;issued&quot;:{&quot;date-parts&quot;:[[&quot;2022&quot;,&quot;4&quot;]]},&quot;DOI&quot;:&quot;10.1111/acel.13592&quot;,&quot;PMID&quot;:&quot;35299279&quot;,&quot;PMCID&quot;:&quot;PMC9009124&quot;,&quot;citation-label&quot;:&quot;16523096&quot;},{&quot;title&quot;:&quot;Metabolic programs define dysfunctional immune responses in severe COVID-19 patients.&quot;,&quot;page&quot;:&quot;108863&quot;,&quot;volume&quot;:&quot;34&quot;,&quot;issue&quot;:&quot;11&quot;,&quot;journalAbbreviation&quot;:&quot;Cell Rep.&quot;,&quot;id&quot;:&quot;10635088&quot;,&quot;type&quot;:&quot;article-journal&quot;,&quot;container-title&quot;:&quot;Cell reports&quot;,&quot;container-title-short&quot;:&quot;Cell Rep.&quot;,&quot;abstract&quot;:&quot;It is unclear why some SARS-CoV-2 patients readily resolve infection while others develop severe disease. By interrogating metabolic programs of immune cells in severe and recovered coronavirus disease 2019 (COVID-19) patients compared with other viral infections, we identify a unique population of T cells. These T cells express increased Voltage-Dependent Anion Channel 1 (VDAC1), accompanied by gene programs and functional characteristics linked to mitochondrial dysfunction and apoptosis. The percentage of these cells increases in elderly patients and correlates with lymphopenia. Importantly, T cell apoptosis is inhibited in vitro by targeting the oligomerization of VDAC1 or blocking caspase activity. We also observe an expansion of myeloid-derived suppressor cells with unique metabolic phenotypes specific to COVID-19, and their presence distinguishes severe from mild disease. Overall, the identification of these metabolic phenotypes provides insight into the dysfunctional immune response in acutely ill COVID-19 patients and provides a means to predict and track disease severity and/or design metabolic therapeutic regimens.Copyright © 2021 The Authors. Published by Elsevier Inc. All rights reserved.&quot;,&quot;author&quot;:[{&quot;family&quot;:&quot;Thompson&quot;,&quot;given&quot;:&quot;Elizabeth A&quot;},{&quot;family&quot;:&quot;Cascino&quot;,&quot;given&quot;:&quot;Katherine&quot;},{&quot;family&quot;:&quot;Ordonez&quot;,&quot;given&quot;:&quot;Alvaro A&quot;},{&quot;family&quot;:&quot;Zhou&quot;,&quot;given&quot;:&quot;Weiqiang&quot;},{&quot;family&quot;:&quot;Vaghasia&quot;,&quot;given&quot;:&quot;Ajay&quot;},{&quot;family&quot;:&quot;Hamacher-Brady&quot;,&quot;given&quot;:&quot;Anne&quot;},{&quot;family&quot;:&quot;Brady&quot;,&quot;given&quot;:&quot;Nathan R&quot;},{&quot;family&quot;:&quot;Sun&quot;,&quot;given&quot;:&quot;Im-Hong&quot;},{&quot;family&quot;:&quot;Wang&quot;,&quot;given&quot;:&quot;Rulin&quot;},{&quot;family&quot;:&quot;Rosenberg&quot;,&quot;given&quot;:&quot;Avi Z&quot;},{&quot;family&quot;:&quot;Delannoy&quot;,&quot;given&quot;:&quot;Michael&quot;},{&quot;family&quot;:&quot;Rothman&quot;,&quot;given&quot;:&quot;Richard&quot;},{&quot;family&quot;:&quot;Fenstermacher&quot;,&quot;given&quot;:&quot;Katherine&quot;},{&quot;family&quot;:&quot;Sauer&quot;,&quot;given&quot;:&quot;Lauren&quot;},{&quot;family&quot;:&quot;Shaw-Saliba&quot;,&quot;given&quot;:&quot;Kathyrn&quot;},{&quot;family&quot;:&quot;Bloch&quot;,&quot;given&quot;:&quot;Evan M&quot;},{&quot;family&quot;:&quot;Redd&quot;,&quot;given&quot;:&quot;Andrew D&quot;},{&quot;family&quot;:&quot;Tobian&quot;,&quot;given&quot;:&quot;Aaron A R&quot;},{&quot;family&quot;:&quot;Horton&quot;,&quot;given&quot;:&quot;Maureen&quot;},{&quot;family&quot;:&quot;Smith&quot;,&quot;given&quot;:&quot;Kellie&quot;},{&quot;family&quot;:&quot;Pekosz&quot;,&quot;given&quot;:&quot;Andrew&quot;},{&quot;family&quot;:&quot;D'Alessio&quot;,&quot;given&quot;:&quot;Franco R&quot;},{&quot;family&quot;:&quot;Yegnasubramanian&quot;,&quot;given&quot;:&quot;Srinivasan&quot;},{&quot;family&quot;:&quot;Ji&quot;,&quot;given&quot;:&quot;Hongkai&quot;},{&quot;family&quot;:&quot;Cox&quot;,&quot;given&quot;:&quot;Andrea L&quot;},{&quot;family&quot;:&quot;Powell&quot;,&quot;given&quot;:&quot;Jonathan D&quot;}],&quot;issued&quot;:{&quot;date-parts&quot;:[[&quot;2021&quot;,&quot;3&quot;,&quot;16&quot;]]},&quot;DOI&quot;:&quot;10.1016/j.celrep.2021.108863&quot;,&quot;PMID&quot;:&quot;33691089&quot;,&quot;PMCID&quot;:&quot;PMC7908880&quot;,&quot;citation-label&quot;:&quot;10635088&quot;},{&quot;title&quot;:&quot;Systemic inflammation and delirium during critical illness.&quot;,&quot;journalAbbreviation&quot;:&quot;Intensive Care Med.&quot;,&quot;id&quot;:&quot;16522948&quot;,&quot;type&quot;:&quot;article-journal&quot;,&quot;container-title&quot;:&quot;Intensive Care Medicine&quot;,&quot;container-title-short&quot;:&quot;Intensive Care Med.&quot;,&quot;abstract&quot;:&quot;PURPOSE: The purpose of this study was to determine associations between markers of inflammation and endogenous anticoagulant activity with delirium and coma during critical illness.METHODS: In this prospective cohort study, we enrolled adults with respiratory failure and/or shock treated in medical or surgical intensive care units (ICUs) at 5 centers. Twice per day in the ICU, and daily thereafter, we assessed mental status using the Richmond Agitation Sedation Scale (RASS) and the Confusion Assessment Method-Intensive Care Unit (CAM-ICU). We collected blood samples on study days 1, 3, and 5, measuring levels of C-reactive protein (CRP), interferon gamma (IFN-γ), interleukin (IL)-1 beta (IL-1β), IL-6, IL-8, IL-10, IL-12, matrix metalloproteinase-9 (MMP-9), tumor necrosis factor-alpha (TNF-α), tumor necrosis factor receptor 1 (TNFR1), and protein C using validated protocols. We used multinomial logistic regression to analyze associations between biomarkers and the odds of delirium or coma versus normal mental status the following day, adjusting for age, sepsis, Sequential Organ Failure Assessment (SOFA), study day, corticosteroids, and sedatives.RESULTS: Among 991 participants with a median age (interquartile range, IQR) of 62 [53-72] years and enrollment SOFA of 9 [7-11], higher concentrations of IL-6 (odds ratio [OR] [95% CI]: 1.8 [1.4-2.3]), IL-8 (1.3 [1.1-1.5]), IL-10 (1.5 [1.2-1.8]), TNF-α (1.2 [1.0-1.4]), and TNFR1 (1.3 [1.1-1.6]) and lower concentrations of protein C (0.7 [0.6-0.8])) were associated with delirium the following day. Higher concentrations of CRP (1.4 [1.1-1.7]), IFN-γ (1.3 [1.1-1.5]), IL-6 (2.3 [1.8-3.0]), IL-8 (1.8 [1.4-2.3]), and IL-10 (1.5 [1.2-2.0]) and lower concentrations of protein C (0.6 [0.5-0.8]) were associated with coma the following day. IL-1β, IL-12, and MMP-9 were not associated with mental status.CONCLUSION: Markers of inflammation and possibly endogenous anticoagulant activity are associated with delirium and coma during critical illness.© 2024. Springer-Verlag GmbH Germany, part of Springer Nature.&quot;,&quot;author&quot;:[{&quot;family&quot;:&quot;Brummel&quot;,&quot;given&quot;:&quot;Nathan E&quot;},{&quot;family&quot;:&quot;Hughes&quot;,&quot;given&quot;:&quot;Christopher G&quot;},{&quot;family&quot;:&quot;McNeil&quot;,&quot;given&quot;:&quot;J Brennan&quot;},{&quot;family&quot;:&quot;Pandharipande&quot;,&quot;given&quot;:&quot;Pratik P&quot;},{&quot;family&quot;:&quot;Thompson&quot;,&quot;given&quot;:&quot;Jennifer L&quot;},{&quot;family&quot;:&quot;Orun&quot;,&quot;given&quot;:&quot;Onur M&quot;},{&quot;family&quot;:&quot;Raman&quot;,&quot;given&quot;:&quot;Rameela&quot;},{&quot;family&quot;:&quot;Ware&quot;,&quot;given&quot;:&quot;Lorraine B&quot;},{&quot;family&quot;:&quot;Bernard&quot;,&quot;given&quot;:&quot;Gordon R&quot;},{&quot;family&quot;:&quot;Harrison&quot;,&quot;given&quot;:&quot;Fiona E&quot;},{&quot;family&quot;:&quot;Ely&quot;,&quot;given&quot;:&quot;E Wesley&quot;},{&quot;family&quot;:&quot;Girard&quot;,&quot;given&quot;:&quot;Timothy D&quot;}],&quot;issued&quot;:{&quot;date-parts&quot;:[[&quot;2024&quot;,&quot;4&quot;,&quot;22&quot;]]},&quot;DOI&quot;:&quot;10.1007/s00134-024-07388-6&quot;,&quot;PMID&quot;:&quot;38647548&quot;,&quot;citation-label&quot;:&quot;16522948&quot;},{&quot;title&quot;:&quot;After 62 years of regulating immunity, dexamethasone meets COVID-19.&quot;,&quot;page&quot;:&quot;587-588&quot;,&quot;volume&quot;:&quot;20&quot;,&quot;issue&quot;:&quot;10&quot;,&quot;journalAbbreviation&quot;:&quot;Nat. Rev. Immunol.&quot;,&quot;id&quot;:&quot;9493026&quot;,&quot;type&quot;:&quot;article-journal&quot;,&quot;container-title&quot;:&quot;Nature Reviews. Immunology&quot;,&quot;container-title-short&quot;:&quot;Nat. Rev. Immunol.&quot;,&quot;abstract&quot;:&quot;Six months into the COVID-19 pandemic, effective treatments have been frustratingly sparse. The RECOVERY clinical trial, however, revealed that treatment with dexamethasone, a classic synthetic glucocorticoid, enhanced survival of critically ill patients with COVID-19. In this Comment, we discuss the immunological impacts of glucocorticoid therapy for COVID-19.&quot;,&quot;author&quot;:[{&quot;family&quot;:&quot;Cain&quot;,&quot;given&quot;:&quot;Derek W&quot;},{&quot;family&quot;:&quot;Cidlowski&quot;,&quot;given&quot;:&quot;John A&quot;}],&quot;issued&quot;:{&quot;date-parts&quot;:[[&quot;2020&quot;,&quot;10&quot;]]},&quot;DOI&quot;:&quot;10.1038/s41577-020-00421-x&quot;,&quot;PMID&quot;:&quot;32778829&quot;,&quot;PMCID&quot;:&quot;PMC7416654&quot;,&quot;citation-label&quot;:&quot;9493026&quot;},{&quot;title&quot;:&quot;Endogenous glucocorticoids control host resistance to viral infection through the tissue-specific regulation of PD-1 expression on NK cells.&quot;,&quot;page&quot;:&quot;954-962&quot;,&quot;volume&quot;:&quot;19&quot;,&quot;issue&quot;:&quot;9&quot;,&quot;journalAbbreviation&quot;:&quot;Nat. Immunol.&quot;,&quot;id&quot;:&quot;5786796&quot;,&quot;type&quot;:&quot;article-journal&quot;,&quot;container-title&quot;:&quot;Nature Immunology&quot;,&quot;container-title-short&quot;:&quot;Nat. Immunol.&quot;,&quot;abstract&quot;:&quot;Controlling the balance between immunity and immunopathology is crucial for host resistance to pathogens. After infection, activation of the hypothalamic-pituitary-adrenal (HPA) axis leads to the production of glucocorticoids. However, the pleiotropic effects of these steroid hormones make it difficult to delineate their precise role(s) in vivo. Here we found that the regulation of natural killer (NK) cell function by the glucocorticoid receptor (GR) was required for host survival after infection with mouse cytomegalovirus (MCMV). Mechanistically, endogenous glucocorticoids produced shortly after infection induced selective and tissue-specific expression of the checkpoint receptor PD-1 on NK cells. This glucocorticoid-PD-1 pathway limited production of the cytokine IFN-γ by spleen NK cells, which prevented immunopathology. Notably, this regulation did not compromise viral clearance. Thus, the fine tuning of NK cell functions by the HPA axis preserved tissue integrity without impairing pathogen elimination, which reveals a novel aspect of neuroimmune regulation.&quot;,&quot;author&quot;:[{&quot;family&quot;:&quot;Quatrini&quot;,&quot;given&quot;:&quot;Linda&quot;},{&quot;family&quot;:&quot;Wieduwild&quot;,&quot;given&quot;:&quot;Elisabeth&quot;},{&quot;family&quot;:&quot;Escaliere&quot;,&quot;given&quot;:&quot;Bertrand&quot;},{&quot;family&quot;:&quot;Filtjens&quot;,&quot;given&quot;:&quot;Jessica&quot;},{&quot;family&quot;:&quot;Chasson&quot;,&quot;given&quot;:&quot;Lionel&quot;},{&quot;family&quot;:&quot;Laprie&quot;,&quot;given&quot;:&quot;Caroline&quot;},{&quot;family&quot;:&quot;Vivier&quot;,&quot;given&quot;:&quot;Eric&quot;},{&quot;family&quot;:&quot;Ugolini&quot;,&quot;given&quot;:&quot;Sophie&quot;}],&quot;issued&quot;:{&quot;date-parts&quot;:[[&quot;2018&quot;,&quot;9&quot;]]},&quot;DOI&quot;:&quot;10.1038/s41590-018-0185-0&quot;,&quot;PMID&quot;:&quot;30127438&quot;,&quot;PMCID&quot;:&quot;PMC6138242&quot;,&quot;citation-label&quot;:&quot;5786796&quot;},{&quot;title&quot;:&quot;Glucocorticoid-Induced Leucine Zipper-Mediated TLR2 Downregulation Accounts for Reduced Neutrophil Activity Following Acute DEX Treatment.&quot;,&quot;volume&quot;:&quot;10&quot;,&quot;issue&quot;:&quot;9&quot;,&quot;journalAbbreviation&quot;:&quot;Cells&quot;,&quot;id&quot;:&quot;16521142&quot;,&quot;type&quot;:&quot;article-journal&quot;,&quot;container-title&quot;:&quot;Cells&quot;,&quot;container-title-short&quot;:&quot;Cells&quot;,&quot;abstract&quot;:&quot;Glucocorticoids are the most powerful anti-inflammatory and immunosuppressive pharmacological drugs available, despite their adverse effects. Glucocorticoid-induced leucine zipper (GILZ) is a glucocorticoid-induced gene that shares several anti-inflammatory properties with glucocorticoids. Although immunosuppressive effects of glucocorticoids on neutrophils remain poorly understood, we previously demonstrated that GILZ suppresses neutrophil activation under glucocorticoid treatment. Here, we sought to explore the regulation of Toll-like receptor 2 (TLR2) by the synthetic glucocorticoid dexamethasone (DEX) on neutrophils and the associated GILZ involvement. Peripheral blood neutrophils were isolated from wild type and GILZ-knock-out (KO) mice. TLR2 was found to be downregulated by the in vivo administration of glucocorticoids in wild type but not in GILZ-KO neutrophils, suggesting the involvement of GILZ in TLR2 downregulation. Accordingly, the TLR2-associated anti-fungal activity of neutrophils was reduced by DEX treatment in wild type but not GILZ-KO neutrophils. Furthermore, GILZ did not interact with NF-κB but was found to bind with STAT5, a pivotal factor in the regulation of TLR2 expression. A similar modulation of TLR2 expression, impaired phagocytosis, and killing activity was observed in circulating human neutrophils treated in vitro with DEX. These results demonstrate that glucocorticoids reduce the ability of neutrophils to respond to infections by downregulating TLR2 via GILZ, thereby reducing critical functions.&quot;,&quot;author&quot;:[{&quot;family&quot;:&quot;Ricci&quot;,&quot;given&quot;:&quot;Erika&quot;},{&quot;family&quot;:&quot;Roselletti&quot;,&quot;given&quot;:&quot;Elena&quot;},{&quot;family&quot;:&quot;Gentili&quot;,&quot;given&quot;:&quot;Marco&quot;},{&quot;family&quot;:&quot;Sabbatini&quot;,&quot;given&quot;:&quot;Samuele&quot;},{&quot;family&quot;:&quot;Perito&quot;,&quot;given&quot;:&quot;Stefano&quot;},{&quot;family&quot;:&quot;Riccardi&quot;,&quot;given&quot;:&quot;Carlo&quot;},{&quot;family&quot;:&quot;Migliorati&quot;,&quot;given&quot;:&quot;Graziella&quot;},{&quot;family&quot;:&quot;Monari&quot;,&quot;given&quot;:&quot;Claudia&quot;},{&quot;family&quot;:&quot;Ronchetti&quot;,&quot;given&quot;:&quot;Simona&quot;}],&quot;issued&quot;:{&quot;date-parts&quot;:[[&quot;2021&quot;,&quot;8&quot;,&quot;28&quot;]]},&quot;DOI&quot;:&quot;10.3390/cells10092228&quot;,&quot;PMID&quot;:&quot;34571877&quot;,&quot;PMCID&quot;:&quot;PMC8472062&quot;,&quot;citation-label&quot;:&quot;16521142&quot;},{&quot;title&quot;:&quot;Determining cell type abundance and expression from bulk tissues with digital cytometry.&quot;,&quot;page&quot;:&quot;773-782&quot;,&quot;volume&quot;:&quot;37&quot;,&quot;issue&quot;:&quot;7&quot;,&quot;journalAbbreviation&quot;:&quot;Nat. Biotechnol.&quot;,&quot;id&quot;:&quot;6954490&quot;,&quot;type&quot;:&quot;article-journal&quot;,&quot;container-title&quot;:&quot;Nature Biotechnology&quot;,&quot;container-title-short&quot;:&quot;Nat. Biotechnol.&quot;,&quot;abstract&quot;:&quot;Single-cell RNA-sequencing has emerged as a powerful technique for characterizing cellular heterogeneity, but it is currently impractical on large sample cohorts and cannot be applied to fixed specimens collected as part of routine clinical care. We previously developed an approach for digital cytometry, called CIBERSORT, that enables estimation of cell type abundances from bulk tissue transcriptomes. We now introduce CIBERSORTx, a machine learning method that extends this framework to infer cell-type-specific gene expression profiles without physical cell isolation. By minimizing platform-specific variation, CIBERSORTx also allows the use of single-cell RNA-sequencing data for large-scale tissue dissection. We evaluated the utility of CIBERSORTx in multiple tumor types, including melanoma, where single-cell reference profiles were used to dissect bulk clinical specimens, revealing cell-type-specific phenotypic states linked to distinct driver mutations and response to immune checkpoint blockade. We anticipate that digital cytometry will augment single-cell profiling efforts, enabling cost-effective, high-throughput tissue characterization without the need for antibodies, disaggregation or viable cells.&quot;,&quot;author&quot;:[{&quot;family&quot;:&quot;Newman&quot;,&quot;given&quot;:&quot;Aaron M&quot;},{&quot;family&quot;:&quot;Steen&quot;,&quot;given&quot;:&quot;Chloé B&quot;},{&quot;family&quot;:&quot;Liu&quot;,&quot;given&quot;:&quot;Chih Long&quot;},{&quot;family&quot;:&quot;Gentles&quot;,&quot;given&quot;:&quot;Andrew J&quot;},{&quot;family&quot;:&quot;Chaudhuri&quot;,&quot;given&quot;:&quot;Aadel A&quot;},{&quot;family&quot;:&quot;Scherer&quot;,&quot;given&quot;:&quot;Florian&quot;},{&quot;family&quot;:&quot;Khodadoust&quot;,&quot;given&quot;:&quot;Michael S&quot;},{&quot;family&quot;:&quot;Esfahani&quot;,&quot;given&quot;:&quot;Mohammad S&quot;},{&quot;family&quot;:&quot;Luca&quot;,&quot;given&quot;:&quot;Bogdan A&quot;},{&quot;family&quot;:&quot;Steiner&quot;,&quot;given&quot;:&quot;David&quot;},{&quot;family&quot;:&quot;Diehn&quot;,&quot;given&quot;:&quot;Maximilian&quot;},{&quot;family&quot;:&quot;Alizadeh&quot;,&quot;given&quot;:&quot;Ash A&quot;}],&quot;issued&quot;:{&quot;date-parts&quot;:[[&quot;2019&quot;,&quot;7&quot;]]},&quot;DOI&quot;:&quot;10.1038/s41587-019-0114-2&quot;,&quot;PMID&quot;:&quot;31061481&quot;,&quot;PMCID&quot;:&quot;PMC6610714&quot;,&quot;citation-label&quot;:&quot;6954490&quot;},{&quot;title&quot;:&quot;Delirium pathophysiology: An updated hypothesis of the etiology of acute brain failure.&quot;,&quot;page&quot;:&quot;1428-1457&quot;,&quot;volume&quot;:&quot;33&quot;,&quot;issue&quot;:&quot;11&quot;,&quot;journalAbbreviation&quot;:&quot;Int. J. Geriatr. Psychiatry&quot;,&quot;id&quot;:&quot;10440947&quot;,&quot;type&quot;:&quot;article-journal&quot;,&quot;container-title&quot;:&quot;International Journal of Geriatric Psychiatry&quot;,&quot;container-title-short&quot;:&quot;Int. J. Geriatr. Psychiatry&quot;,&quot;abstract&quot;:&quot;BACKGROUND: Delirium is the most common neuropsychiatric syndrome encountered by clinicians dealing with older adults and the medically ill and is best characterized by 5 core domains: cognitive deficits, attentional deficits, circadian rhythm dysregulation, emotional dysregulation, and alteration in psychomotor functioning.DESIGN: An extensive literature review and consolidation of published data into a novel interpretation of known pathophysiological causes of delirium.RESULTS: Available data suggest that numerous pathological factors may serve as precipitants for delirium, each having differential effects depending on patient-specific patient physiological characteristics (substrate). On the basis of an extensive literature search, a newly proposed theory, the systems integration failure hypothesis, was developed to bring together the most salient previously described theories, by describing the various contributions from each into a complex web of pathways-highlighting areas of intersection and commonalities and explaining how the variable contribution of these may lead to the development of various cognitive and behavioral dysfunctions characteristic of delirium. The specific cognitive and behavioral manifestations of the specific delirium picture result from a combination of neurotransmitter function and availability, variability in integration and processing of sensory information, motor responses to both external and internal cues, and the degree of breakdown in neuronal network connectivity, hence the term acute brain failure.CONCLUSIONS: The systems integration failure hypothesis attempts to explain how the various proposed delirium pathophysiologic theories interact with each other, causing various clinically observed delirium phenotypes. A better understanding of the underlying pathophysiology of delirium may eventually assist in designing better prevention and management approaches.Copyright © 2017 John Wiley &amp; Sons, Ltd.&quot;,&quot;author&quot;:[{&quot;family&quot;:&quot;Maldonado&quot;,&quot;given&quot;:&quot;José R&quot;}],&quot;issued&quot;:{&quot;date-parts&quot;:[[&quot;2018&quot;,&quot;11&quot;]]},&quot;DOI&quot;:&quot;10.1002/gps.4823&quot;,&quot;PMID&quot;:&quot;29278283&quot;,&quot;citation-label&quot;:&quot;10440947&quot;},{&quot;title&quot;:&quot;USP15 regulates type I interferon response and is required for pathogenesis of neuroinflammation.&quot;,&quot;page&quot;:&quot;54-63&quot;,&quot;volume&quot;:&quot;18&quot;,&quot;issue&quot;:&quot;1&quot;,&quot;journalAbbreviation&quot;:&quot;Nat. Immunol.&quot;,&quot;id&quot;:&quot;3333310&quot;,&quot;type&quot;:&quot;article-journal&quot;,&quot;container-title&quot;:&quot;Nature Immunology&quot;,&quot;container-title-short&quot;:&quot;Nat. Immunol.&quot;,&quot;abstract&quot;:&quot;Genes and pathways in which inactivation dampens tissue inflammation present new opportunities for understanding the pathogenesis of common human inflammatory diseases, including inflammatory bowel disease, rheumatoid arthritis and multiple sclerosis. We identified a mutation in the gene encoding the deubiquitination enzyme USP15 (Usp15L749R) that protected mice against both experimental cerebral malaria (ECM) induced by Plasmodium berghei and experimental autoimmune encephalomyelitis (EAE). Combining immunophenotyping and RNA sequencing in brain (ECM) and spinal cord (EAE) revealed that Usp15L749R-associated resistance to neuroinflammation was linked to dampened type I interferon responses in situ. In hematopoietic cells and in resident brain cells, USP15 was coexpressed with, and functionally acted together with the E3 ubiquitin ligase TRIM25 to positively regulate type I interferon responses and to promote pathogenesis during neuroinflammation. The USP15-TRIM25 dyad might be a potential target for intervention in acute or chronic states of neuroinflammation.&quot;,&quot;author&quot;:[{&quot;family&quot;:&quot;Torre&quot;,&quot;given&quot;:&quot;Sabrina&quot;},{&quot;family&quot;:&quot;Polyak&quot;,&quot;given&quot;:&quot;Maria J&quot;},{&quot;family&quot;:&quot;Langlais&quot;,&quot;given&quot;:&quot;David&quot;},{&quot;family&quot;:&quot;Fodil&quot;,&quot;given&quot;:&quot;Nassima&quot;},{&quot;family&quot;:&quot;Kennedy&quot;,&quot;given&quot;:&quot;James M&quot;},{&quot;family&quot;:&quot;Radovanovic&quot;,&quot;given&quot;:&quot;Irena&quot;},{&quot;family&quot;:&quot;Berghout&quot;,&quot;given&quot;:&quot;Joanne&quot;},{&quot;family&quot;:&quot;Leiva-Torres&quot;,&quot;given&quot;:&quot;Gabriel A&quot;},{&quot;family&quot;:&quot;Krawczyk&quot;,&quot;given&quot;:&quot;Connie M&quot;},{&quot;family&quot;:&quot;Ilangumaran&quot;,&quot;given&quot;:&quot;Subburaj&quot;},{&quot;family&quot;:&quot;Mossman&quot;,&quot;given&quot;:&quot;Karen&quot;},{&quot;family&quot;:&quot;Liang&quot;,&quot;given&quot;:&quot;Chen&quot;},{&quot;family&quot;:&quot;Knobeloch&quot;,&quot;given&quot;:&quot;Klaus-Peter&quot;},{&quot;family&quot;:&quot;Healy&quot;,&quot;given&quot;:&quot;Luke M&quot;},{&quot;family&quot;:&quot;Antel&quot;,&quot;given&quot;:&quot;Jack&quot;},{&quot;family&quot;:&quot;Arbour&quot;,&quot;given&quot;:&quot;Nathalie&quot;},{&quot;family&quot;:&quot;Prat&quot;,&quot;given&quot;:&quot;Alexandre&quot;},{&quot;family&quot;:&quot;Majewski&quot;,&quot;given&quot;:&quot;Jacek&quot;},{&quot;family&quot;:&quot;Lathrop&quot;,&quot;given&quot;:&quot;Mark&quot;},{&quot;family&quot;:&quot;Vidal&quot;,&quot;given&quot;:&quot;Silvia M&quot;},{&quot;family&quot;:&quot;Gros&quot;,&quot;given&quot;:&quot;Philippe&quot;}],&quot;issued&quot;:{&quot;date-parts&quot;:[[&quot;2017&quot;,&quot;1&quot;]]},&quot;DOI&quot;:&quot;10.1038/ni.3581&quot;,&quot;PMID&quot;:&quot;27721430&quot;,&quot;citation-label&quot;:&quot;3333310&quot;},{&quot;title&quot;:&quot;BEST1 Positive Monocytes in Circulation: Visualize Intratumoral Crosstalk between Cancer Cells and Monocytes.&quot;,&quot;page&quot;:&quot;e2205915&quot;,&quot;volume&quot;:&quot;10&quot;,&quot;issue&quot;:&quot;17&quot;,&quot;journalAbbreviation&quot;:&quot;Adv Sci (Weinh)&quot;,&quot;id&quot;:&quot;16020602&quot;,&quot;type&quot;:&quot;article-journal&quot;,&quot;container-title&quot;:&quot;Advanced science (Weinheim, Baden-Wurttemberg, Germany)&quot;,&quot;container-title-short&quot;:&quot;Adv Sci (Weinh)&quot;,&quot;abstract&quot;:&quot;Head and neck squamous cell carcinomas (HNSCCs) are characterized by an abundance of monocytes and macrophages recruited from the peripheral blood. However, it has not been determined whether these infiltrated cells can be released back into circulation with a tumor-associated neobiosignature. This study reports that Bestrophin1 (BEST1), a component protein of Ca2+ -activated Cl- channels (CaCCs), is highly expressed on classical monocytes in the peripheral blood of HNSCC patients. This is due to monocyte education by tumor cells, in which tumoral VEGF-A upregulates BEST1 expression on monocytes through the MEK-ERK-ELK1 pathway. This leads to improved secretion of IL-6 and IL-8, which promotes tumor cell proliferation. This work also finds that BEST1 facilitates the motility of monocytes, contributing to the migration of these cells back into circulation. These results suggest that the expression of BEST1 on peripheral monocytes may be a potential tool for monitoring tumor progression, and opens up the possibility of searching for cancer biomarkers on monocytes rather than on the tumor or its products.© 2023 The Authors. Advanced Science published by Wiley-VCH GmbH.&quot;,&quot;author&quot;:[{&quot;family&quot;:&quot;Zhang&quot;,&quot;given&quot;:&quot;Luyao&quot;},{&quot;family&quot;:&quot;Wang&quot;,&quot;given&quot;:&quot;Yiran&quot;},{&quot;family&quot;:&quot;Yuan&quot;,&quot;given&quot;:&quot;Wei&quot;},{&quot;family&quot;:&quot;An&quot;,&quot;given&quot;:&quot;Changming&quot;},{&quot;family&quot;:&quot;Tan&quot;,&quot;given&quot;:&quot;Qin&quot;},{&quot;family&quot;:&quot;Ma&quot;,&quot;given&quot;:&quot;Jie&quot;}],&quot;issued&quot;:{&quot;date-parts&quot;:[[&quot;2023&quot;,&quot;6&quot;]]},&quot;DOI&quot;:&quot;10.1002/advs.202205915&quot;,&quot;PMID&quot;:&quot;37088729&quot;,&quot;PMCID&quot;:&quot;PMC10265052&quot;,&quot;citation-label&quot;:&quot;16020602&quot;},{&quot;title&quot;:&quot;Ezh2 Regulates Activation-Induced CD8+ T Cell Cycle Progression via Repressing Cdkn2a and Cdkn1c Expression.&quot;,&quot;page&quot;:&quot;549&quot;,&quot;volume&quot;:&quot;9&quot;,&quot;journalAbbreviation&quot;:&quot;Front. Immunol.&quot;,&quot;id&quot;:&quot;9650438&quot;,&quot;type&quot;:&quot;article-journal&quot;,&quot;container-title&quot;:&quot;Frontiers in Immunology&quot;,&quot;container-title-short&quot;:&quot;Front. Immunol.&quot;,&quot;abstract&quot;:&quot;Transition from resting to cell cycle in response to antigenic stimulation is an essential step for naïve CD8+ T cells to differentiate to effector and memory cells. Leaving the resting state requires dramatic changes of chromatin status in the key cell cycle inhibitors but the details of these concerted events are not fully elucidated. Here, we showed that Ezh2, an enzymatic component of polycomb repressive complex 2 (PRC2) catalyzing the trimethylation of lysine 27 on histone 3 (H3K27me3), regulates activation induced naïve CD8+ T cells proliferation and apoptosis. Upon deletion of Ezh2 during thymocyte development (Ezh2fl/flCd4Cre+ mice), naive CD8+ T cells displayed impaired proliferation and increased apoptosis in response to antigen stimulation. However, naive CD8+ T cells only had impaired proliferation but no increase in apoptosis when Ezh2 was deleted after activation (Ezh2fl/flGzmBCre+ mice), suggesting cell cycle and apoptosis are temporally separable events controlled by Ezh2. We then showed that deletion of Ezh2 resulted in the increase in expression of cyclin-dependent kinase inhibitors Cdkn2a (p16 and Arf) and Cdkn1c (p57) in activated naïve CD8+ T cells as the consequence of reduced levels of H3K27me3 at these two gene loci. Finally, with real time imaging, we observed prolonged cell division times of naïve CD8+ T cells in the absence of Ezh2 post in vitro stimulation. Together, these findings reveal that repression of Cdkn1c and Cdkn2a by Ezh2 plays a critical role in execution of activation-induced CD8+ T cell proliferation.&quot;,&quot;author&quot;:[{&quot;family&quot;:&quot;Chen&quot;,&quot;given&quot;:&quot;Guobing&quot;},{&quot;family&quot;:&quot;Subedi&quot;,&quot;given&quot;:&quot;Kalpana&quot;},{&quot;family&quot;:&quot;Chakraborty&quot;,&quot;given&quot;:&quot;Sayantan&quot;},{&quot;family&quot;:&quot;Sharov&quot;,&quot;given&quot;:&quot;Alexie&quot;},{&quot;family&quot;:&quot;Lu&quot;,&quot;given&quot;:&quot;Jian&quot;},{&quot;family&quot;:&quot;Kim&quot;,&quot;given&quot;:&quot;Jaekwan&quot;},{&quot;family&quot;:&quot;Mi&quot;,&quot;given&quot;:&quot;Xiaofan&quot;},{&quot;family&quot;:&quot;Wersto&quot;,&quot;given&quot;:&quot;Robert&quot;},{&quot;family&quot;:&quot;Sung&quot;,&quot;given&quot;:&quot;Myong-Hee&quot;},{&quot;family&quot;:&quot;Weng&quot;,&quot;given&quot;:&quot;Nan-Ping&quot;}],&quot;issued&quot;:{&quot;date-parts&quot;:[[&quot;2018&quot;,&quot;3&quot;,&quot;26&quot;]]},&quot;DOI&quot;:&quot;10.3389/fimmu.2018.00549&quot;,&quot;PMID&quot;:&quot;29632530&quot;,&quot;PMCID&quot;:&quot;PMC5879148&quot;,&quot;citation-label&quot;:&quot;9650438&quot;},{&quot;title&quot;:&quot;ICU Delirium-Prediction Models: A Systematic Review.&quot;,&quot;page&quot;:&quot;e0296&quot;,&quot;volume&quot;:&quot;2&quot;,&quot;issue&quot;:&quot;12&quot;,&quot;journalAbbreviation&quot;:&quot;Crit. Care Explor.&quot;,&quot;id&quot;:&quot;13453096&quot;,&quot;type&quot;:&quot;article-journal&quot;,&quot;container-title&quot;:&quot;Critical care explorations&quot;,&quot;container-title-short&quot;:&quot;Crit. Care Explor.&quot;,&quot;abstract&quot;:&quot;OBJECTIVE: Summarize performance and development of ICU delirium-prediction models published within the past 5 years.DATA SOURCES: Systematic electronic searches were conducted in April 2019 using PubMed, Embase, Cochrane Central, Web of Science, and Cumulative Index to Nursing and Allied Health Literature to identify peer-reviewed studies.STUDY SELECTION: Eligible studies were published in English during the past 5 years that specifically addressed the development, validation, or recalibration of delirium-prediction models in adult ICU populations.DATA EXTRACTION: Screened citations were extracted independently by three investigators with a 42% overlap to verify consistency using the CHecklist for critical Appraisal and data extraction for systematic Reviews of prediction Modelling Studies.DATA SYNTHESIS: Eighteen studies featuring 23 distinct prediction models were included. Model performance varied greatly, as assessed by area under the receiver operating characteristic curve (0.62-0.94), specificity (0.50-0.97), and sensitivity (0.45-0.96). Most models used data collected from a single time point or window to predict the occurrence of delirium at any point during hospital or ICU admission, and lacked mechanisms for providing pragmatic, actionable predictions to clinicians.CONCLUSIONS: Although most ICU delirium-prediction models have relatively good performance, they have limited applicability to clinical practice. Most models were static, making predictions based on data collected at a single time-point, failing to account for fluctuating conditions during ICU admission. Further research is needed to create clinically relevant dynamic delirium-prediction models that can adapt to changes in individual patient physiology over time and deliver actionable predictions to clinicians.Copyright © 2020 The Authors. Published by Wolters Kluwer Health, Inc. on behalf of the Society of Critical Care Medicine.&quot;,&quot;author&quot;:[{&quot;family&quot;:&quot;Ruppert&quot;,&quot;given&quot;:&quot;Matthew M&quot;},{&quot;family&quot;:&quot;Lipori&quot;,&quot;given&quot;:&quot;Jessica&quot;},{&quot;family&quot;:&quot;Patel&quot;,&quot;given&quot;:&quot;Sandip&quot;},{&quot;family&quot;:&quot;Ingersent&quot;,&quot;given&quot;:&quot;Elizabeth&quot;},{&quot;family&quot;:&quot;Cupka&quot;,&quot;given&quot;:&quot;Julie&quot;},{&quot;family&quot;:&quot;Ozrazgat-Baslanti&quot;,&quot;given&quot;:&quot;Tezcan&quot;},{&quot;family&quot;:&quot;Loftus&quot;,&quot;given&quot;:&quot;Tyler&quot;},{&quot;family&quot;:&quot;Rashidi&quot;,&quot;given&quot;:&quot;Parisa&quot;},{&quot;family&quot;:&quot;Bihorac&quot;,&quot;given&quot;:&quot;Azra&quot;}],&quot;issued&quot;:{&quot;date-parts&quot;:[[&quot;2020&quot;,&quot;12&quot;,&quot;16&quot;]]},&quot;DOI&quot;:&quot;10.1097/CCE.0000000000000296&quot;,&quot;PMID&quot;:&quot;33354672&quot;,&quot;PMCID&quot;:&quot;PMC7746201&quot;,&quot;citation-label&quot;:&quot;13453096&quot;},{&quot;title&quot;:&quot;Enrichr-KG: bridging enrichment analysis across multiple libraries.&quot;,&quot;page&quot;:&quot;W168-W179&quot;,&quot;volume&quot;:&quot;51&quot;,&quot;issue&quot;:&quot;W1&quot;,&quot;journalAbbreviation&quot;:&quot;Nucleic Acids Res.&quot;,&quot;id&quot;:&quot;14826392&quot;,&quot;type&quot;:&quot;article-journal&quot;,&quot;container-title&quot;:&quot;Nucleic Acids Research&quot;,&quot;container-title-short&quot;:&quot;Nucleic Acids Res.&quot;,&quot;abstract&quot;:&quot;Gene and protein set enrichment analysis is a critical step in the analysis of data collected from omics experiments. Enrichr is a popular gene set enrichment analysis web-server search engine that contains hundreds of thousands of annotated gene sets. While Enrichr has been useful in providing enrichment analysis with many gene set libraries from different categories, integrating enrichment results across libraries and domains of knowledge can further hypothesis generation. To this end, Enrichr-KG is a knowledge graph database and a web-server application that combines selected gene set libraries from Enrichr for integrative enrichment analysis and visualization. The enrichment results are presented as subgraphs made of nodes and links that connect genes to their enriched terms. In addition, users of Enrichr-KG can add gene-gene links, as well as predicted genes to the subgraphs. This graphical representation of cross-library results with enriched and predicted genes can illuminate hidden associations between genes and annotated enriched terms from across datasets and resources. Enrichr-KG currently serves 26 gene set libraries from different categories that include transcription, pathways, ontologies, diseases/drugs, and cell types. To demonstrate the utility of Enrichr-KG we provide several case studies. Enrichr-KG is freely available at: https://maayanlab.cloud/enrichr-kg.© The Author(s) 2023. Published by Oxford University Press on behalf of Nucleic Acids Research.&quot;,&quot;author&quot;:[{&quot;family&quot;:&quot;Evangelista&quot;,&quot;given&quot;:&quot;John Erol&quot;},{&quot;family&quot;:&quot;Xie&quot;,&quot;given&quot;:&quot;Zhuorui&quot;},{&quot;family&quot;:&quot;Marino&quot;,&quot;given&quot;:&quot;Giacomo B&quot;},{&quot;family&quot;:&quot;Nguyen&quot;,&quot;given&quot;:&quot;Nhi&quot;},{&quot;family&quot;:&quot;Clarke&quot;,&quot;given&quot;:&quot;Daniel J B&quot;},{&quot;family&quot;:&quot;Ma'ayan&quot;,&quot;given&quot;:&quot;Avi&quot;}],&quot;issued&quot;:{&quot;date-parts&quot;:[[&quot;2023&quot;,&quot;7&quot;,&quot;5&quot;]]},&quot;DOI&quot;:&quot;10.1093/nar/gkad393&quot;,&quot;PMID&quot;:&quot;37166973&quot;,&quot;PMCID&quot;:&quot;PMC10320098&quot;,&quot;citation-label&quot;:&quot;14826392&quot;},{&quot;title&quot;:&quot;Scikit-learn: Machine Learning in Python&quot;,&quot;journalAbbreviation&quot;:&quot;Journal of Machine Learning Research&quot;,&quot;id&quot;:&quot;16018295&quot;,&quot;type&quot;:&quot;article-journal&quot;,&quot;container-title&quot;:&quot;Journal of Machine Learning Research&quot;,&quot;container-title-short&quot;:&quot;Journal of Machine Learning Research&quot;,&quot;author&quot;:[{&quot;family&quot;:&quot;Pedregosa&quot;,&quot;given&quot;:&quot;Fabian&quot;},{&quot;family&quot;:&quot;Varoquaux&quot;,&quot;given&quot;:&quot;Gaël&quot;},{&quot;family&quot;:&quot;Gramfort&quot;,&quot;given&quot;:&quot;Alexandre&quot;},{&quot;family&quot;:&quot;Michel&quot;,&quot;given&quot;:&quot;Vincent&quot;},{&quot;family&quot;:&quot;Thirion&quot;,&quot;given&quot;:&quot;Bertrand&quot;},{&quot;family&quot;:&quot;Grisel&quot;,&quot;given&quot;:&quot;Olivier&quot;},{&quot;family&quot;:&quot;Blondel&quot;,&quot;given&quot;:&quot;Mathieu&quot;},{&quot;family&quot;:&quot;Prettenhofer&quot;,&quot;given&quot;:&quot;Peter&quot;},{&quot;family&quot;:&quot;Weiss&quot;,&quot;given&quot;:&quot;Ron&quot;},{&quot;family&quot;:&quot;Dubourg&quot;,&quot;given&quot;:&quot;Vincent&quot;},{&quot;family&quot;:&quot;Vanderplas&quot;,&quot;given&quot;:&quot;Jake&quot;},{&quot;family&quot;:&quot;Passos&quot;,&quot;given&quot;:&quot;Alexandre&quot;},{&quot;family&quot;:&quot;Cournapeau&quot;,&quot;given&quot;:&quot;David&quot;},{&quot;family&quot;:&quot;Brucher&quot;,&quot;given&quot;:&quot;Matthieu&quot;},{&quot;family&quot;:&quot;Perrot&quot;,&quot;given&quot;:&quot;Matthieu&quot;},{&quot;family&quot;:&quot;Duchesnay&quot;,&quot;given&quot;:&quot;Édouard&quot;}],&quot;issued&quot;:{&quot;date-parts&quot;:[[&quot;2011&quot;]]},&quot;citation-label&quot;:&quot;16018295&quot;},{&quot;title&quot;:&quot;Outcomes Following Implementation of a Hospital-Wide, Multicomponent Delirium Care Pathway.&quot;,&quot;page&quot;:&quot;397-403&quot;,&quot;volume&quot;:&quot;16&quot;,&quot;issue&quot;:&quot;7&quot;,&quot;journalAbbreviation&quot;:&quot;J. Hosp. Med.&quot;,&quot;id&quot;:&quot;12147711&quot;,&quot;type&quot;:&quot;article-journal&quot;,&quot;container-title&quot;:&quot;Journal of Hospital Medicine (Online)&quot;,&quot;container-title-short&quot;:&quot;J. Hosp. Med.&quot;,&quot;abstract&quot;:&quot;BACKGROUND: Delirium is associated with poor clinical outcomes that could be improved with targeted interventions.OBJECTIVE: To determine whether a multicomponent delirium care pathway implemented across seven specialty nonintensive care units is associated with reduced hospital length of stay (LOS). Secondary objectives were reductions in total direct cost, odds of 30-day hospital readmission, and rates of safety attendant and restraint use.METHODS: This retrospective cohort study included 22,708 hospitalized patients (11,018 preintervention) aged ≥50 years encompassing seven nonintensive care units: neurosciences, medicine, cardiology, general and specialty surgery, hematology-oncology, and transplant. The multicomponent delirium care pathway included a nurse-administered delirium risk assessment at admission, nurse-administered delirium screening scale every shift, and a multicomponent delirium intervention. The primary study outcome was LOS for all units combined and the medicine unit separately. Secondary outcomes included total direct cost, odds of 30-day hospital readmission, and rates of safety attendant and restraint use.RESULTS: Adjusted mean LOS for all units combined decreased by 2% post intervention (proportional change, 0.98; 95% CI, 0.96-0.99; P = .0087). Medicine unit adjusted LOS decreased by 9% (proportional change, 0.91; 95% CI, 0.83-0.99; P = .028). For all units combined, adjusted odds of 30-day readmission decreased by 14% (odds ratio [OR], 0.86; 95% CI, 0.80-0.93; P = .0002). Medicine unit adjusted cost decreased by 7% (proportional change, 0.93; 95% CI, 0.89-0.96; P = .0002).CONCLUSION: This multicomponent hospital-wide delirium care pathway intervention is associated with reduced hospital LOS, especially for patients on the medicine unit. Odds of 30-day readmission decreased throughout the entire cohort.&quot;,&quot;author&quot;:[{&quot;family&quot;:&quot;LaHue&quot;,&quot;given&quot;:&quot;Sara C&quot;},{&quot;family&quot;:&quot;Maselli&quot;,&quot;given&quot;:&quot;Judy&quot;},{&quot;family&quot;:&quot;Rogers&quot;,&quot;given&quot;:&quot;Stephanie&quot;},{&quot;family&quot;:&quot;Casatta&quot;,&quot;given&quot;:&quot;Julie&quot;},{&quot;family&quot;:&quot;Chao&quot;,&quot;given&quot;:&quot;Jessica&quot;},{&quot;family&quot;:&quot;Croci&quot;,&quot;given&quot;:&quot;Rhiannon&quot;},{&quot;family&quot;:&quot;Gonzales&quot;,&quot;given&quot;:&quot;Ralph&quot;},{&quot;family&quot;:&quot;Holt&quot;,&quot;given&quot;:&quot;Brian&quot;},{&quot;family&quot;:&quot;Josephson&quot;,&quot;given&quot;:&quot;S Andrew&quot;},{&quot;family&quot;:&quot;Lama&quot;,&quot;given&quot;:&quot;Sudha&quot;},{&quot;family&quot;:&quot;Lau&quot;,&quot;given&quot;:&quot;Catherine&quot;},{&quot;family&quot;:&quot;McCulloch&quot;,&quot;given&quot;:&quot;Charles&quot;},{&quot;family&quot;:&quot;Newman&quot;,&quot;given&quot;:&quot;John C&quot;},{&quot;family&quot;:&quot;Terrelonge&quot;,&quot;given&quot;:&quot;Mark&quot;},{&quot;family&quot;:&quot;Yeager&quot;,&quot;given&quot;:&quot;Jan&quot;},{&quot;family&quot;:&quot;Douglas&quot;,&quot;given&quot;:&quot;Vanja C&quot;}],&quot;issued&quot;:{&quot;date-parts&quot;:[[&quot;2021&quot;,&quot;7&quot;]]},&quot;DOI&quot;:&quot;10.12788/jhm.3604&quot;,&quot;PMID&quot;:&quot;34197303&quot;,&quot;PMCID&quot;:&quot;PMC9621338&quot;,&quot;citation-label&quot;:&quot;12147711&quot;},{&quot;genre&quot;:&quot;Computer software&quot;,&quot;title&quot;:&quot;volcano3D: 3D Volcano Plots and Polar Plots for Three-Class Data. &quot;,&quot;publisher&quot;:&quot;https://github.com/KatrionaGoldmann/volcano3D&quot;,&quot;version&quot;:&quot;1&quot;,&quot;id&quot;:&quot;15862841&quot;,&quot;type&quot;:&quot;book&quot;,&quot;author&quot;:[{&quot;family&quot;:&quot;Goldman&quot;,&quot;given&quot;:&quot;K&quot;},{&quot;family&quot;:&quot;Lewis&quot;,&quot;given&quot;:&quot;M&quot;}],&quot;issued&quot;:{&quot;date-parts&quot;:[[&quot;2020&quot;]]},&quot;citation-label&quot;:&quot;15862841&quot;},{&quot;title&quot;:&quot;Dysregulated early transcriptional signatures linked to mast cell and interferon responses are implicated in COVID-19 severity.&quot;,&quot;page&quot;:&quot;1166574&quot;,&quot;volume&quot;:&quot;14&quot;,&quot;journalAbbreviation&quot;:&quot;Front. Immunol.&quot;,&quot;id&quot;:&quot;15588058&quot;,&quot;type&quot;:&quot;article-journal&quot;,&quot;container-title&quot;:&quot;Frontiers in Immunology&quot;,&quot;container-title-short&quot;:&quot;Front. Immunol.&quot;,&quot;abstract&quot;:&quot;BACKGROUND: Dysregulated immune responses to severe acute respiratory syndrome coronavirus 2 (SARS-CoV-2) infection are thought to underlie the progression of coronavirus disease 2019 (COVID-19) to severe disease. We sought to determine whether early host immune-related gene expression could predict clinical progression to severe disease.METHODS: We analysed the expression of 579 immunological genes in peripheral blood mononuclear cells taken early after symptom onset using the NanoString nCounter and compared SARS-CoV-2 negative controls with SARS-CoV-2 positive subjects with mild (SARS+ Mild) and Moderate/Severe disease to evaluate disease outcomes. Biobanked plasma samples were also assessed for type I (IFN-α2a and IFN-β), type II (IFN-γ) and type III (IFN-λ1) interferons (IFNs) as well as 10 additional cytokines using multiplex immunoassays.RESULTS: We identified 19 significantly deregulated genes in 62 SARS-CoV-2 positive subject samples within 5 days of symptom onset and 58 SARS-CoV-2 negative controls and found that type I interferon (IFN) signalling (MX1, IRF7, IFITM1, IFI35, STAT2, IRF4, PML, BST2, STAT1) and genes encoding proinflammatory cytokines (TNF, TNFSF4, PTGS2 and IL1B) were upregulated in both SARS+ groups. Moreover, we found that FCER1, involved in mast cell activation, was upregulated in the SARS+ Mild group but significantly downregulated in the SARS+ Moderate/Severe group. In both SARS+ groups we discovered elevated interferon type I IFN-α2a, type II IFN and type III IFN λ1 plasma levels together with higher IL-10 and IL-6. These results indicate that those with moderate or severe disease are characterised by deficiencies in a mast cell response together with IFN hyper-responsiveness, suggesting that early host antiviral immune responses could be a cause and not a consequence of severe COVID-19.CONCLUSIONS: This study suggests that early host immune responses linking defects in mast cell activation with host interferon responses correlates with more severe outcomes in COVID-19. Further characterisation of this pathway could help inform better treatment for vulnerable individuals.Copyright © 2023 MacCann, Leon, Gonzalez, Carr, Feeney, Yousif, Cotter, de Barra, Sadlier, Doran and Mallon.&quot;,&quot;author&quot;:[{&quot;family&quot;:&quot;MacCann&quot;,&quot;given&quot;:&quot;Rachel&quot;},{&quot;family&quot;:&quot;Leon&quot;,&quot;given&quot;:&quot;Alejandro Abner Garcia&quot;},{&quot;family&quot;:&quot;Gonzalez&quot;,&quot;given&quot;:&quot;Gabriel&quot;},{&quot;family&quot;:&quot;Carr&quot;,&quot;given&quot;:&quot;Michael J&quot;},{&quot;family&quot;:&quot;Feeney&quot;,&quot;given&quot;:&quot;Eoin R&quot;},{&quot;family&quot;:&quot;Yousif&quot;,&quot;given&quot;:&quot;Obada&quot;},{&quot;family&quot;:&quot;Cotter&quot;,&quot;given&quot;:&quot;Aoife G&quot;},{&quot;family&quot;:&quot;de Barra&quot;,&quot;given&quot;:&quot;Eoghan&quot;},{&quot;family&quot;:&quot;Sadlier&quot;,&quot;given&quot;:&quot;Corinna&quot;},{&quot;family&quot;:&quot;Doran&quot;,&quot;given&quot;:&quot;Peter&quot;},{&quot;family&quot;:&quot;Mallon&quot;,&quot;given&quot;:&quot;Patrick W&quot;}],&quot;issued&quot;:{&quot;date-parts&quot;:[[&quot;2023&quot;,&quot;5&quot;,&quot;16&quot;]]},&quot;DOI&quot;:&quot;10.3389/fimmu.2023.1166574&quot;,&quot;PMID&quot;:&quot;37261339&quot;,&quot;PMCID&quot;:&quot;PMC10229044&quot;,&quot;citation-label&quot;:&quot;15588058&quot;},{&quot;title&quot;:&quot;An immune-based biomarker signature is associated with mortality in COVID-19 patients.&quot;,&quot;volume&quot;:&quot;6&quot;,&quot;issue&quot;:&quot;1&quot;,&quot;journalAbbreviation&quot;:&quot;JCI Insight&quot;,&quot;id&quot;:&quot;11661275&quot;,&quot;type&quot;:&quot;article-journal&quot;,&quot;container-title&quot;:&quot;Journal of Clinical Investigation Insight&quot;,&quot;container-title-short&quot;:&quot;JCI Insight&quot;,&quot;abstract&quot;:&quot;Immune and inflammatory responses to severe acute respiratory syndrome coronavirus 2 (SARS-CoV-2) contribute to disease severity of coronavirus disease 2019 (COVID-19). However, the utility of specific immune-based biomarkers to predict clinical outcome remains elusive. Here, we analyzed levels of 66 soluble biomarkers in 175 Italian patients with COVID-19 ranging from mild/moderate to critical severity and assessed type I IFN-, type II IFN-, and NF-κB-dependent whole-blood transcriptional signatures. A broad inflammatory signature was observed, implicating activation of various immune and nonhematopoietic cell subsets. Discordance between IFN-α2a protein and IFNA2 transcript levels in blood suggests that type I IFNs during COVID-19 may be primarily produced by tissue-resident cells. Multivariable analysis of patients' first samples revealed 12 biomarkers (CCL2, IL-15, soluble ST2 [sST2], NGAL, sTNFRSF1A, ferritin, IL-6, S100A9, MMP-9, IL-2, sVEGFR1, IL-10) that when increased were independently associated with mortality. Multivariate analyses of longitudinal biomarker trajectories identified 8 of the aforementioned biomarkers (IL-15, IL-2, NGAL, CCL2, MMP-9, sTNFRSF1A, sST2, IL-10) and 2 additional biomarkers (lactoferrin, CXCL9) that were substantially associated with mortality when increased, while IL-1α was associated with mortality when decreased. Among these, sST2, sTNFRSF1A, IL-10, and IL-15 were consistently higher throughout the hospitalization in patients who died versus those who recovered, suggesting that these biomarkers may provide an early warning of eventual disease outcome.&quot;,&quot;author&quot;:[{&quot;family&quot;:&quot;Abers&quot;,&quot;given&quot;:&quot;Michael S&quot;},{&quot;family&quot;:&quot;Delmonte&quot;,&quot;given&quot;:&quot;Ottavia M&quot;},{&quot;family&quot;:&quot;Ricotta&quot;,&quot;given&quot;:&quot;Emily E&quot;},{&quot;family&quot;:&quot;Fintzi&quot;,&quot;given&quot;:&quot;Jonathan&quot;},{&quot;family&quot;:&quot;Fink&quot;,&quot;given&quot;:&quot;Danielle L&quot;},{&quot;family&quot;:&quot;de Jesus&quot;,&quot;given&quot;:&quot;Adriana A Almeida&quot;},{&quot;family&quot;:&quot;Zarember&quot;,&quot;given&quot;:&quot;Kol A&quot;},{&quot;family&quot;:&quot;Alehashemi&quot;,&quot;given&quot;:&quot;Sara&quot;},{&quot;family&quot;:&quot;Oikonomou&quot;,&quot;given&quot;:&quot;Vasileios&quot;},{&quot;family&quot;:&quot;Desai&quot;,&quot;given&quot;:&quot;Jigar V&quot;},{&quot;family&quot;:&quot;Canna&quot;,&quot;given&quot;:&quot;Scott W&quot;},{&quot;family&quot;:&quot;Shakoory&quot;,&quot;given&quot;:&quot;Bita&quot;},{&quot;family&quot;:&quot;Dobbs&quot;,&quot;given&quot;:&quot;Kerry&quot;},{&quot;family&quot;:&quot;Imberti&quot;,&quot;given&quot;:&quot;Luisa&quot;},{&quot;family&quot;:&quot;Sottini&quot;,&quot;given&quot;:&quot;Alessandra&quot;},{&quot;family&quot;:&quot;Quiros-Roldan&quot;,&quot;given&quot;:&quot;Eugenia&quot;},{&quot;family&quot;:&quot;Castelli&quot;,&quot;given&quot;:&quot;Francesco&quot;},{&quot;family&quot;:&quot;Rossi&quot;,&quot;given&quot;:&quot;Camillo&quot;},{&quot;family&quot;:&quot;Brugnoni&quot;,&quot;given&quot;:&quot;Duilio&quot;},{&quot;family&quot;:&quot;Biondi&quot;,&quot;given&quot;:&quot;Andrea&quot;},{&quot;family&quot;:&quot;Bettini&quot;,&quot;given&quot;:&quot;Laura Rachele&quot;},{&quot;family&quot;:&quot;D'Angio'&quot;,&quot;given&quot;:&quot;Mariella&quot;},{&quot;family&quot;:&quot;Bonfanti&quot;,&quot;given&quot;:&quot;Paolo&quot;},{&quot;family&quot;:&quot;Castagnoli&quot;,&quot;given&quot;:&quot;Riccardo&quot;},{&quot;family&quot;:&quot;Montagna&quot;,&quot;given&quot;:&quot;Daniela&quot;},{&quot;family&quot;:&quot;Licari&quot;,&quot;given&quot;:&quot;Amelia&quot;},{&quot;family&quot;:&quot;Marseglia&quot;,&quot;given&quot;:&quot;Gian Luigi&quot;},{&quot;family&quot;:&quot;Gliniewicz&quot;,&quot;given&quot;:&quot;Emily F&quot;},{&quot;family&quot;:&quot;Shaw&quot;,&quot;given&quot;:&quot;Elana&quot;},{&quot;family&quot;:&quot;Kahle&quot;,&quot;given&quot;:&quot;Dana E&quot;},{&quot;family&quot;:&quot;Rastegar&quot;,&quot;given&quot;:&quot;Andre T&quot;},{&quot;family&quot;:&quot;Stack&quot;,&quot;given&quot;:&quot;Michael&quot;},{&quot;family&quot;:&quot;Myint-Hpu&quot;,&quot;given&quot;:&quot;Katherine&quot;},{&quot;family&quot;:&quot;Levinson&quot;,&quot;given&quot;:&quot;Susan L&quot;},{&quot;family&quot;:&quot;DiNubile&quot;,&quot;given&quot;:&quot;Mark J&quot;},{&quot;family&quot;:&quot;Chertow&quot;,&quot;given&quot;:&quot;Daniel W&quot;},{&quot;family&quot;:&quot;Burbelo&quot;,&quot;given&quot;:&quot;Peter D&quot;},{&quot;family&quot;:&quot;Cohen&quot;,&quot;given&quot;:&quot;Jeffrey I&quot;},{&quot;family&quot;:&quot;Calvo&quot;,&quot;given&quot;:&quot;Katherine R&quot;},{&quot;family&quot;:&quot;Tsang&quot;,&quot;given&quot;:&quot;John S&quot;},{&quot;family&quot;:&quot;NIAID COVID-19 Consortium&quot;},{&quot;family&quot;:&quot;Su&quot;,&quot;given&quot;:&quot;Helen C&quot;},{&quot;family&quot;:&quot;Gallin&quot;,&quot;given&quot;:&quot;John I&quot;},{&quot;family&quot;:&quot;Kuhns&quot;,&quot;given&quot;:&quot;Douglas B&quot;},{&quot;family&quot;:&quot;Goldbach-Mansky&quot;,&quot;given&quot;:&quot;Raphaela&quot;},{&quot;family&quot;:&quot;Lionakis&quot;,&quot;given&quot;:&quot;Michail S&quot;},{&quot;family&quot;:&quot;Notarangelo&quot;,&quot;given&quot;:&quot;Luigi D&quot;}],&quot;issued&quot;:{&quot;date-parts&quot;:[[&quot;2021&quot;,&quot;1&quot;,&quot;11&quot;]]},&quot;DOI&quot;:&quot;10.1172/jci.insight.144455&quot;,&quot;PMID&quot;:&quot;33232303&quot;,&quot;PMCID&quot;:&quot;PMC7821609&quot;,&quot;citation-label&quot;:&quot;11661275&quot;},{&quot;title&quot;:&quot;Predisposing and precipitating factors associated with delirium: A systematic review.&quot;,&quot;page&quot;:&quot;e2249950&quot;,&quot;volume&quot;:&quot;6&quot;,&quot;issue&quot;:&quot;1&quot;,&quot;journalAbbreviation&quot;:&quot;JAMA Netw. Open&quot;,&quot;id&quot;:&quot;14539467&quot;,&quot;type&quot;:&quot;article-journal&quot;,&quot;container-title&quot;:&quot;JAMA network open&quot;,&quot;container-title-short&quot;:&quot;JAMA Netw. Open&quot;,&quot;abstract&quot;:&quot;IMPORTANCE: Despite discrete etiologies leading to delirium, it is treated as a common end point in hospital and in clinical trials, and delirium research may be hampered by the attempt to treat all instances of delirium similarly, leaving delirium management as an unmet need. An individualized approach based on unique patterns of delirium pathophysiology, as reflected in predisposing factors and precipitants, may be necessary, but there exists no accepted method of grouping delirium into distinct etiologic subgroups.OBJECTIVE: To conduct a systematic review to identify potential predisposing and precipitating factors associated with delirium in adult patients agnostic to setting.EVIDENCE REVIEW: A literature search was performed of PubMed, Embase, Web of Science, and PsycINFO from database inception to December 2021 using search Medical Subject Headings (MeSH) terms consciousness disorders, confusion, causality, and disease susceptibility, with constraints of cohort or case-control studies. Two reviewers selected studies that met the following criteria for inclusion: published in English, prospective cohort or case-control study, at least 50 participants, delirium assessment in person by a physician or trained research personnel using a reference standard, and results including a multivariable model to identify independent factors associated with delirium.FINDINGS: A total of 315 studies were included with a mean (SD) Newcastle-Ottawa Scale score of 8.3 (0.8) out of 9. Across 101 144 patients (50 006 [50.0%] male and 49 766 [49.1%] female patients) represented (24 015 with delirium), studies reported 33 predisposing and 112 precipitating factors associated with delirium. There was a diversity of factors associated with delirium, with substantial physiological heterogeneity.CONCLUSIONS AND RELEVANCE: In this systematic review, a comprehensive list of potential predisposing and precipitating factors associated with delirium was found across all clinical settings. These findings may be used to inform more precise study of delirium's heterogeneous pathophysiology and treatment.&quot;,&quot;author&quot;:[{&quot;family&quot;:&quot;Ormseth&quot;,&quot;given&quot;:&quot;Cora H&quot;},{&quot;family&quot;:&quot;LaHue&quot;,&quot;given&quot;:&quot;Sara C&quot;},{&quot;family&quot;:&quot;Oldham&quot;,&quot;given&quot;:&quot;Mark A&quot;},{&quot;family&quot;:&quot;Josephson&quot;,&quot;given&quot;:&quot;S Andrew&quot;},{&quot;family&quot;:&quot;Whitaker&quot;,&quot;given&quot;:&quot;Evans&quot;},{&quot;family&quot;:&quot;Douglas&quot;,&quot;given&quot;:&quot;Vanja C&quot;}],&quot;issued&quot;:{&quot;date-parts&quot;:[[&quot;2023&quot;,&quot;1&quot;,&quot;3&quot;]]},&quot;DOI&quot;:&quot;10.1001/jamanetworkopen.2022.49950&quot;,&quot;PMID&quot;:&quot;36607634&quot;,&quot;PMCID&quot;:&quot;PMC9856673&quot;,&quot;citation-label&quot;:&quot;14539467&quot;},{&quot;title&quot;:&quot;Delirium in the intensive care unit: occurrence and clinical course in older patients.&quot;,&quot;page&quot;:&quot;591-598&quot;,&quot;volume&quot;:&quot;51&quot;,&quot;issue&quot;:&quot;5&quot;,&quot;journalAbbreviation&quot;:&quot;J. Am. Geriatr. Soc.&quot;,&quot;id&quot;:&quot;2267678&quot;,&quot;type&quot;:&quot;article-journal&quot;,&quot;container-title&quot;:&quot;Journal of the American Geriatrics Society&quot;,&quot;container-title-short&quot;:&quot;J. Am. Geriatr. Soc.&quot;,&quot;abstract&quot;:&quot;OBJECTIVES: To describe the occurrence of delirium in a cohort of older medical intensive care unit (ICU) patients and its short-term duration in the hospital and to determine the association between preexisting dementia and the occurrence of delirium.DESIGN: Prospective cohort study.SETTING: Fourteen-bed medical ICU of an 800-bed university teaching hospital.PARTICIPANTS: One hundred eighteen consecutive patients aged 65 and older admitted to the ICU.MEASUREMENTS: Baseline characteristics were obtained through surrogate interviews and medical chart review. Dementia was determined using two validated surrogate-rated instruments. Delirium was assessed daily in the ICU using the Confusion Assessment Method (CAM) for the ICU (CAM-ICU). After discharge from the ICU, patients were followed for up to 7 days using the CAM.RESULTS: Delirium was present in 37 of 118 (31%) patients on admission. Only 45 patients had a normal mental status on admission, of whom 14 (31%) became delirious during their hospital stay. In the post-ICU period, delirium occurred in 40% of patients. Almost half of patients with delirium in the ICU had persistent delirium in the post-ICU period. Overall, 83 of 118 (70%) had delirium during hospitalization. Stupor or coma occurred in 44% of the patients overall, and 89% of survivors of stupor/coma progressed to delirium. Patients with dementia were 40% more likely to be delirious (relative risk = 1.4, 95% confidence interval = 1.1-1.7), even after controlling for comorbidity, baseline functional status, severity of illness, and invasive procedures.CONCLUSION: Delirium is a frequent complication in older ICU patients and often persists beyond their ICU stay. Delirium in older ICU persons is a dynamic and complex process. Dementia is an important predisposing risk factor for the development of delirium in this population during and after the ICU stay.&quot;,&quot;author&quot;:[{&quot;family&quot;:&quot;McNicoll&quot;,&quot;given&quot;:&quot;Lynn&quot;},{&quot;family&quot;:&quot;Pisani&quot;,&quot;given&quot;:&quot;Margaret A&quot;},{&quot;family&quot;:&quot;Zhang&quot;,&quot;given&quot;:&quot;Ying&quot;},{&quot;family&quot;:&quot;Ely&quot;,&quot;given&quot;:&quot;E Wesley&quot;},{&quot;family&quot;:&quot;Siegel&quot;,&quot;given&quot;:&quot;Mark D&quot;},{&quot;family&quot;:&quot;Inouye&quot;,&quot;given&quot;:&quot;Sharon K&quot;}],&quot;issued&quot;:{&quot;date-parts&quot;:[[&quot;2003&quot;,&quot;5&quot;]]},&quot;DOI&quot;:&quot;10.1034/j.1600-0579.2003.00201.x&quot;,&quot;PMID&quot;:&quot;12752832&quot;,&quot;citation-label&quot;:&quot;2267678&quot;},{&quot;title&quot;:&quot;COVID-19 severity and age increase the odds of delirium in hospitalized adults with confirmed SARS-CoV-2 infection: a cohort study.&quot;,&quot;page&quot;:&quot;151&quot;,&quot;volume&quot;:&quot;22&quot;,&quot;issue&quot;:&quot;1&quot;,&quot;journalAbbreviation&quot;:&quot;BMC Psychiatry&quot;,&quot;id&quot;:&quot;13339156&quot;,&quot;type&quot;:&quot;article-journal&quot;,&quot;container-title&quot;:&quot;BMC Psychiatry&quot;,&quot;container-title-short&quot;:&quot;BMC Psychiatry&quot;,&quot;author&quot;:[{&quot;family&quot;:&quot;LaHue&quot;,&quot;given&quot;:&quot;Sara C&quot;},{&quot;family&quot;:&quot;Escueta&quot;,&quot;given&quot;:&quot;Danielle P&quot;},{&quot;family&quot;:&quot;Guterman&quot;,&quot;given&quot;:&quot;Elan L&quot;},{&quot;family&quot;:&quot;Patel&quot;,&quot;given&quot;:&quot;Kanan&quot;},{&quot;family&quot;:&quot;Harrison&quot;,&quot;given&quot;:&quot;Krista L&quot;},{&quot;family&quot;:&quot;Boscardin&quot;,&quot;given&quot;:&quot;W John&quot;},{&quot;family&quot;:&quot;Douglas&quot;,&quot;given&quot;:&quot;Vanja C&quot;},{&quot;family&quot;:&quot;Newman&quot;,&quot;given&quot;:&quot;John C&quot;}],&quot;issued&quot;:{&quot;date-parts&quot;:[[&quot;2022&quot;,&quot;2&quot;,&quot;28&quot;]]},&quot;DOI&quot;:&quot;10.1186/s12888-022-03809-2&quot;,&quot;PMID&quot;:&quot;35227231&quot;,&quot;PMCID&quot;:&quot;PMC8883244&quot;,&quot;citation-label&quot;:&quot;13339156&quot;},{&quot;title&quot;:&quot;Global absence and targeting of protective immune states in severe COVID-19.&quot;,&quot;page&quot;:&quot;124-130&quot;,&quot;volume&quot;:&quot;591&quot;,&quot;issue&quot;:&quot;7848&quot;,&quot;journalAbbreviation&quot;:&quot;Nature&quot;,&quot;id&quot;:&quot;10349331&quot;,&quot;type&quot;:&quot;article-journal&quot;,&quot;container-title&quot;:&quot;Nature&quot;,&quot;container-title-short&quot;:&quot;Nature&quot;,&quot;abstract&quot;:&quot;Although infection with severe acute respiratory syndrome coronavirus 2 (SARS-CoV-2) has pleiotropic and systemic effects in some individuals1-3, many others experience milder symptoms. Here, to gain a more comprehensive understanding of the distinction between severe and mild phenotypes in the pathology of coronavirus disease 2019 (COVID-19) and its origins, we performed a whole-blood-preserving single-cell analysis protocol to integrate contributions from all major immune cell types of the blood-including neutrophils, monocytes, platelets, lymphocytes and the contents of the serum. Patients with mild COVID-19 exhibit a coordinated pattern of expression of interferon-stimulated genes (ISGs)3 across every cell population, whereas these ISG-expressing cells are systemically absent in patients with severe disease. Paradoxically, individuals with severe COVID-19 produce very high titres of anti-SARS-CoV-2 antibodies and have a lower viral load compared to individuals with mild disease. Examination of the serum from patients with severe COVID-19 shows that these patients uniquely produce antibodies that functionally block the production of the ISG-expressing cells associated with mild disease, by activating conserved signalling circuits that dampen cellular responses to interferons. Overzealous antibody responses pit the immune system against itself in many patients with COVID-19, and perhaps also in individuals with other viral infections. Our findings reveal potential targets for immunotherapies in patients with severe COVID-19 to re-engage viral defence.&quot;,&quot;author&quot;:[{&quot;family&quot;:&quot;Combes&quot;,&quot;given&quot;:&quot;Alexis J&quot;},{&quot;family&quot;:&quot;Courau&quot;,&quot;given&quot;:&quot;Tristan&quot;},{&quot;family&quot;:&quot;Kuhn&quot;,&quot;given&quot;:&quot;Nicholas F&quot;},{&quot;family&quot;:&quot;Hu&quot;,&quot;given&quot;:&quot;Kenneth H&quot;},{&quot;family&quot;:&quot;Ray&quot;,&quot;given&quot;:&quot;Arja&quot;},{&quot;family&quot;:&quot;Chen&quot;,&quot;given&quot;:&quot;William S&quot;},{&quot;family&quot;:&quot;Chew&quot;,&quot;given&quot;:&quot;Nayvin W&quot;},{&quot;family&quot;:&quot;Cleary&quot;,&quot;given&quot;:&quot;Simon J&quot;},{&quot;family&quot;:&quot;Kushnoor&quot;,&quot;given&quot;:&quot;Divyashree&quot;},{&quot;family&quot;:&quot;Reeder&quot;,&quot;given&quot;:&quot;Gabriella C&quot;},{&quot;family&quot;:&quot;Shen&quot;,&quot;given&quot;:&quot;Alan&quot;},{&quot;family&quot;:&quot;Tsui&quot;,&quot;given&quot;:&quot;Jessica&quot;},{&quot;family&quot;:&quot;Hiam-Galvez&quot;,&quot;given&quot;:&quot;Kamir J&quot;},{&quot;family&quot;:&quot;Muñoz-Sandoval&quot;,&quot;given&quot;:&quot;Priscila&quot;},{&quot;family&quot;:&quot;Zhu&quot;,&quot;given&quot;:&quot;Wandi S&quot;},{&quot;family&quot;:&quot;Lee&quot;,&quot;given&quot;:&quot;David S&quot;},{&quot;family&quot;:&quot;Sun&quot;,&quot;given&quot;:&quot;Yang&quot;},{&quot;family&quot;:&quot;You&quot;,&quot;given&quot;:&quot;Ran&quot;},{&quot;family&quot;:&quot;Magnen&quot;,&quot;given&quot;:&quot;Mélia&quot;},{&quot;family&quot;:&quot;Rodriguez&quot;,&quot;given&quot;:&quot;Lauren&quot;},{&quot;family&quot;:&quot;Im&quot;,&quot;given&quot;:&quot;K W&quot;},{&quot;family&quot;:&quot;Serwas&quot;,&quot;given&quot;:&quot;Nina K&quot;},{&quot;family&quot;:&quot;Leligdowicz&quot;,&quot;given&quot;:&quot;Aleksandra&quot;},{&quot;family&quot;:&quot;Zamecnik&quot;,&quot;given&quot;:&quot;Colin R&quot;},{&quot;family&quot;:&quot;Loudermilk&quot;,&quot;given&quot;:&quot;Rita P&quot;},{&quot;family&quot;:&quot;Wilson&quot;,&quot;given&quot;:&quot;Michael R&quot;},{&quot;family&quot;:&quot;Ye&quot;,&quot;given&quot;:&quot;Chun J&quot;},{&quot;family&quot;:&quot;Fragiadakis&quot;,&quot;given&quot;:&quot;Gabriela K&quot;},{&quot;family&quot;:&quot;Looney&quot;,&quot;given&quot;:&quot;Mark R&quot;},{&quot;family&quot;:&quot;Chan&quot;,&quot;given&quot;:&quot;Vincent&quot;},{&quot;family&quot;:&quot;Ward&quot;,&quot;given&quot;:&quot;Alyssa&quot;},{&quot;family&quot;:&quot;Carrillo&quot;,&quot;given&quot;:&quot;Sidney&quot;},{&quot;family&quot;:&quot;UCSF COMET Consortium&quot;},{&quot;family&quot;:&quot;Matthay&quot;,&quot;given&quot;:&quot;Michael&quot;},{&quot;family&quot;:&quot;Erle&quot;,&quot;given&quot;:&quot;David J&quot;},{&quot;family&quot;:&quot;Woodruff&quot;,&quot;given&quot;:&quot;Prescott G&quot;},{&quot;family&quot;:&quot;Langelier&quot;,&quot;given&quot;:&quot;Charles&quot;},{&quot;family&quot;:&quot;Kangelaris&quot;,&quot;given&quot;:&quot;Kirsten&quot;},{&quot;family&quot;:&quot;Hendrickson&quot;,&quot;given&quot;:&quot;Carolyn M&quot;},{&quot;family&quot;:&quot;Calfee&quot;,&quot;given&quot;:&quot;Carolyn&quot;},{&quot;family&quot;:&quot;Rao&quot;,&quot;given&quot;:&quot;Arjun Arkal&quot;},{&quot;family&quot;:&quot;Krummel&quot;,&quot;given&quot;:&quot;Matthew F&quot;}],&quot;issued&quot;:{&quot;date-parts&quot;:[[&quot;2021&quot;,&quot;3&quot;]]},&quot;DOI&quot;:&quot;10.1038/s41586-021-03234-7&quot;,&quot;PMID&quot;:&quot;33494096&quot;,&quot;PMCID&quot;:&quot;PMC8567458&quot;,&quot;citation-label&quot;:&quot;10349331&quot;},{&quot;title&quot;:&quot;Delirium and encephalopathy in severe COVID-19: a cohort analysis of ICU patients.&quot;,&quot;page&quot;:&quot;491&quot;,&quot;volume&quot;:&quot;24&quot;,&quot;issue&quot;:&quot;1&quot;,&quot;journalAbbreviation&quot;:&quot;Crit. Care&quot;,&quot;id&quot;:&quot;9838402&quot;,&quot;type&quot;:&quot;article-journal&quot;,&quot;container-title&quot;:&quot;Critical Care&quot;,&quot;container-title-short&quot;:&quot;Crit. Care&quot;,&quot;abstract&quot;:&quot;BACKGROUND: Neurotropism of SARS-CoV-2 and its neurological manifestations have now been confirmed. We aimed at describing delirium and neurological symptoms of COVID-19 in ICU patients.METHODS: We conducted a bicentric cohort study in two French ICUs of Strasbourg University Hospital. All the 150 patients referred for acute respiratory distress syndrome due to SARS-CoV-2 between March 3 and May 5, 2020, were included at their admission. Ten patients (6.7%) were excluded because they remained under neuromuscular blockers during their entire ICU stay. Neurological examination, including CAM-ICU, and cerebrospinal fluid analysis, electroencephalography, and magnetic resonance imaging (MRI) were performed in some of the patients with delirium and/or abnormal neurological examination. The primary endpoint was to describe the incidence of delirium and/or abnormal neurological examination. The secondary endpoints were to describe the characteristics of delirium, to compare the duration of invasive mechanical ventilation and ICU length of stay in patients with and without delirium and/or abnormal neurological symptoms.RESULTS: The 140 patients were aged in median of 62 [IQR 52; 70] years old, with a median SAPSII of 49 [IQR 37; 64] points. Neurological examination was normal in 22 patients (15.7%). One hundred eighteen patients (84.3%) developed a delirium with a combination of acute attention, awareness, and cognition disturbances. Eighty-eight patients (69.3%) presented an unexpected state of agitation despite high infusion rates of sedative treatments and neuroleptics, and 89 (63.6%) patients had corticospinal tract signs. Brain MRI performed in 28 patients demonstrated enhancement of subarachnoid spaces in 17/28 patients (60.7%), intraparenchymal, predominantly white matter abnormalities in 8 patients, and perfusion abnormalities in 17/26 patients (65.4%). The 42 electroencephalograms mostly revealed unspecific abnormalities or diffuse, especially bifrontal, slow activity. Cerebrospinal fluid examination revealed inflammatory disturbances in 18/28 patients, including oligoclonal bands with mirror pattern and elevated IL-6. The CSF RT-PCR SARS-CoV-2 was positive in one patient. The delirium/neurological symptoms in COVID-19 patients were responsible for longer mechanical ventilation compared to the patients without delirium/neurological symptoms. Delirium/neurological symptoms could be secondary to systemic inflammatory reaction to SARS-CoV-2.CONCLUSIONS AND RELEVANCE: Delirium/neurological symptoms in COVID-19 patients are a major issue in ICUs, especially in the context of insufficient human and material resources.TRIAL REGISTRATION: NA.&quot;,&quot;author&quot;:[{&quot;family&quot;:&quot;Helms&quot;,&quot;given&quot;:&quot;Julie&quot;},{&quot;family&quot;:&quot;Kremer&quot;,&quot;given&quot;:&quot;Stéphane&quot;},{&quot;family&quot;:&quot;Merdji&quot;,&quot;given&quot;:&quot;Hamid&quot;},{&quot;family&quot;:&quot;Schenck&quot;,&quot;given&quot;:&quot;Malika&quot;},{&quot;family&quot;:&quot;Severac&quot;,&quot;given&quot;:&quot;François&quot;},{&quot;family&quot;:&quot;Clere-Jehl&quot;,&quot;given&quot;:&quot;Raphaël&quot;},{&quot;family&quot;:&quot;Studer&quot;,&quot;given&quot;:&quot;Antoine&quot;},{&quot;family&quot;:&quot;Radosavljevic&quot;,&quot;given&quot;:&quot;Mirjana&quot;},{&quot;family&quot;:&quot;Kummerlen&quot;,&quot;given&quot;:&quot;Christine&quot;},{&quot;family&quot;:&quot;Monnier&quot;,&quot;given&quot;:&quot;Alexandra&quot;},{&quot;family&quot;:&quot;Boulay&quot;,&quot;given&quot;:&quot;Clotilde&quot;},{&quot;family&quot;:&quot;Fafi-Kremer&quot;,&quot;given&quot;:&quot;Samira&quot;},{&quot;family&quot;:&quot;Castelain&quot;,&quot;given&quot;:&quot;Vincent&quot;},{&quot;family&quot;:&quot;Ohana&quot;,&quot;given&quot;:&quot;Mickaël&quot;},{&quot;family&quot;:&quot;Anheim&quot;,&quot;given&quot;:&quot;Mathieu&quot;},{&quot;family&quot;:&quot;Schneider&quot;,&quot;given&quot;:&quot;Francis&quot;},{&quot;family&quot;:&quot;Meziani&quot;,&quot;given&quot;:&quot;Ferhat&quot;}],&quot;issued&quot;:{&quot;date-parts&quot;:[[&quot;2020&quot;,&quot;8&quot;,&quot;8&quot;]]},&quot;DOI&quot;:&quot;10.1186/s13054-020-03200-1&quot;,&quot;PMID&quot;:&quot;32771053&quot;,&quot;PMCID&quot;:&quot;PMC7414289&quot;,&quot;citation-label&quot;:&quot;9838402&quot;},{&quot;title&quot;:&quot;Functional and cognitive outcomes after COVID-19 delirium.&quot;,&quot;page&quot;:&quot;857-862&quot;,&quot;volume&quot;:&quot;11&quot;,&quot;issue&quot;:&quot;5&quot;,&quot;journalAbbreviation&quot;:&quot;Eur. Geriatr. Med.&quot;,&quot;id&quot;:&quot;10251828&quot;,&quot;type&quot;:&quot;article-journal&quot;,&quot;container-title&quot;:&quot;European geriatric medicine&quot;,&quot;container-title-short&quot;:&quot;Eur. Geriatr. Med.&quot;,&quot;abstract&quot;:&quot;PURPOSE: To ascertain delirium prevalence and outcomes in COVID-19.METHODS: We conducted a point-prevalence study in a cohort of COVID-19 inpatients at University College Hospital. Delirium was defined by DSM-IV criteria. The primary outcome was all-cause mortality at 4 weeks; secondary outcomes were physical and cognitive function.RESULTS: In 71 patients (mean age 61, 75% men), 31 (42%) had delirium, of which only 12 (39%) had been recognised by the clinical team. At 4 weeks, 20 (28%) had died, 26 (36%) were interviewed by telephone and 21 (30%) remained as inpatients. Physical function was substantially worse in people after delirium - 50 out of 166 points (95% CI - 83 to - 17, p = 0.01). Mean cognitive scores at follow-up were similar and delirium was not associated with mortality in this sample.CONCLUSIONS: Our findings indicate that delirium is common, yet under-recognised. Delirium is associated with functional impairments in the medium term.&quot;,&quot;author&quot;:[{&quot;family&quot;:&quot;Mcloughlin&quot;,&quot;given&quot;:&quot;Benjamin C&quot;},{&quot;family&quot;:&quot;Miles&quot;,&quot;given&quot;:&quot;Amy&quot;},{&quot;family&quot;:&quot;Webb&quot;,&quot;given&quot;:&quot;Thomas E&quot;},{&quot;family&quot;:&quot;Knopp&quot;,&quot;given&quot;:&quot;Paul&quot;},{&quot;family&quot;:&quot;Eyres&quot;,&quot;given&quot;:&quot;Clodagh&quot;},{&quot;family&quot;:&quot;Fabbri&quot;,&quot;given&quot;:&quot;Ambra&quot;},{&quot;family&quot;:&quot;Humphries&quot;,&quot;given&quot;:&quot;Fiona&quot;},{&quot;family&quot;:&quot;Davis&quot;,&quot;given&quot;:&quot;Daniel&quot;}],&quot;issued&quot;:{&quot;date-parts&quot;:[[&quot;2020&quot;,&quot;10&quot;]]},&quot;DOI&quot;:&quot;10.1007/s41999-020-00353-8&quot;,&quot;PMID&quot;:&quot;32666303&quot;,&quot;PMCID&quot;:&quot;PMC7358317&quot;,&quot;citation-label&quot;:&quot;10251828&quot;},{&quot;title&quot;:&quot;Prevalence and risk factors for delirium in critically ill patients with COVID-19 (COVID-D): a multicentre cohort study.&quot;,&quot;page&quot;:&quot;239-250&quot;,&quot;volume&quot;:&quot;9&quot;,&quot;issue&quot;:&quot;3&quot;,&quot;journalAbbreviation&quot;:&quot;Lancet Respir. Med.&quot;,&quot;id&quot;:&quot;10340569&quot;,&quot;type&quot;:&quot;article-journal&quot;,&quot;container-title&quot;:&quot;The Lancet. Respiratory medicine&quot;,&quot;container-title-short&quot;:&quot;Lancet Respir. Med.&quot;,&quot;author&quot;:[{&quot;family&quot;:&quot;Pun&quot;,&quot;given&quot;:&quot;Brenda T&quot;},{&quot;family&quot;:&quot;Badenes&quot;,&quot;given&quot;:&quot;Rafael&quot;},{&quot;family&quot;:&quot;Heras La Calle&quot;,&quot;given&quot;:&quot;Gabriel&quot;},{&quot;family&quot;:&quot;Orun&quot;,&quot;given&quot;:&quot;Onur M&quot;},{&quot;family&quot;:&quot;Chen&quot;,&quot;given&quot;:&quot;Wencong&quot;},{&quot;family&quot;:&quot;Raman&quot;,&quot;given&quot;:&quot;Rameela&quot;},{&quot;family&quot;:&quot;Simpson&quot;,&quot;given&quot;:&quot;Beata-Gabriela K&quot;},{&quot;family&quot;:&quot;Wilson-Linville&quot;,&quot;given&quot;:&quot;Stephanie&quot;},{&quot;family&quot;:&quot;Hinojal Olmedillo&quot;,&quot;given&quot;:&quot;Borja&quot;},{&quot;family&quot;:&quot;Vallejo de la Cueva&quot;,&quot;given&quot;:&quot;Ana&quot;},{&quot;family&quot;:&quot;van der Jagt&quot;,&quot;given&quot;:&quot;Mathieu&quot;},{&quot;family&quot;:&quot;Navarro Casado&quot;,&quot;given&quot;:&quot;Rosalía&quot;},{&quot;family&quot;:&quot;Leal Sanz&quot;,&quot;given&quot;:&quot;Pilar&quot;},{&quot;family&quot;:&quot;Orhun&quot;,&quot;given&quot;:&quot;Günseli&quot;},{&quot;family&quot;:&quot;Ferrer Gómez&quot;,&quot;given&quot;:&quot;Carolina&quot;},{&quot;family&quot;:&quot;Núñez Vázquez&quot;,&quot;given&quot;:&quot;Karla&quot;},{&quot;family&quot;:&quot;Piñeiro Otero&quot;,&quot;given&quot;:&quot;Patricia&quot;},{&quot;family&quot;:&quot;Taccone&quot;,&quot;given&quot;:&quot;Fabio Silvio&quot;},{&quot;family&quot;:&quot;Gallego Curto&quot;,&quot;given&quot;:&quot;Elena&quot;},{&quot;family&quot;:&quot;Caricato&quot;,&quot;given&quot;:&quot;Anselmo&quot;},{&quot;family&quot;:&quot;Woien&quot;,&quot;given&quot;:&quot;Hilde&quot;},{&quot;family&quot;:&quot;Lacave&quot;,&quot;given&quot;:&quot;Guillaume&quot;},{&quot;family&quot;:&quot;O'Neal&quot;,&quot;given&quot;:&quot;Hollis R&quot;},{&quot;family&quot;:&quot;Peterson&quot;,&quot;given&quot;:&quot;Sarah J&quot;},{&quot;family&quot;:&quot;Brummel&quot;,&quot;given&quot;:&quot;Nathan E&quot;},{&quot;family&quot;:&quot;Girard&quot;,&quot;given&quot;:&quot;Timothy D&quot;},{&quot;family&quot;:&quot;Ely&quot;,&quot;given&quot;:&quot;E Wesley&quot;},{&quot;family&quot;:&quot;Pandharipande&quot;,&quot;given&quot;:&quot;Pratik P&quot;},{&quot;family&quot;:&quot;COVID-19 Intensive Care International Study Group&quot;}],&quot;issued&quot;:{&quot;date-parts&quot;:[[&quot;2021&quot;,&quot;3&quot;]]},&quot;DOI&quot;:&quot;10.1016/S2213-2600(20)30552-X&quot;,&quot;PMID&quot;:&quot;33428871&quot;,&quot;PMCID&quot;:&quot;PMC7832119&quot;,&quot;citation-label&quot;:&quot;10340569&quot;},{&quot;title&quot;:&quot;AXL is a candidate receptor for SARS-CoV-2 that promotes infection of pulmonary and bronchial epithelial cells.&quot;,&quot;page&quot;:&quot;126-140&quot;,&quot;volume&quot;:&quot;31&quot;,&quot;issue&quot;:&quot;2&quot;,&quot;journalAbbreviation&quot;:&quot;Cell Res.&quot;,&quot;id&quot;:&quot;11578152&quot;,&quot;type&quot;:&quot;article-journal&quot;,&quot;container-title&quot;:&quot;Cell Research&quot;,&quot;container-title-short&quot;:&quot;Cell Res.&quot;,&quot;abstract&quot;:&quot;The current coronavirus disease 2019 (COVID-19) pandemic presents a global public health challenge. The viral pathogen responsible, severe acute respiratory syndrome coronavirus 2 (SARS-CoV-2), binds to the host receptor ACE2 through its spike (S) glycoprotein, which mediates membrane fusion and viral entry. Although the role of ACE2 as a receptor for SARS-CoV-2 is clear, studies have shown that ACE2 expression is extremely low in various human tissues, especially in the respiratory tract. Thus, other host receptors and/or co-receptors that promote the entry of SARS-CoV-2 into cells of the respiratory system may exist. In this study, we found that the tyrosine-protein kinase receptor UFO (AXL) specifically interacts with the N-terminal domain of SARS-CoV-2 S. Using both a SARS-CoV-2 virus pseudotype and authentic SARS-CoV-2, we found that overexpression of AXL in HEK293T cells promotes SARS-CoV-2 entry as efficiently as overexpression of ACE2, while knocking out AXL significantly reduces SARS-CoV-2 infection in H1299 pulmonary cells and in human primary lung epithelial cells. Soluble human recombinant AXL blocks SARS-CoV-2 infection in cells expressing high levels of AXL. The AXL expression level is well correlated with SARS-CoV-2 S level in bronchoalveolar lavage fluid cells from COVID-19 patients. Taken together, our findings suggest that AXL is a novel candidate receptor for SARS-CoV-2 which may play an important role in promoting viral infection of the human respiratory system and indicate that it is a potential target for future clinical intervention strategies.&quot;,&quot;author&quot;:[{&quot;family&quot;:&quot;Wang&quot;,&quot;given&quot;:&quot;Shuai&quot;},{&quot;family&quot;:&quot;Qiu&quot;,&quot;given&quot;:&quot;Zongyang&quot;},{&quot;family&quot;:&quot;Hou&quot;,&quot;given&quot;:&quot;Yingnan&quot;},{&quot;family&quot;:&quot;Deng&quot;,&quot;given&quot;:&quot;Xiya&quot;},{&quot;family&quot;:&quot;Xu&quot;,&quot;given&quot;:&quot;Wei&quot;},{&quot;family&quot;:&quot;Zheng&quot;,&quot;given&quot;:&quot;Tingting&quot;},{&quot;family&quot;:&quot;Wu&quot;,&quot;given&quot;:&quot;Peihan&quot;},{&quot;family&quot;:&quot;Xie&quot;,&quot;given&quot;:&quot;Shaofang&quot;},{&quot;family&quot;:&quot;Bian&quot;,&quot;given&quot;:&quot;Weixiang&quot;},{&quot;family&quot;:&quot;Zhang&quot;,&quot;given&quot;:&quot;Chong&quot;},{&quot;family&quot;:&quot;Sun&quot;,&quot;given&quot;:&quot;Zewei&quot;},{&quot;family&quot;:&quot;Liu&quot;,&quot;given&quot;:&quot;Kunpeng&quot;},{&quot;family&quot;:&quot;Shan&quot;,&quot;given&quot;:&quot;Chao&quot;},{&quot;family&quot;:&quot;Lin&quot;,&quot;given&quot;:&quot;Aifu&quot;},{&quot;family&quot;:&quot;Jiang&quot;,&quot;given&quot;:&quot;Shibo&quot;},{&quot;family&quot;:&quot;Xie&quot;,&quot;given&quot;:&quot;Youhua&quot;},{&quot;family&quot;:&quot;Zhou&quot;,&quot;given&quot;:&quot;Qiang&quot;},{&quot;family&quot;:&quot;Lu&quot;,&quot;given&quot;:&quot;Lu&quot;},{&quot;family&quot;:&quot;Huang&quot;,&quot;given&quot;:&quot;Jing&quot;},{&quot;family&quot;:&quot;Li&quot;,&quot;given&quot;:&quot;Xu&quot;}],&quot;issued&quot;:{&quot;date-parts&quot;:[[&quot;2021&quot;,&quot;2&quot;]]},&quot;DOI&quot;:&quot;10.1038/s41422-020-00460-y&quot;,&quot;PMID&quot;:&quot;33420426&quot;,&quot;PMCID&quot;:&quot;PMC7791157&quot;,&quot;citation-label&quot;:&quot;11578152&quot;},{&quot;title&quot;:&quot;iDEP: an integrated web application for differential expression and pathway analysis of RNA-Seq data.&quot;,&quot;page&quot;:&quot;534&quot;,&quot;volume&quot;:&quot;19&quot;,&quot;issue&quot;:&quot;1&quot;,&quot;journalAbbreviation&quot;:&quot;BMC Bioinformatics&quot;,&quot;id&quot;:&quot;6221566&quot;,&quot;type&quot;:&quot;article-journal&quot;,&quot;container-title&quot;:&quot;BMC Bioinformatics&quot;,&quot;container-title-short&quot;:&quot;BMC Bioinformatics&quot;,&quot;abstract&quot;:&quot;BACKGROUND: RNA-seq is widely used for transcriptomic profiling, but the bioinformatics analysis of resultant data can be time-consuming and challenging, especially for biologists. We aim to streamline the bioinformatic analyses of gene-level data by developing a user-friendly, interactive web application for exploratory data analysis, differential expression, and pathway analysis.RESULTS: iDEP (integrated Differential Expression and Pathway analysis) seamlessly connects 63 R/Bioconductor packages, 2 web services, and comprehensive annotation and pathway databases for 220 plant and animal species. The workflow can be reproduced by downloading customized R code and related pathway files. As an example, we analyzed an RNA-Seq dataset of lung fibroblasts with Hoxa1 knockdown and revealed the possible roles of SP1 and E2F1 and their target genes, including microRNAs, in blocking G1/S transition. In another example, our analysis shows that in mouse B cells without functional p53, ionizing radiation activates the MYC pathway and its downstream genes involved in cell proliferation, ribosome biogenesis, and non-coding RNA metabolism. In wildtype B cells, radiation induces p53-mediated apoptosis and DNA repair while suppressing the target genes of MYC and E2F1, and leads to growth and cell cycle arrest. iDEP helps unveil the multifaceted functions of p53 and the possible involvement of several microRNAs such as miR-92a, miR-504, and miR-30a. In both examples, we validated known molecular pathways and generated novel, testable hypotheses.CONCLUSIONS: Combining comprehensive analytic functionalities with massive annotation databases, iDEP ( http://ge-lab.org/idep/ ) enables biologists to easily translate transcriptomic and proteomic data into actionable insights.&quot;,&quot;author&quot;:[{&quot;family&quot;:&quot;Ge&quot;,&quot;given&quot;:&quot;Steven Xijin&quot;},{&quot;family&quot;:&quot;Son&quot;,&quot;given&quot;:&quot;Eun Wo&quot;},{&quot;family&quot;:&quot;Yao&quot;,&quot;given&quot;:&quot;Runan&quot;}],&quot;issued&quot;:{&quot;date-parts&quot;:[[&quot;2018&quot;,&quot;12&quot;,&quot;19&quot;]]},&quot;DOI&quot;:&quot;10.1186/s12859-018-2486-6&quot;,&quot;PMID&quot;:&quot;30567491&quot;,&quot;PMCID&quot;:&quot;PMC6299935&quot;,&quot;citation-label&quot;:&quot;6221566&quot;},{&quot;title&quot;:&quot;limma powers differential expression analyses for RNA-sequencing and microarray studies.&quot;,&quot;page&quot;:&quot;e47&quot;,&quot;volume&quot;:&quot;43&quot;,&quot;issue&quot;:&quot;7&quot;,&quot;journalAbbreviation&quot;:&quot;Nucleic Acids Res.&quot;,&quot;id&quot;:&quot;148089&quot;,&quot;type&quot;:&quot;article-journal&quot;,&quot;container-title&quot;:&quot;Nucleic Acids Research&quot;,&quot;container-title-short&quot;:&quot;Nucleic Acids Res.&quot;,&quot;abstract&quot;:&quot;limma is an R/Bioconductor software package that provides an integrated solution for analysing data from gene expression experiments. It contains rich features for handling complex experimental designs and for information borrowing to overcome the problem of small sample sizes. Over the past decade, limma has been a popular choice for gene discovery through differential expression analyses of microarray and high-throughput PCR data. The package contains particularly strong facilities for reading, normalizing and exploring such data. Recently, the capabilities of limma have been significantly expanded in two important directions. First, the package can now perform both differential expression and differential splicing analyses of RNA sequencing (RNA-seq) data. All the downstream analysis tools previously restricted to microarray data are now available for RNA-seq as well. These capabilities allow users to analyse both RNA-seq and microarray data with very similar pipelines. Second, the package is now able to go past the traditional gene-wise expression analyses in a variety of ways, analysing expression profiles in terms of co-regulated sets of genes or in terms of higher-order expression signatures. This provides enhanced possibilities for biological interpretation of gene expression differences. This article reviews the philosophy and design of the limma package, summarizing both new and historical features, with an emphasis on recent enhancements and features that have not been previously described.© The Author(s) 2015. Published by Oxford University Press on behalf of Nucleic Acids Research.&quot;,&quot;author&quot;:[{&quot;family&quot;:&quot;Ritchie&quot;,&quot;given&quot;:&quot;Matthew E&quot;},{&quot;family&quot;:&quot;Phipson&quot;,&quot;given&quot;:&quot;Belinda&quot;},{&quot;family&quot;:&quot;Wu&quot;,&quot;given&quot;:&quot;Di&quot;},{&quot;family&quot;:&quot;Hu&quot;,&quot;given&quot;:&quot;Yifang&quot;},{&quot;family&quot;:&quot;Law&quot;,&quot;given&quot;:&quot;Charity W&quot;},{&quot;family&quot;:&quot;Shi&quot;,&quot;given&quot;:&quot;Wei&quot;},{&quot;family&quot;:&quot;Smyth&quot;,&quot;given&quot;:&quot;Gordon K&quot;}],&quot;issued&quot;:{&quot;date-parts&quot;:[[&quot;2015&quot;,&quot;4&quot;,&quot;20&quot;]]},&quot;DOI&quot;:&quot;10.1093/nar/gkv007&quot;,&quot;PMID&quot;:&quot;25605792&quot;,&quot;PMCID&quot;:&quot;PMC4402510&quot;,&quot;citation-label&quot;:&quot;148089&quot;},{&quot;title&quot;:&quot;Moderated estimation of fold change and dispersion for RNA-seq data with DESeq2.&quot;,&quot;page&quot;:&quot;550&quot;,&quot;volume&quot;:&quot;15&quot;,&quot;issue&quot;:&quot;12&quot;,&quot;journalAbbreviation&quot;:&quot;Genome Biol.&quot;,&quot;id&quot;:&quot;129353&quot;,&quot;type&quot;:&quot;article-journal&quot;,&quot;container-title&quot;:&quot;Genome Biology&quot;,&quot;container-title-short&quot;:&quot;Genome Biol.&quot;,&quot;abstract&quot;:&quo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webcite.&quot;,&quot;author&quot;:[{&quot;family&quot;:&quot;Love&quot;,&quot;given&quot;:&quot;Michael I&quot;},{&quot;family&quot;:&quot;Huber&quot;,&quot;given&quot;:&quot;Wolfgang&quot;},{&quot;family&quot;:&quot;Anders&quot;,&quot;given&quot;:&quot;Simon&quot;}],&quot;issued&quot;:{&quot;date-parts&quot;:[[&quot;2014&quot;]]},&quot;DOI&quot;:&quot;10.1186/s13059-014-0550-8&quot;,&quot;PMID&quot;:&quot;25516281&quot;,&quot;PMCID&quot;:&quot;PMC4302049&quot;,&quot;citation-label&quot;:&quot;129353&quot;},{&quot;genre&quot;:&quot;Computer software&quot;,&quot;title&quot;:&quot;EnhancedVolcano: Publication-ready volcano plots with enhanced colouring and labeling&quot;,&quot;id&quot;:&quot;15585275&quot;,&quot;type&quot;:&quot;book&quot;,&quot;author&quot;:[{&quot;family&quot;:&quot;Blighe&quot;,&quot;given&quot;:&quot;K&quot;}],&quot;issued&quot;:{&quot;date-parts&quot;:[[&quot;2018&quot;]]},&quot;citation-label&quot;:&quot;15585275&quot;},{&quot;title&quot;:&quot;ggplot2: elegant graphics for data analysis&quot;,&quot;publisher&quot;:&quot;Springer&quot;,&quot;page&quot;:&quot;260&quot;,&quot;edition&quot;:&quot;Second edition&quot;,&quot;id&quot;:&quot;15585274&quot;,&quot;type&quot;:&quot;book&quot;,&quot;collection-title&quot;:&quot;Use R!&quot;,&quot;author&quot;:[{&quot;family&quot;:&quot;Wickham&quot;,&quot;given&quot;:&quot;Hadley&quot;}],&quot;issued&quot;:{&quot;date-parts&quot;:[[&quot;2016&quot;]]},&quot;publisher-place&quot;:&quot;Switzerland&quot;,&quot;ISBN&quot;:&quot;978-3-319-24277-4 978-3-319-24275-0&quot;,&quot;citation-label&quot;:&quot;15585274&quot;},{&quot;genre&quot;:&quot;Computer software&quot;,&quot;title&quot;:&quot;dplyr: A Grammar of Data Manipulation&quot;,&quot;id&quot;:&quot;15585273&quot;,&quot;type&quot;:&quot;book&quot;,&quot;author&quot;:[{&quot;family&quot;:&quot;Wickham H&quot;,&quot;given&quot;:&quot;François R&quot;}],&quot;issued&quot;:{&quot;date-parts&quot;:[[&quot;2023&quot;]]},&quot;citation-label&quot;:&quot;15585273&quot;},{&quot;title&quot;:&quot;Welcome to the tidyverse&quot;,&quot;page&quot;:&quot;1686&quot;,&quot;volume&quot;:&quot;4&quot;,&quot;issue&quot;:&quot;43&quot;,&quot;journalAbbreviation&quot;:&quot;JOSS&quot;,&quot;id&quot;:&quot;7839114&quot;,&quot;type&quot;:&quot;article-journal&quot;,&quot;container-title&quot;:&quot;The Journal of Open Source Software&quot;,&quot;container-title-short&quot;:&quot;JOSS&quot;,&quot;author&quot;:[{&quot;family&quot;:&quot;Wickham&quot;,&quot;given&quot;:&quot;Hadley&quot;},{&quot;family&quot;:&quot;Averick&quot;,&quot;given&quot;:&quot;Mara&quot;},{&quot;family&quot;:&quot;Bryan&quot;,&quot;given&quot;:&quot;Jennifer&quot;},{&quot;family&quot;:&quot;Chang&quot;,&quot;given&quot;:&quot;Winston&quot;},{&quot;family&quot;:&quot;McGowan&quot;,&quot;given&quot;:&quot;Lucy&quot;},{&quot;family&quot;:&quot;François&quot;,&quot;given&quot;:&quot;Romain&quot;},{&quot;family&quot;:&quot;Grolemund&quot;,&quot;given&quot;:&quot;Garrett&quot;},{&quot;family&quot;:&quot;Hayes&quot;,&quot;given&quot;:&quot;Alex&quot;},{&quot;family&quot;:&quot;Henry&quot;,&quot;given&quot;:&quot;Lionel&quot;},{&quot;family&quot;:&quot;Hester&quot;,&quot;given&quot;:&quot;Jim&quot;},{&quot;family&quot;:&quot;Kuhn&quot;,&quot;given&quot;:&quot;Max&quot;},{&quot;family&quot;:&quot;Pedersen&quot;,&quot;given&quot;:&quot;Thomas&quot;},{&quot;family&quot;:&quot;Miller&quot;,&quot;given&quot;:&quot;Evan&quot;},{&quot;family&quot;:&quot;Bache&quot;,&quot;given&quot;:&quot;Stephan&quot;},{&quot;family&quot;:&quot;Müller&quot;,&quot;given&quot;:&quot;Kirill&quot;},{&quot;family&quot;:&quot;Ooms&quot;,&quot;given&quot;:&quot;Jeroen&quot;},{&quot;family&quot;:&quot;Robinson&quot;,&quot;given&quot;:&quot;David&quot;},{&quot;family&quot;:&quot;Seidel&quot;,&quot;given&quot;:&quot;Dana&quot;},{&quot;family&quot;:&quot;Spinu&quot;,&quot;given&quot;:&quot;Vitalie&quot;},{&quot;family&quot;:&quot;Takahashi&quot;,&quot;given&quot;:&quot;Kohske&quot;},{&quot;family&quot;:&quot;Vaughan&quot;,&quot;given&quot;:&quot;Davis&quot;},{&quot;family&quot;:&quot;Wilke&quot;,&quot;given&quot;:&quot;Claus&quot;},{&quot;family&quot;:&quot;Woo&quot;,&quot;given&quot;:&quot;Kara&quot;},{&quot;family&quot;:&quot;Yutani&quot;,&quot;given&quot;:&quot;Hiroaki&quot;}],&quot;issued&quot;:{&quot;date-parts&quot;:[[&quot;2019&quot;,&quot;11&quot;,&quot;21&quot;]]},&quot;DOI&quot;:&quot;10.21105/joss.01686&quot;,&quot;citation-label&quot;:&quot;7839114&quot;},{&quot;genre&quot;:&quot;Computer software&quot;,&quot;title&quot;:&quot;Fast QC:  A Quality Control Tool for High Throughput Sequence Data&quot;,&quot;publisher&quot;:&quot;Babraham Institute&quot;,&quot;id&quot;:&quot;15585272&quot;,&quot;type&quot;:&quot;book&quot;,&quot;author&quot;:[{&quot;family&quot;:&quot;Simon Andrews&quot;}],&quot;issued&quot;:{&quot;date-parts&quot;:[[&quot;2010&quot;]]},&quot;citation-label&quot;:&quot;15585272&quot;},{&quot;genre&quot;:&quot;Computer software&quot;,&quot;title&quot;:&quot;R: A language and environment for statistical computing&quot;,&quot;publisher&quot;:&quot;R Foundation for Statistical Computing&quot;,&quot;id&quot;:&quot;15585271&quot;,&quot;type&quot;:&quot;book&quot;,&quot;author&quot;:[{&quot;family&quot;:&quot;R Core Team&quot;}],&quot;issued&quot;:{&quot;date-parts&quot;:[[&quot;2021&quot;]]},&quot;publisher-place&quot;:&quot;Vienna, Austria&quot;,&quot;citation-label&quot;:&quot;15585271&quot;},{&quot;title&quot;:&quot;WGCNA: an R package for weighted correlation network analysis.&quot;,&quot;page&quot;:&quot;559&quot;,&quot;volume&quot;:&quot;9&quot;,&quot;journalAbbreviation&quot;:&quot;BMC Bioinformatics&quot;,&quot;id&quot;:&quot;486535&quot;,&quot;type&quot;:&quot;article-journal&quot;,&quot;container-title&quot;:&quot;BMC Bioinformatics&quot;,&quot;container-title-short&quot;:&quot;BMC Bioinformatics&quot;,&quot;abstract&quot;:&quot;BACKGROUND: Correlation networks are increasingly being used in bioinformatics applications. For example, weighted gene co-expression network analysis is a systems biology method for describing the correlation patterns among genes across microarray samples. Weighted correlation network analysis (WGCNA) can be used for finding clusters (modules) of highly correlated genes, for summarizing such clusters using the module eigengene or an intramodular hub gene, for relating modules to one another and to external sample traits (using eigengene network methodology), and for calculating module membership measures. Correlation networks facilitate network based gene screening methods that can be used to identify candidate biomarkers or therapeutic targets. These methods have been successfully applied in various biological contexts, e.g. cancer, mouse genetics, yeast genetics, and analysis of brain imaging data. While parts of the correlation network methodology have been described in separate publications, there is a need to provide a user-friendly, comprehensive, and consistent software implementation and an accompanying tutorial.RESULTS: The WGCNA R software package is a comprehensive collection of R functions for performing various aspects of weighted correlation network analysis. The package includes functions for network construction, module detection, gene selection, calculations of topological properties, data simulation, visualization, and interfacing with external software. Along with the R package we also present R software tutorials. While the methods development was motivated by gene expression data, the underlying data mining approach can be applied to a variety of different settings.CONCLUSION: The WGCNA package provides R functions for weighted correlation network analysis, e.g. co-expression network analysis of gene expression data. The R package along with its source code and additional material are freely available at http://www.genetics.ucla.edu/labs/horvath/CoexpressionNetwork/Rpackages/WGCNA.&quot;,&quot;author&quot;:[{&quot;family&quot;:&quot;Langfelder&quot;,&quot;given&quot;:&quot;Peter&quot;},{&quot;family&quot;:&quot;Horvath&quot;,&quot;given&quot;:&quot;Steve&quot;}],&quot;issued&quot;:{&quot;date-parts&quot;:[[&quot;2008&quot;,&quot;12&quot;,&quot;29&quot;]]},&quot;DOI&quot;:&quot;10.1186/1471-2105-9-559&quot;,&quot;PMID&quot;:&quot;19114008&quot;,&quot;PMCID&quot;:&quot;PMC2631488&quot;,&quot;citation-label&quot;:&quot;486535&quot;},{&quot;title&quot;:&quot;Postoperative delirium and postoperative cognitive dysfunction: overlap and divergence.&quot;,&quot;page&quot;:&quot;477-491&quot;,&quot;volume&quot;:&quot;131&quot;,&quot;issue&quot;:&quot;3&quot;,&quot;journalAbbreviation&quot;:&quot;Anesthesiology&quot;,&quot;id&quot;:&quot;7340335&quot;,&quot;type&quot;:&quot;article-journal&quot;,&quot;container-title&quot;:&quot;Anesthesiology&quot;,&quot;container-title-short&quot;:&quot;Anesthesiology&quot;,&quot;abstract&quot;:&quot;BACKGROUND: Postoperative delirium and postoperative cognitive dysfunction share risk factors and may co-occur, but their relationship is not well established. The primary goals of this study were to describe the prevalence of postoperative cognitive dysfunction and to investigate its association with in-hospital delirium. The authors hypothesized that delirium would be a significant risk factor for postoperative cognitive dysfunction during follow-up.METHODS: This study used data from an observational study of cognitive outcomes after major noncardiac surgery, the Successful Aging after Elective Surgery study. Postoperative delirium was evaluated each hospital day with confusion assessment method-based interviews supplemented by chart reviews. Postoperative cognitive dysfunction was determined using methods adapted from the International Study of Postoperative Cognitive Dysfunction. Associations between delirium and postoperative cognitive dysfunction were examined at 1, 2, and 6 months.RESULTS: One hundred thirty-four of 560 participants (24%) developed delirium during hospitalization. Slightly fewer than half (47%, 256 of 548) met the International Study of Postoperative Cognitive Dysfunction-defined threshold for postoperative cognitive dysfunction at 1 month, but this proportion decreased at 2 months (23%, 123 of 536) and 6 months (16%, 85 of 528). At each follow-up, the level of agreement between delirium and postoperative cognitive dysfunction was poor (kappa less than .08) and correlations were small (r less than .16). The relative risk of postoperative cognitive dysfunction was significantly elevated for patients with a history of postoperative delirium at 1 month (relative risk = 1.34; 95% CI, 1.07-1.67), but not 2 months (relative risk = 1.08; 95% CI, 0.72-1.64), or 6 months (relative risk = 1.21; 95% CI, 0.71-2.09).CONCLUSIONS: Delirium significantly increased the risk of postoperative cognitive dysfunction in the first postoperative month; this relationship did not hold in longer-term follow-up. At each evaluation, postoperative cognitive dysfunction was more common among patients without delirium. Postoperative delirium and postoperative cognitive dysfunction may be distinct manifestations of perioperative neurocognitive deficits.&quot;,&quot;author&quot;:[{&quot;family&quot;:&quot;Daiello&quot;,&quot;given&quot;:&quot;Lori A&quot;},{&quot;family&quot;:&quot;Racine&quot;,&quot;given&quot;:&quot;Annie M&quot;},{&quot;family&quot;:&quot;Yun Gou&quot;,&quot;given&quot;:&quot;Ray&quot;},{&quot;family&quot;:&quot;Marcantonio&quot;,&quot;given&quot;:&quot;Edward R&quot;},{&quot;family&quot;:&quot;Xie&quot;,&quot;given&quot;:&quot;Zhongcong&quot;},{&quot;family&quot;:&quot;Kunze&quot;,&quot;given&quot;:&quot;Lisa J&quot;},{&quot;family&quot;:&quot;Vlassakov&quot;,&quot;given&quot;:&quot;Kamen V&quot;},{&quot;family&quot;:&quot;Inouye&quot;,&quot;given&quot;:&quot;Sharon K&quot;},{&quot;family&quot;:&quot;Jones&quot;,&quot;given&quot;:&quot;Richard N&quot;},{&quot;family&quot;:&quot;Alsop&quot;,&quot;given&quot;:&quot;David&quot;},{&quot;family&quot;:&quot;Travison&quot;,&quot;given&quot;:&quot;Thomas&quot;},{&quot;family&quot;:&quot;Arnold&quot;,&quot;given&quot;:&quot;Steven&quot;},{&quot;family&quot;:&quot;Cooper&quot;,&quot;given&quot;:&quot;Zara&quot;},{&quot;family&quot;:&quot;Dickerson&quot;,&quot;given&quot;:&quot;Bradford&quot;},{&quot;family&quot;:&quot;Fong&quot;,&quot;given&quot;:&quot;Tamara&quot;},{&quot;family&quot;:&quot;Metzger&quot;,&quot;given&quot;:&quot;Eran&quot;},{&quot;family&quot;:&quot;Pascual-Leone&quot;,&quot;given&quot;:&quot;Alvaro&quot;},{&quot;family&quot;:&quot;Schmitt&quot;,&quot;given&quot;:&quot;Eva M&quot;},{&quot;family&quot;:&quot;Shafi&quot;,&quot;given&quot;:&quot;Mouhsin&quot;},{&quot;family&quot;:&quot;Cavallari&quot;,&quot;given&quot;:&quot;Michele&quot;},{&quot;family&quot;:&quot;Dai&quot;,&quot;given&quot;:&quot;Weiying&quot;},{&quot;family&quot;:&quot;Dillon&quot;,&quot;given&quot;:&quot;Simon T&quot;},{&quot;family&quot;:&quot;McElhaney&quot;,&quot;given&quot;:&quot;Janet&quot;},{&quot;family&quot;:&quot;Guttmann&quot;,&quot;given&quot;:&quot;Charles&quot;},{&quot;family&quot;:&quot;Hshieh&quot;,&quot;given&quot;:&quot;Tammy&quot;},{&quot;family&quot;:&quot;Kuchel&quot;,&quot;given&quot;:&quot;George&quot;},{&quot;family&quot;:&quot;Libermann&quot;,&quot;given&quot;:&quot;Towia&quot;},{&quot;family&quot;:&quot;Ngo&quot;,&quot;given&quot;:&quot;Long&quot;},{&quot;family&quot;:&quot;Press&quot;,&quot;given&quot;:&quot;Daniel&quot;},{&quot;family&quot;:&quot;Saczynski&quot;,&quot;given&quot;:&quot;Jane&quot;},{&quot;family&quot;:&quot;Vasunilashorn&quot;,&quot;given&quot;:&quot;Sarinnapha&quot;},{&quot;family&quot;:&quot;O'Connor&quot;,&quot;given&quot;:&quot;Margaret&quot;},{&quot;family&quot;:&quot;Kimchi&quot;,&quot;given&quot;:&quot;Eyal&quot;},{&quot;family&quot;:&quot;Strauss&quot;,&quot;given&quot;:&quot;Jason&quot;},{&quot;family&quot;:&quot;Wong&quot;,&quot;given&quot;:&quot;Bonnie&quot;},{&quot;family&quot;:&quot;Belkin&quot;,&quot;given&quot;:&quot;Michael&quot;},{&quot;family&quot;:&quot;Ayres&quot;,&quot;given&quot;:&quot;Douglas&quot;},{&quot;family&quot;:&quot;Callery&quot;,&quot;given&quot;:&quot;Mark&quot;},{&quot;family&quot;:&quot;Pomposelli&quot;,&quot;given&quot;:&quot;Frank&quot;},{&quot;family&quot;:&quot;Wright&quot;,&quot;given&quot;:&quot;John&quot;},{&quot;family&quot;:&quot;Schermerhorn&quot;,&quot;given&quot;:&quot;Marc&quot;},{&quot;family&quot;:&quot;Abrantes&quot;,&quot;given&quot;:&quot;Tatiana&quot;},{&quot;family&quot;:&quot;Albuquerque&quot;,&quot;given&quot;:&quot;Asha&quot;},{&quot;family&quot;:&quot;Bertrand&quot;,&quot;given&quot;:&quot;Sylvie&quot;},{&quot;family&quot;:&quot;Brown&quot;,&quot;given&quot;:&quot;Amanda&quot;},{&quot;family&quot;:&quot;Callahan&quot;,&quot;given&quot;:&quot;Amy&quot;},{&quot;family&quot;:&quot;D'Aquila&quot;,&quot;given&quot;:&quot;Madeline&quot;},{&quot;family&quot;:&quot;Dowal&quot;,&quot;given&quot;:&quot;Sarah&quot;},{&quot;family&quot;:&quot;Fox&quot;,&quot;given&quot;:&quot;Meaghan&quot;},{&quot;family&quot;:&quot;Gallagher&quot;,&quot;given&quot;:&quot;Jacqueline&quot;},{&quot;family&quot;:&quot;Anna Gersten&quot;,&quot;given&quot;:&quot;Rebecca&quot;},{&quot;family&quot;:&quot;Hodara&quot;,&quot;given&quot;:&quot;Ariel&quot;},{&quot;family&quot;:&quot;Helfand&quot;,&quot;given&quot;:&quot;Ben&quot;},{&quot;family&quot;:&quot;Inloes&quot;,&quot;given&quot;:&quot;Jennifer&quot;},{&quot;family&quot;:&quot;Kettell&quot;,&quot;given&quot;:&quot;Jennifer&quot;},{&quot;family&quot;:&quot;Kuczmarska&quot;,&quot;given&quot;:&quot;Aleksandra&quot;},{&quot;family&quot;:&quot;Nee&quot;,&quot;given&quot;:&quot;Jacqueline&quot;},{&quot;family&quot;:&quot;Nemeth&quot;,&quot;given&quot;:&quot;Emese&quot;},{&quot;family&quot;:&quot;Ochsner&quot;,&quot;given&quot;:&quot;Lisa&quot;},{&quot;family&quot;:&quot;Palihnich&quot;,&quot;given&quot;:&quot;Kerry&quot;},{&quot;family&quot;:&quot;Parisi&quot;,&quot;given&quot;:&quot;Katelyn&quot;},{&quot;family&quot;:&quot;Puelle&quot;,&quot;given&quot;:&quot;Margaret&quot;},{&quot;family&quot;:&quot;Rastegar&quot;,&quot;given&quot;:&quot;Sarah&quot;},{&quot;family&quot;:&quot;Vella&quot;,&quot;given&quot;:&quot;Margaret&quot;},{&quot;family&quot;:&quot;Xu&quot;,&quot;given&quot;:&quot;Guoquan&quot;},{&quot;family&quot;:&quot;Bryan&quot;,&quot;given&quot;:&quot;Margaret&quot;},{&quot;family&quot;:&quot;Guess&quot;,&quot;given&quot;:&quot;Jamey&quot;},{&quot;family&quot;:&quot;Enghorn&quot;,&quot;given&quot;:&quot;Dee&quot;},{&quot;family&quot;:&quot;Gross&quot;,&quot;given&quot;:&quot;Alden&quot;},{&quot;family&quot;:&quot;Gou&quot;,&quot;given&quot;:&quot;Yun&quot;},{&quot;family&quot;:&quot;Habtemariam&quot;,&quot;given&quot;:&quot;Daniel&quot;},{&quot;family&quot;:&quot;Isaza&quot;,&quot;given&quot;:&quot;Ilean&quot;},{&quot;family&quot;:&quot;Kosar&quot;,&quot;given&quot;:&quot;Cyrus&quot;},{&quot;family&quot;:&quot;Rockett&quot;,&quot;given&quot;:&quot;Christopher&quot;},{&quot;family&quot;:&quot;Tommet&quot;,&quot;given&quot;:&quot;Douglas&quot;},{&quot;family&quot;:&quot;Gruen&quot;,&quot;given&quot;:&quot;Ted&quot;},{&quot;family&quot;:&quot;Ross&quot;,&quot;given&quot;:&quot;Meg&quot;},{&quot;family&quot;:&quot;Tasker&quot;,&quot;given&quot;:&quot;Katherine&quot;},{&quot;family&quot;:&quot;Gee&quot;,&quot;given&quot;:&quot;James&quot;},{&quot;family&quot;:&quot;Kolanowski&quot;,&quot;given&quot;:&quot;Ann&quot;},{&quot;family&quot;:&quot;Pisani&quot;,&quot;given&quot;:&quot;Margaret&quot;},{&quot;family&quot;:&quot;de Rooij&quot;,&quot;given&quot;:&quot;Sophia&quot;},{&quot;family&quot;:&quot;Rogers&quot;,&quot;given&quot;:&quot;Selwyn&quot;},{&quot;family&quot;:&quot;Studenski&quot;,&quot;given&quot;:&quot;Stephanie&quot;},{&quot;family&quot;:&quot;Stern&quot;,&quot;given&quot;:&quot;Yaakov&quot;},{&quot;family&quot;:&quot;Whittemore&quot;,&quot;given&quot;:&quot;Anthony&quot;},{&quot;family&quot;:&quot;Gottlieb&quot;,&quot;given&quot;:&quot;Gary&quot;},{&quot;family&quot;:&quot;Orav&quot;,&quot;given&quot;:&quot;John&quot;},{&quot;family&quot;:&quot;Sperling&quot;,&quot;given&quot;:&quot;Reisa&quot;},{&quot;family&quot;:&quot;SAGES Study Group*&quot;}],&quot;issued&quot;:{&quot;date-parts&quot;:[[&quot;2019&quot;,&quot;9&quot;]]},&quot;DOI&quot;:&quot;10.1097/ALN.0000000000002729&quot;,&quot;PMID&quot;:&quot;31166241&quot;,&quot;PMCID&quot;:&quot;PMC6692220&quot;,&quot;citation-label&quot;:&quot;7340335&quot;},{&quot;title&quot;:&quot;Incidence and Prevalence of Delirium Subtypes in an Adult ICU: A Systematic Review and Meta-Analysis.&quot;,&quot;page&quot;:&quot;2029-2035&quot;,&quot;volume&quot;:&quot;46&quot;,&quot;issue&quot;:&quot;12&quot;,&quot;journalAbbreviation&quot;:&quot;Crit. Care Med.&quot;,&quot;id&quot;:&quot;6452840&quot;,&quot;type&quot;:&quot;article-journal&quot;,&quot;container-title&quot;:&quot;Critical Care Medicine&quot;,&quot;container-title-short&quot;:&quot;Crit. Care Med.&quot;,&quot;abstract&quot;:&quot;OBJECTIVES: Use systematic review and meta-analytic methodology to estimate the pooled incidence, prevalence, and proportion of delirium cases for each delirium subtype (hypoactive, hyperactive, and mixed) in an adult ICU population.DATA SOURCES: We conducted a search of the MEDLINE, EMBASE, CINAHL, SCOPUS, Web of Science, and PsycINFO databases following the Preferred Reporting Items for Systematic Reviews and Meta-Analyses standards from database inception until October 22, 2017, with no restrictions.STUDY SELECTION: We included original research conducted in adults admitted to any medical, surgical, or speciality ICU that reported incidence or prevalence estimates of delirium according to delirium subtype.DATA EXTRACTION: Data were extracted on sample size, population demographics, condition information, and reported delirium estimates.DATA SYNTHESIS: Forty-eight studies (27,342 patients; 4,550 with delirium) with an overall pooled prevalence of 31% (95% CI, 24-41; I = 99%) met inclusion criteria. The pooled incidence (n = 18 studies) of delirium subtypes were hyperactive (4% [95% CI, 2-6]; I = 92%]), hypoactive (11% [95% CI, 8-17; I = 97%]), and mixed (7% [95% CI, 4-11; I = 97%]). The pooled prevalence (n = 31 studies) of delirium subtypes were hyperactive (4% [95% CI, 3-6; I = 94%]), hypoactive (17% [95% CI, 13-22; I = 97%]), and mixed (10% [95% CI, 6-16; I = 99%]). The pooled prevalence of hypoactive delirium in study populations with a similarly high severity of illness or mechanically ventilated was higher (severity of illness: 29% [95% CI, 18-46%; I = 95%], 100% mechanically ventilated: 35% [95% CI, 23-55%; I = 93%]) compared with the pooled prevalence of hypoactive delirium.CONCLUSIONS: Despite significant heterogeneity between studies, these data show the majority of delirious ICU patients to have hypoactive delirium, a finding with potential monitoring, management, and prognostic implications. The prevalence of hypoactive delirium varies between-study populations and is higher in patients with greater severity of illness.&quot;,&quot;author&quot;:[{&quot;family&quot;:&quot;Krewulak&quot;,&quot;given&quot;:&quot;Karla D&quot;},{&quot;family&quot;:&quot;Stelfox&quot;,&quot;given&quot;:&quot;Henry T&quot;},{&quot;family&quot;:&quot;Leigh&quot;,&quot;given&quot;:&quot;Jeanna Parsons&quot;},{&quot;family&quot;:&quot;Ely&quot;,&quot;given&quot;:&quot;E Wesley&quot;},{&quot;family&quot;:&quot;Fiest&quot;,&quot;given&quot;:&quot;Kirsten M&quot;}],&quot;issued&quot;:{&quot;date-parts&quot;:[[&quot;2018&quot;,&quot;12&quot;]]},&quot;DOI&quot;:&quot;10.1097/CCM.0000000000003402&quot;,&quot;PMID&quot;:&quot;30234569&quot;,&quot;citation-label&quot;:&quot;6452840&quot;},{&quot;title&quot;:&quot;Delirium in hospitalized older adults.&quot;,&quot;page&quot;:&quot;96-97&quot;,&quot;volume&quot;:&quot;378&quot;,&quot;issue&quot;:&quot;1&quot;,&quot;journalAbbreviation&quot;:&quot;N. Engl. J. Med.&quot;,&quot;id&quot;:&quot;7794736&quot;,&quot;type&quot;:&quot;article-journal&quot;,&quot;container-title&quot;:&quot;The New England Journal of Medicine&quot;,&quot;container-title-short&quot;:&quot;N. Engl. J. Med.&quot;,&quot;author&quot;:[{&quot;family&quot;:&quot;Marcantonio&quot;,&quot;given&quot;:&quot;Edward R&quot;}],&quot;issued&quot;:{&quot;date-parts&quot;:[[&quot;2018&quot;,&quot;1&quot;,&quot;4&quot;]]},&quot;DOI&quot;:&quot;10.1056/NEJMc1714932&quot;,&quot;PMID&quot;:&quot;29298149&quot;,&quot;citation-label&quot;:&quot;7794736&quot;},{&quot;title&quot;:&quot;Identification of genes and signaling pathways associated with severe COVID-19: high-throughput data analysis with a system virology approach&quot;,&quot;journalAbbreviation&quot;:&quot;Res. Sq.&quot;,&quot;id&quot;:&quot;15588035&quot;,&quot;type&quot;:&quot;article-journal&quot;,&quot;container-title&quot;:&quot;Research square&quot;,&quot;container-title-short&quot;:&quot;Res. Sq.&quot;,&quot;abstract&quot;:&quot;Corona Virus Disease 2019 (COVID-19) has caused over six million deaths worldwide so far. COVID-19 has presented a variety of severities and outcomes which is able to damage many different organs. In this study, we aimed to identify factors responsible for severe illness and also alterations caused by the virus in various organs at the molecular level. First, after preprocessing steps, we chose one mRNA expression profile (GSE164805) for further analysis. Differentially Expressed Genes (DEGs) were screened with the Limma R package and considered for the PPI network construction. By maximizing co-expression value, we constructed subnetworks and subjected them to the Gene Sets Net Correlation Analysis (GSNCA). Successfully passed clusters were subjected to enrichment analysis. From 60k genes, 7106, 3151, and 1809 genes were considered as DEGs in normal vs. mild, normal vs. severe, and mild vs. severe comparisons, respectively, with p &lt; 0.05 and |LogFC| &gt; 2 as thresholds. PPI network analysis resulted in 17 modules, and 11 of them successfully passed GSNCA analysis with a P value &lt; 0.05. Enrichment analysis culminated in identifying genes and signaling pathways with possible roles in the establishment of severe disease. We noticed considerable similarities between altered signaling pathways in COVID-19 and various malignancies. In addition, we detected alterations of pathways that can help to explain neurological involvement.&quot;,&quot;author&quot;:[{&quot;family&quot;:&quot;Mostafavi&quot;,&quot;given&quot;:&quot;Behnam&quot;},{&quot;family&quot;:&quot;Forghani-Ramandi&quot;,&quot;given&quot;:&quot;Mohammad-Moien&quot;},{&quot;family&quot;:&quot;Yaslianifard&quot;,&quot;given&quot;:&quot;Somayeh&quot;},{&quot;family&quot;:&quot;Alizadeh&quot;,&quot;given&quot;:&quot;Mohammad&quot;},{&quot;family&quot;:&quot;Dayer&quot;,&quot;given&quot;:&quot;Asma&quot;},{&quot;family&quot;:&quot;Asgari&quot;,&quot;given&quot;:&quot;Zeynab&quot;},{&quot;family&quot;:&quot;Mozhgani&quot;,&quot;given&quot;:&quot;Sayed‑Hamidreza&quot;}],&quot;issued&quot;:{&quot;date-parts&quot;:[[&quot;2023&quot;,&quot;1&quot;,&quot;4&quot;]]},&quot;DOI&quot;:&quot;10.21203/rs.3.rs-2364259/v1&quot;,&quot;citation-label&quot;:&quot;15588035&quot;},{&quot;title&quot;:&quot;Identification of human glucocorticoid response markers using integrated multi-omic analysis from a randomized crossover trial.&quot;,&quot;volume&quot;:&quot;10&quot;,&quot;journalAbbreviation&quot;:&quot;eLife&quot;,&quot;id&quot;:&quot;11353577&quot;,&quot;type&quot;:&quot;article-journal&quot;,&quot;container-title&quot;:&quot;eLife&quot;,&quot;container-title-short&quot;:&quot;eLife&quot;,&quot;abstract&quot;:&quot;BACKGROUND: Glucocorticoids are among the most commonly prescribed drugs, but there is no biomarker that can quantify their action. The aim of the study was to identify and validate circulating biomarkers of glucocorticoid action.METHODS: In a randomized, crossover, single-blind, discovery study, 10 subjects with primary adrenal insufficiency (and no other endocrinopathies) were admitted at the in-patient clinic and studied during physiological glucocorticoid exposure and withdrawal. A randomization plan before the first intervention was used. Besides mild physical and/or mental fatigue and salt craving, no serious adverse events were observed. The transcriptome in peripheral blood mononuclear cells and adipose tissue, plasma miRNAomic, and serum metabolomics were compared between the interventions using integrated multi-omic analysis.RESULTS: We identified a transcriptomic profile derived from two tissues and a multi-omic cluster, both predictive of glucocorticoid exposure. A microRNA (miR-122-5p) that was correlated with genes and metabolites regulated by glucocorticoid exposure was identified (p=0.009) and replicated in independent studies with varying glucocorticoid exposure (0.01 ≤ p≤0.05).CONCLUSIONS: We have generated results that construct the basis for successful discovery of biomarker(s) to measure effects of glucocorticoids, allowing strategies to individualize and optimize glucocorticoid therapy, and shedding light on disease etiology related to unphysiological glucocorticoid exposure, such as in cardiovascular disease and obesity.FUNDING: The Swedish Research Council (Grant 2015-02561 and 2019-01112); The Swedish federal government under the LUA/ALF agreement (Grant ALFGBG-719531); The Swedish Endocrinology Association; The Gothenburg Medical Society; Wellcome Trust; The Medical Research Council, UK; The Chief Scientist Office, UK; The Eva Madura's Foundation; The Research Foundation of Copenhagen University Hospital; and The Danish Rheumatism Association.CLINICAL TRIAL NUMBER: NCT02152553.© 2021, Chantzichristos et al.&quot;,&quot;author&quot;:[{&quot;family&quot;:&quot;Chantzichristos&quot;,&quot;given&quot;:&quot;Dimitrios&quot;},{&quot;family&quot;:&quot;Svensson&quot;,&quot;given&quot;:&quot;Per-Arne&quot;},{&quot;family&quot;:&quot;Garner&quot;,&quot;given&quot;:&quot;Terence&quot;},{&quot;family&quot;:&quot;Glad&quot;,&quot;given&quot;:&quot;Camilla Am&quot;},{&quot;family&quot;:&quot;Walker&quot;,&quot;given&quot;:&quot;Brian R&quot;},{&quot;family&quot;:&quot;Bergthorsdottir&quot;,&quot;given&quot;:&quot;Ragnhildur&quot;},{&quot;family&quot;:&quot;Ragnarsson&quot;,&quot;given&quot;:&quot;Oskar&quot;},{&quot;family&quot;:&quot;Trimpou&quot;,&quot;given&quot;:&quot;Penelope&quot;},{&quot;family&quot;:&quot;Stimson&quot;,&quot;given&quot;:&quot;Roland H&quot;},{&quot;family&quot;:&quot;Borresen&quot;,&quot;given&quot;:&quot;Stina W&quot;},{&quot;family&quot;:&quot;Feldt-Rasmussen&quot;,&quot;given&quot;:&quot;Ulla&quot;},{&quot;family&quot;:&quot;Jansson&quot;,&quot;given&quot;:&quot;Per-Anders&quot;},{&quot;family&quot;:&quot;Skrtic&quot;,&quot;given&quot;:&quot;Stanko&quot;},{&quot;family&quot;:&quot;Stevens&quot;,&quot;given&quot;:&quot;Adam&quot;},{&quot;family&quot;:&quot;Johannsson&quot;,&quot;given&quot;:&quot;Gudmundur&quot;}],&quot;issued&quot;:{&quot;date-parts&quot;:[[&quot;2021&quot;,&quot;4&quot;,&quot;6&quot;]]},&quot;DOI&quot;:&quot;10.7554/eLife.62236&quot;,&quot;PMID&quot;:&quot;33821793&quot;,&quot;PMCID&quot;:&quot;PMC8024021&quot;,&quot;citation-label&quot;:&quot;11353577&quot;},{&quot;title&quot;:&quot;Corticosteroids reduce pathologic interferon responses by downregulating STAT1 in patients with high-risk COVID-19.&quot;,&quot;page&quot;:&quot;653-664&quot;,&quot;volume&quot;:&quot;55&quot;,&quot;issue&quot;:&quot;3&quot;,&quot;journalAbbreviation&quot;:&quot;Exp. Mol. Med.&quot;,&quot;id&quot;:&quot;14556278&quot;,&quot;type&quot;:&quot;article-journal&quot;,&quot;container-title&quot;:&quot;Experimental &amp; Molecular Medicine&quot;,&quot;container-title-short&quot;:&quot;Exp. Mol. Med.&quot;,&quot;abstract&quot;:&quot;We do not yet understand exactly how corticosteroids attenuate hyperinflammatory responses and alleviate high-risk coronavirus disease 2019 (COVID-19). We aimed to reveal the molecular mechanisms of hyperinflammation in COVID-19 and the anti-inflammatory effects of corticosteroids in patients with high-risk COVID-19. We performed single-cell RNA sequencing of peripheral blood mononuclear cells (PBMCs) from three independent COVID-19 cohorts: cohort 1 was used for comparative analysis of high-risk and low-risk COVID-19 (47 PBMC samples from 28 patients), cohort 2 for longitudinal analysis during COVID-19 (57 PBMC samples from 15 patients), and cohort 3 for investigating the effects of corticosteroid treatment in patients with high-risk COVID-19 (55 PBMC samples from 13 patients). PBMC samples from healthy donors (12 PBMC samples from 12 donors) were also included. Cohort 1 revealed a significant increase in the proportion of monocytes expressing the long noncoding RNAs NEAT1 and MALAT1 in high-risk patients. Cohort 2 showed that genes encoding inflammatory chemokines and their receptors were upregulated during aggravation, whereas genes related to angiogenesis were upregulated during improvement. Cohort 3 demonstrated downregulation of interferon-stimulated genes (ISGs), including STAT1, in monocytes after corticosteroid treatment. In particular, unphosphorylated STAT-dependent ISGs enriched in monocytes from lupus patients were selectively downregulated by corticosteroid treatment in patients with high-risk COVID-19. Corticosteroid treatment suppresses pathologic interferon responses in monocytes by downregulating STAT1 in patients with high-risk COVID-19. Our study provides insights into the mechanisms underlying COVID-19 aggravation and improvement and the effects of corticosteroid treatment.© 2023. The Author(s).&quot;,&quot;author&quot;:[{&quot;family&quot;:&quot;Jeong&quot;,&quot;given&quot;:&quot;Hyun-Woo&quot;},{&quot;family&quot;:&quot;Lee&quot;,&quot;given&quot;:&quot;Jeong Seok&quot;},{&quot;family&quot;:&quot;Ko&quot;,&quot;given&quot;:&quot;Jae-Hoon&quot;},{&quot;family&quot;:&quot;Hong&quot;,&quot;given&quot;:&quot;Seunghee&quot;},{&quot;family&quot;:&quot;Oh&quot;,&quot;given&quot;:&quot;Sang Taek&quot;},{&quot;family&quot;:&quot;Choi&quot;,&quot;given&quot;:&quot;Seongkyun&quot;},{&quot;family&quot;:&quot;Peck&quot;,&quot;given&quot;:&quot;Kyong Ran&quot;},{&quot;family&quot;:&quot;Yang&quot;,&quot;given&quot;:&quot;Ji Hun&quot;},{&quot;family&quot;:&quot;Chung&quot;,&quot;given&quot;:&quot;Seok&quot;},{&quot;family&quot;:&quot;Kim&quot;,&quot;given&quot;:&quot;Sung-Han&quot;},{&quot;family&quot;:&quot;Kim&quot;,&quot;given&quot;:&quot;Yeon-Sook&quot;},{&quot;family&quot;:&quot;Shin&quot;,&quot;given&quot;:&quot;Eui-Cheol&quot;}],&quot;issued&quot;:{&quot;date-parts&quot;:[[&quot;2023&quot;,&quot;3&quot;,&quot;20&quot;]]},&quot;DOI&quot;:&quot;10.1038/s12276-023-00964-8&quot;,&quot;PMID&quot;:&quot;36941461&quot;,&quot;PMCID&quot;:&quot;PMC10026241&quot;,&quot;citation-label&quot;:&quot;14556278&quot;},{&quot;title&quot;:&quot;The phosphatase PAC1 acts as a T cell suppressor and attenuates host antitumor immunity.&quot;,&quot;page&quot;:&quot;287-297&quot;,&quot;volume&quot;:&quot;21&quot;,&quot;issue&quot;:&quot;3&quot;,&quot;journalAbbreviation&quot;:&quot;Nat. Immunol.&quot;,&quot;id&quot;:&quot;8072340&quot;,&quot;type&quot;:&quot;article-journal&quot;,&quot;container-title&quot;:&quot;Nature Immunology&quot;,&quot;container-title-short&quot;:&quot;Nat. Immunol.&quot;,&quot;abstract&quot;:&quot;Cancer cells subvert immune surveillance through inhibition of T cell effector function. Elucidation of the mechanism of T cell dysfunction is therefore central to cancer immunotherapy. Here, we report that dual specificity phosphatase 2 (DUSP2; also known as phosphatase of activated cells 1, PAC1) acts as an immune checkpoint in T cell antitumor immunity. PAC1 is selectively upregulated in exhausted tumor-infiltrating lymphocytes and is associated with poor prognosis of patients with cancer. PAC1hi effector T cells lose their proliferative and effector capacities and convert into exhausted T cells. Deletion of PAC1 enhances immune responses and reduces cancer susceptibility in mice. Through activation of EGR1, excessive reactive oxygen species in the tumor microenvironment induce expression of PAC1, which recruits the Mi-2β nucleosome-remodeling and histone-deacetylase complex, eventually leading to chromatin remodeling of effector T cells. Our study demonstrates that PAC1 is an epigenetic immune regulator and highlights the importance of targeting PAC1 in cancer immunotherapy.&quot;,&quot;author&quot;:[{&quot;family&quot;:&quot;Dan Lu&quot;},{&quot;family&quot;:&quot;Liu&quot;,&quot;given&quot;:&quot;Liang&quot;},{&quot;family&quot;:&quot;Sun&quot;,&quot;given&quot;:&quot;Yizhe&quot;},{&quot;family&quot;:&quot;Song&quot;,&quot;given&quot;:&quot;Jia&quot;},{&quot;family&quot;:&quot;Yin&quot;,&quot;given&quot;:&quot;Qi&quot;},{&quot;family&quot;:&quot;Zhang&quot;,&quot;given&quot;:&quot;Guangze&quot;},{&quot;family&quot;:&quot;Qi&quot;,&quot;given&quot;:&quot;Fang&quot;},{&quot;family&quot;:&quot;Hu&quot;,&quot;given&quot;:&quot;Zixi&quot;},{&quot;family&quot;:&quot;Yang&quot;,&quot;given&quot;:&quot;Zeliang&quot;},{&quot;family&quot;:&quot;Zhou&quot;,&quot;given&quot;:&quot;Zhe&quot;},{&quot;family&quot;:&quot;Hu&quot;,&quot;given&quot;:&quot;Ying&quot;},{&quot;family&quot;:&quot;Zhang&quot;,&quot;given&quot;:&quot;Lianhai&quot;},{&quot;family&quot;:&quot;Ji&quot;,&quot;given&quot;:&quot;Jiafu&quot;},{&quot;family&quot;:&quot;Zhao&quot;,&quot;given&quot;:&quot;Xuyang&quot;},{&quot;family&quot;:&quot;Jin&quot;,&quot;given&quot;:&quot;Yan&quot;},{&quot;family&quot;:&quot;McNutt&quot;,&quot;given&quot;:&quot;Michael A&quot;},{&quot;family&quot;:&quot;Yin&quot;,&quot;given&quot;:&quot;Yuxin&quot;}],&quot;issued&quot;:{&quot;date-parts&quot;:[[&quot;2020&quot;,&quot;3&quot;]]},&quot;DOI&quot;:&quot;10.1038/s41590-019-0577-9&quot;,&quot;PMID&quot;:&quot;31932812&quot;,&quot;citation-label&quot;:&quot;8072340&quot;},{&quot;title&quot;:&quot;The phosphatase DUSP2 controls the activity of the transcription activator STAT3 and regulates TH17 differentiation.&quot;,&quot;page&quot;:&quot;1263-1273&quot;,&quot;volume&quot;:&quot;16&quot;,&quot;issue&quot;:&quot;12&quot;,&quot;journalAbbreviation&quot;:&quot;Nat. Immunol.&quot;,&quot;id&quot;:&quot;1740581&quot;,&quot;type&quot;:&quot;article-journal&quot;,&quot;container-title&quot;:&quot;Nature Immunology&quot;,&quot;container-title-short&quot;:&quot;Nat. Immunol.&quot;,&quot;abstract&quot;:&quot;Deregulation of the TH17 subset of helper T cells is closely linked with immunological disorders and inflammatory diseases. However, the mechanism by which TH17 cells are regulated remains elusive. Here we found that the phosphatase DUSP2 (PAC1) negatively regulated the development of TH17 cells. DUSP2 was directly associated with the signal transducer and transcription activator STAT3 and attenuated its activity through dephosphorylation of STAT3 at Tyr705 and Ser727. DUSP2-deficient mice exhibited severe susceptibility to experimental colitis, with enhanced differentiation of TH17 cells and secretion of proinflammatory cytokines. In clinical patients with ulcerative colitis, DUSP2 was downregulated by DNA methylation and was not induced during T cell activation. Our data demonstrate that DUSP2 is a true STAT3 phosphatase that modulates the development of TH17 cells in the autoimmune response and inflammation.&quot;,&quot;author&quot;:[{&quot;family&quot;:&quot;Lu&quot;,&quot;given&quot;:&quot;Dan&quot;},{&quot;family&quot;:&quot;Liu&quot;,&quot;given&quot;:&quot;Liang&quot;},{&quot;family&quot;:&quot;Ji&quot;,&quot;given&quot;:&quot;Xin&quot;},{&quot;family&quot;:&quot;Gao&quot;,&quot;given&quot;:&quot;Yanan&quot;},{&quot;family&quot;:&quot;Chen&quot;,&quot;given&quot;:&quot;Xi&quot;},{&quot;family&quot;:&quot;Liu&quot;,&quot;given&quot;:&quot;Yu&quot;},{&quot;family&quot;:&quot;Liu&quot;,&quot;given&quot;:&quot;Yang&quot;},{&quot;family&quot;:&quot;Zhao&quot;,&quot;given&quot;:&quot;Xuyang&quot;},{&quot;family&quot;:&quot;Li&quot;,&quot;given&quot;:&quot;Yan&quot;},{&quot;family&quot;:&quot;Li&quot;,&quot;given&quot;:&quot;Yunqiao&quot;},{&quot;family&quot;:&quot;Jin&quot;,&quot;given&quot;:&quot;Yan&quot;},{&quot;family&quot;:&quot;Zhang&quot;,&quot;given&quot;:&quot;Yu&quot;},{&quot;family&quot;:&quot;McNutt&quot;,&quot;given&quot;:&quot;Michael A&quot;},{&quot;family&quot;:&quot;Yin&quot;,&quot;given&quot;:&quot;Yuxin&quot;}],&quot;issued&quot;:{&quot;date-parts&quot;:[[&quot;2015&quot;,&quot;12&quot;]]},&quot;DOI&quot;:&quot;10.1038/ni.3278&quot;,&quot;PMID&quot;:&quot;26479789&quot;,&quot;citation-label&quot;:&quot;1740581&quot;},{&quot;title&quot;:&quot;The MAPK dual specific phosphatase (DUSP) proteins: A versatile wrestler in T cell functionality.&quot;,&quot;page&quot;:&quot;107906&quot;,&quot;volume&quot;:&quot;98&quot;,&quot;journalAbbreviation&quot;:&quot;Int. Immunopharmacol.&quot;,&quot;id&quot;:&quot;16704571&quot;,&quot;type&quot;:&quot;article-journal&quot;,&quot;container-title&quot;:&quot;International Immunopharmacology&quot;,&quot;container-title-short&quot;:&quot;Int. Immunopharmacol.&quot;,&quot;abstract&quot;:&quot;The functional state of T cells is diverse and under dynamic control for adapting to the changes of microenvironment. Reversible protein phosphorylation represents an important post-translational modification that not only involves in the immediate early response of T cells, but also affects their functionality in the long run. Perturbation of global phosphorylation profile and/or phosphorylation of specific signaling nodes result in aberrant T cell activity. Dual specific phosphatases (DUSPs), which target MAPKs and beyond, have increasingly been emerged as a versatile regulator in T cell biology. Herein in this mini review, we sought to summarize and discuss the impact of DUSP proteins on the regulation of effector T cell activity, T cell polarization, regulatory T cell development and T cell senescence/exhaustion. Given the distinctive engagement of each DUSP member under various disease settings such as chronic infection, autoimmune disorders, cancer and age-related diseases, DUSP proteins likely hold the promise to become a druggable target other than the existing therapeutics that are predominantly by manipulating protein kinase activity.Copyright © 2021 The Authors. Published by Elsevier B.V. All rights reserved.&quot;,&quot;author&quot;:[{&quot;family&quot;:&quot;Sun&quot;,&quot;given&quot;:&quot;Fei&quot;},{&quot;family&quot;:&quot;Yue&quot;,&quot;given&quot;:&quot;Tian-Tian&quot;},{&quot;family&quot;:&quot;Yang&quot;,&quot;given&quot;:&quot;Chun-Liang&quot;},{&quot;family&quot;:&quot;Wang&quot;,&quot;given&quot;:&quot;Fa-Xi&quot;},{&quot;family&quot;:&quot;Luo&quot;,&quot;given&quot;:&quot;Jia-Hui&quot;},{&quot;family&quot;:&quot;Rong&quot;,&quot;given&quot;:&quot;Shan-Jie&quot;},{&quot;family&quot;:&quot;Zhang&quot;,&quot;given&quot;:&quot;Meng&quot;},{&quot;family&quot;:&quot;Guo&quot;,&quot;given&quot;:&quot;Yanchao&quot;},{&quot;family&quot;:&quot;Xiong&quot;,&quot;given&quot;:&quot;Fei&quot;},{&quot;family&quot;:&quot;Wang&quot;,&quot;given&quot;:&quot;Cong-Yi&quot;}],&quot;issued&quot;:{&quot;date-parts&quot;:[[&quot;2021&quot;,&quot;9&quot;]]},&quot;DOI&quot;:&quot;10.1016/j.intimp.2021.107906&quot;,&quot;PMID&quot;:&quot;34198238&quot;,&quot;citation-label&quot;:&quot;16704571&quot;},{&quot;title&quot;:&quot;Identification of a novel TGF-beta-regulated gene encoding a putative zinc finger protein in human osteoblasts.&quot;,&quot;page&quot;:&quot;4907-4912&quot;,&quot;volume&quot;:&quot;23&quot;,&quot;issue&quot;:&quot;23&quot;,&quot;journalAbbreviation&quot;:&quot;Nucleic Acids Res.&quot;,&quot;id&quot;:&quot;17320312&quot;,&quot;type&quot;:&quot;article-journal&quot;,&quot;container-title&quot;:&quot;Nucleic Acids Research&quot;,&quot;container-title-short&quot;:&quot;Nucleic Acids Res.&quot;,&quot;abstract&quot;:&quot;The TGF-beta family of growth factors has been extensively studied and found to play major roles in bone physiology and disease. A novel, TGF-beta-inducible early gene (TIEG) in normal human fetal osteoblasts (hFOB) has been identified using differential-display PCR. Using this differentially expressed cDNA fragment of TIEG to screen a hOB cDNA library, a near full-length cDNA for this gene was isolated. Northern analyses indicated that the steady-state levels of the 3.5 kb TIEG mRNA increased within 30 min of TGF-beta treatment of human osteoblasts and reached a maximum of 10-fold above control levels at 120 min post-treatment. This regulation was independent of new protein synthesis. Computer sequence analyses indicates that TIEG mRNA encodes for a 480 amino-acid protein. The TIEG protein contains three zinc finger motifs, several proline-rich src homology-3 (SH3) binding domains at the C-terminal end, and is homologous in this region to the zinc finger-containing transcription factor family of genes. A growth factor/cytokine-specific induction of TIEG has been shown. TIEG expression in hFOB cells was highly induced by TGF-beta and bone morphogenetic protein-2 (BMP-2), with a moderate induction by epidermal growth factor (EGF), but no induction by other growth factors/cytokines was observed. In addition to osteoblastic cells, high levels of TIEG expression were detected in skeletal muscle tissue, while low or no detectable levels were found in brain, lung, liver or kidney. Because TIEG is an early induced putative transcription factor gene, and shows a growth factor induction and tissue specificity, its protein product might play an important role as a signalling molecule in osteoblastic cells.&quot;,&quot;author&quot;:[{&quot;family&quot;:&quot;Subramaniam&quot;,&quot;given&quot;:&quot;M&quot;},{&quot;family&quot;:&quot;Harris&quot;,&quot;given&quot;:&quot;S A&quot;},{&quot;family&quot;:&quot;Oursler&quot;,&quot;given&quot;:&quot;M J&quot;},{&quot;family&quot;:&quot;Rasmussen&quot;,&quot;given&quot;:&quot;K&quot;},{&quot;family&quot;:&quot;Riggs&quot;,&quot;given&quot;:&quot;B L&quot;},{&quot;family&quot;:&quot;Spelsberg&quot;,&quot;given&quot;:&quot;T C&quot;}],&quot;issued&quot;:{&quot;date-parts&quot;:[[&quot;1995&quot;,&quot;12&quot;,&quot;11&quot;]]},&quot;DOI&quot;:&quot;10.1093/nar/23.23.4907&quot;,&quot;PMID&quot;:&quot;8532536&quot;,&quot;PMCID&quot;:&quot;PMC307482&quot;,&quot;citation-label&quot;:&quot;17320312&quot;},{&quot;title&quot;:&quot;Role of Kruppel-like factors in leukocyte development, function, and disease.&quot;,&quot;page&quot;:&quot;4404-4414&quot;,&quot;volume&quot;:&quot;116&quot;,&quot;issue&quot;:&quot;22&quot;,&quot;journalAbbreviation&quot;:&quot;Blood&quot;,&quot;id&quot;:&quot;1187661&quot;,&quot;type&quot;:&quot;article-journal&quot;,&quot;container-title&quot;:&quot;Blood&quot;,&quot;container-title-short&quot;:&quot;Blood&quot;,&quot;abstract&quot;:&quot;The Krüppel-like transcription factor (KLF) family participates in diverse aspects of cellular growth, development, differentiation, and activation. Recently, several groups have identified new connections between the function of these factors and leukocyte responses in health and disease. Gene targeting of individual KLFs in mice has uncovered novel and unexpected physiologic roles among myeloid and lymphocyte cell lineage maturation, particularly in the bone marrow niche and blood. In addition, several KLF family members are downstream targets of stimuli and signaling pathways critical to T-cell trafficking, T regulatory cell differentiation or suppressor function, monocyte/macrophage activation or renewal, and B memory cell maturation or activation. Indeed, KLFs have been implicated in subtypes of leukemia, lymphoma, autoimmunity, and in acute and chronic inflammatory disease states, such as atherosclerosis, diabetes, and airway inflammation, raising the possibility that KLFs and their upstream signals are of therapeutic interest. This review focuses on the relevant literature of Krüppel-like factors in leukocyte biology and their implications in clinical settings.&quot;,&quot;author&quot;:[{&quot;family&quot;:&quot;Cao&quot;,&quot;given&quot;:&quot;Zhuoxiao&quot;},{&quot;family&quot;:&quot;Sun&quot;,&quot;given&quot;:&quot;Xinghui&quot;},{&quot;family&quot;:&quot;Icli&quot;,&quot;given&quot;:&quot;Basak&quot;},{&quot;family&quot;:&quot;Wara&quot;,&quot;given&quot;:&quot;Akm Khyrul&quot;},{&quot;family&quot;:&quot;Feinberg&quot;,&quot;given&quot;:&quot;Mark W&quot;}],&quot;issued&quot;:{&quot;date-parts&quot;:[[&quot;2010&quot;,&quot;11&quot;,&quot;25&quot;]]},&quot;DOI&quot;:&quot;10.1182/blood-2010-05-285353&quot;,&quot;PMID&quot;:&quot;20616217&quot;,&quot;PMCID&quot;:&quot;PMC2996110&quot;,&quot;citation-label&quot;:&quot;1187661&quot;},{&quot;title&quot;:&quot;Platelet factor 4 is highly upregulated in dendritic cells after severe trauma.&quot;,&quot;page&quot;:&quot;384-391&quot;,&quot;volume&quot;:&quot;15&quot;,&quot;issue&quot;:&quot;11-12&quot;,&quot;journalAbbreviation&quot;:&quot;Mol. Med.&quot;,&quot;id&quot;:&quot;17320324&quot;,&quot;type&quot;:&quot;article-journal&quot;,&quot;container-title&quot;:&quot;Molecular Medicine&quot;,&quot;container-title-short&quot;:&quot;Mol. Med.&quot;,&quot;abstract&quot;:&quot;Dendritic cells (DCs) represent an important linkage between the innate and adaptive immune system and express proinflammatory transcriptomic products early after trauma. The use of a genomic approach recently revealed that platelet factor 4 (PF4) is significantly upregulated in DCs in patients after multiple trauma. However, knowledge about subsequent PF4 alteration and its potential clinical relevance in the context of multiple trauma is still limited. We used quantitative reverse transcription-polymerase chain reaction to analyze PF4 expression in both myeloid DCs (MDCs) and plasmocytoid DCs (PDCs) isolated from 10 patients after multiple trauma. Intracellular PF4 as well as HLA-DR expression were detected by flow cytometry. Furthermore, DCs and peripheral blood mononuclear cells were incubated on a monolayer of human umbilical endothelial cells and their adhesion properties were analyzed. The ratio of the DC subtypes (MDC and PDC) was assessed by flow cytometry. PF4 expression significantly increased on d 1 and d 2 as measured by reverse transcription-polymerase chain reaction. Intracellular PF4 content in MDCs and PDCs was significantly elevated in trauma patients compared with healthy controls. In addition, the surface antigen HLA-DR on MDCs was significantly elevated on d 1 and d 4 after trauma in patients compared with controls. However, cell adhesion of DCs did not show any significant differences between patients and controls. PF4 concentration in MDCs and PDCs significantly correlated with the injury severity score. These results confirm an early and subsequent posttraumatic activation of PF4 in DCs. PF4 also participates in the posttraumatic activation of DCs in relation to injury severity, a role that might be preferably based on the modification of receptor expression, whereas adhesion properties are largely unaffected.&quot;,&quot;author&quot;:[{&quot;family&quot;:&quot;Maier&quot;,&quot;given&quot;:&quot;Marcus&quot;},{&quot;family&quot;:&quot;Geiger&quot;,&quot;given&quot;:&quot;Emanuel V&quot;},{&quot;family&quot;:&quot;Henrich&quot;,&quot;given&quot;:&quot;Dirk&quot;},{&quot;family&quot;:&quot;Bendt&quot;,&quot;given&quot;:&quot;Carolyn&quot;},{&quot;family&quot;:&quot;Wutzler&quot;,&quot;given&quot;:&quot;Sebastian&quot;},{&quot;family&quot;:&quot;Lehnert&quot;,&quot;given&quot;:&quot;Mark&quot;},{&quot;family&quot;:&quot;Marzi&quot;,&quot;given&quot;:&quot;Ingo&quot;}],&quot;issued&quot;:{&quot;date-parts&quot;:[[&quot;2009&quot;,&quot;12&quot;]]},&quot;DOI&quot;:&quot;10.2119/molmed.2009.00074&quot;,&quot;PMID&quot;:&quot;19750196&quot;,&quot;PMCID&quot;:&quot;PMC2741291&quot;,&quot;citation-label&quot;:&quot;17320324&quot;},{&quot;title&quot;:&quot;Synergism of NOD2 and NLRP3 activators promotes a unique transcriptional profile in murine dendritic cells.&quot;,&quot;page&quot;:&quot;1207-1216&quot;,&quot;volume&quot;:&quot;88&quot;,&quot;issue&quot;:&quot;6&quot;,&quot;journalAbbreviation&quot;:&quot;J. Leukoc. Biol.&quot;,&quot;id&quot;:&quot;17320317&quot;,&quot;type&quot;:&quot;article-journal&quot;,&quot;container-title&quot;:&quot;Journal of Leukocyte Biology&quot;,&quot;container-title-short&quot;:&quot;J. Leukoc. Biol.&quot;,&quot;abstract&quot;:&quot;NLRs are cytoplasmic proteins that sense cellular stress and intracellular damage resulting from pathogen uptake. To date, the role of NLRs has been studied using combinations of NLR and TLR agonists, but the interplay between two different NLRs remains uncharacterized. In this study, we employed microarrays to investigate in DCs the regulation of gene transcription mediated by activation of NOD2 and NLRP3 pathways using MDP and MSU. MDP and MSU co-stimulation of murine BMDCs up-regulated the expression of genes encoding molecules for antigen presentation and co-stimulation (MHC class II, CD80, CD86), integrins (ITGB3, ITGAV), cytokines (IL-1α, IL-1β, IL-6, IL-2, IL-23p19, IL-12p40), and chemokines (CXCL1, CXCL2). Transcription of the cytokine genes induced by MDP and MSU partially depended on NOD2 but was independent of NLRP3. Finally, we showed that ERK1 and c-JUN activation increased upon MDP and MSU co-stimulation. As a whole, the results indicate that two different NLR activators synergize at the transcriptional level, leading to unique differential expression of genes involved in the innate immune response.&quot;,&quot;author&quot;:[{&quot;family&quot;:&quot;Conforti-Andreoni&quot;,&quot;given&quot;:&quot;Cristina&quot;},{&quot;family&quot;:&quot;Beretta&quot;,&quot;given&quot;:&quot;Ottavio&quot;},{&quot;family&quot;:&quot;Licandro&quot;,&quot;given&quot;:&quot;Ginevra&quot;},{&quot;family&quot;:&quot;Qian&quot;,&quot;given&quot;:&quot;Hong Liang&quot;},{&quot;family&quot;:&quot;Urbano&quot;,&quot;given&quot;:&quot;Matteo&quot;},{&quot;family&quot;:&quot;Vitulli&quot;,&quot;given&quot;:&quot;Federico&quot;},{&quot;family&quot;:&quot;Ricciardi-Castagnoli&quot;,&quot;given&quot;:&quot;Paola&quot;},{&quot;family&quot;:&quot;Mortellaro&quot;,&quot;given&quot;:&quot;Alessandra&quot;}],&quot;issued&quot;:{&quot;date-parts&quot;:[[&quot;2010&quot;,&quot;12&quot;]]},&quot;DOI&quot;:&quot;10.1189/jlb.1009652&quot;,&quot;PMID&quot;:&quot;20884650&quot;,&quot;citation-label&quot;:&quot;17320317&quot;},{&quot;title&quot;:&quot;Perioperative platelet count in peripheral blood is associated with the early stage of PND after major orthopedic surgery: a prospective observational study.&quot;,&quot;page&quot;:&quot;200&quot;,&quot;volume&quot;:&quot;22&quot;,&quot;issue&quot;:&quot;1&quot;,&quot;journalAbbreviation&quot;:&quot;BMC Geriatr.&quot;,&quot;id&quot;:&quot;17320330&quot;,&quot;type&quot;:&quot;article-journal&quot;,&quot;container-title&quot;:&quot;BMC Geriatrics&quot;,&quot;container-title-short&quot;:&quot;BMC Geriatr.&quot;,&quot;abstract&quot;:&quot;BACKGROUND: Perioperative neurocognitive disorders (PND) are common complications of major surgery among elderly patients, remarkably decreasing patients' life quality. Platelet count has been proved to be an essential factor in inflammation. However, as far as we know, the relationship between platelet count and PND is not clear yet in the orthopedic area. PND could be a long-term disease, which sometimes lasts for several years, and it is meaningful to find a biomarker of PND at the early stage. Thus, we designed this study to find out the association between perioperative platelet count and occurrence of PND, and determine whether preoperative platelet count could be a biomarker of the early stage of PND.METHODS: A prospective observational study was performed on the patients who would take total knee arthroplasty or total hip arthroplasty. Their peripheral platelets were counted by blood routine examination 1 day before and 3 days after the surgery. And we assessed their neurocognitive functions 1 day before and 3 days after the surgery. These data were recorded and analyzed to find out the relationship between platelet count and the occurrence of PND.RESULTS: Eventually, 70 patients finished the whole process, and 14 of them developed PND. The median preoperative platelet count in the PND group was significantly higher than that in the non-PND group (239 vs 168 × 10^9/L, p = 0.009). Preoperative platelet count was an independent risk factor for PND (odds ratio = 1.014, 95% confidence interval [CI] 1.000-1.027, P = 0.043) in the logistic multivariable regression, while the area under the curve of the receiver operating characteristic curve of the prediction model was 0.796 (95% CI 0.676-0.916).CONCLUSIONS: The higher preoperative and postoperative level of platelet count in the peripheral blood were associated with the early stage of PND, and preoperative platelet count could be a potential predictor of the early stage of PND in patients undergoing major orthopedic surgeries.TRIAL REGISTRATION: Chinese Clinical Trial Registry: ChiCTR2000033001 , registration date: 17 May 2020.© 2022. The Author(s).&quot;,&quot;author&quot;:[{&quot;family&quot;:&quot;Wang&quot;,&quot;given&quot;:&quot;Ruiqun&quot;},{&quot;family&quot;:&quot;Gao&quot;,&quot;given&quot;:&quot;Rui&quot;},{&quot;family&quot;:&quot;Xie&quot;,&quot;given&quot;:&quot;Xiaoyu&quot;},{&quot;family&quot;:&quot;Chen&quot;,&quot;given&quot;:&quot;Hai&quot;},{&quot;family&quot;:&quot;Zhao&quot;,&quot;given&quot;:&quot;Qi&quot;},{&quot;family&quot;:&quot;Zhang&quot;,&quot;given&quot;:&quot;Xueying&quot;},{&quot;family&quot;:&quot;Zhang&quot;,&quot;given&quot;:&quot;Changteng&quot;},{&quot;family&quot;:&quot;Deng&quot;,&quot;given&quot;:&quot;Liyun&quot;},{&quot;family&quot;:&quot;Lv&quot;,&quot;given&quot;:&quot;Peilin&quot;},{&quot;family&quot;:&quot;Zheng&quot;,&quot;given&quot;:&quot;Qin&quot;},{&quot;family&quot;:&quot;Zhu&quot;,&quot;given&quot;:&quot;Tao&quot;},{&quot;family&quot;:&quot;Chen&quot;,&quot;given&quot;:&quot;Chan&quot;}],&quot;issued&quot;:{&quot;date-parts&quot;:[[&quot;2022&quot;,&quot;3&quot;,&quot;14&quot;]]},&quot;DOI&quot;:&quot;10.1186/s12877-022-02899-7&quot;,&quot;PMID&quot;:&quot;35287583&quot;,&quot;PMCID&quot;:&quot;PMC8919528&quot;,&quot;citation-label&quot;:&quot;17320330&quot;},{&quot;title&quot;:&quot;Mitochondrial dysfunction of peripheral platelets as a predictive biomarker for postoperative delirium in elderly patients.&quot;,&quot;page&quot;:&quot;74-86&quot;,&quot;volume&quot;:&quot;96&quot;,&quot;issue&quot;:&quot;1&quot;,&quot;journalAbbreviation&quot;:&quot;Ann. Neurol.&quot;,&quot;id&quot;:&quot;17320328&quot;,&quot;type&quot;:&quot;article-journal&quot;,&quot;container-title&quot;:&quot;Annals of Neurology&quot;,&quot;container-title-short&quot;:&quot;Ann. Neurol.&quot;,&quot;abstract&quot;:&quot;OBJECTIVE: To determine the association between the preoperative Bioenergetic Health Index (BHI) of platelets and the occurrence of postoperative delirium (POD) in elderly patients.METHODS: Elderly patients scheduled for major abdominal surgery under general anesthesia were included. The presence of POD was assessed within the 3 days after surgery. Seahorse XF analysis and transmission electron microscopy were utilized to evaluate the mitochondrial metabolism and morphology of platelets.RESULTS: A total of 20 out of 162 participants developed POD. Participants with POD showed lower preoperative Mini-Mental State Examination scores and total protein levels, fewer educational years, longer surgery duration, higher mean platelet volume, and lower platelet BHI compared with those without POD. Damaged mitochondria with swollen appearance and distorted cristae was detected in platelets from participants with POD. Preoperative platelet BHI was independently associated with the occurrence of POD after adjusting for age, education, preoperative Mini-Mental State Examination score, preoperative mean platelet volume and total protein levels, surgical type and duration, and lymphocyte counts on the first postoperative day (OR 0.11, 95% CI 0.03-0.37, p &lt;  0.001). The areas under the receiver operating curves for predicting POD were 0.83 (95% CI 0.76-0.88) for platelet BHI. It showed a sensitivity of 85.00% and specificity of 73.24%, with an optimal cutoff value of 1.61. Using a serial combination (mean platelet volume followed by BHI) yielded a sensitivity of 80.00% and specificity of 82.39%.INTERPRETATION: Preoperative platelet BHI was independently associated with the occurrence of POD in elderly patients and has the potential as a screening biomarker for POD risk. ANN NEUROL 2024;96:74-86.© 2024 The Authors. Annals of Neurology published by Wiley Periodicals LLC on behalf of American Neurological Association.&quot;,&quot;author&quot;:[{&quot;family&quot;:&quot;Yang&quot;,&quot;given&quot;:&quot;Yan&quot;},{&quot;family&quot;:&quot;Zhang&quot;,&quot;given&quot;:&quot;Wei&quot;},{&quot;family&quot;:&quot;Liu&quot;,&quot;given&quot;:&quot;Yue&quot;},{&quot;family&quot;:&quot;Liu&quot;,&quot;given&quot;:&quot;Xin&quot;},{&quot;family&quot;:&quot;Xie&quot;,&quot;given&quot;:&quot;Jun&quot;},{&quot;family&quot;:&quot;Xu&quot;,&quot;given&quot;:&quot;Rui&quot;},{&quot;family&quot;:&quot;Huang&quot;,&quot;given&quot;:&quot;Yulin&quot;},{&quot;family&quot;:&quot;Hao&quot;,&quot;given&quot;:&quot;Jing&quot;},{&quot;family&quot;:&quot;Sun&quot;,&quot;given&quot;:&quot;Yu'e&quot;},{&quot;family&quot;:&quot;Gu&quot;,&quot;given&quot;:&quot;Xiaoping&quot;},{&quot;family&quot;:&quot;Ma&quot;,&quot;given&quot;:&quot;Zhengliang&quot;}],&quot;issued&quot;:{&quot;date-parts&quot;:[[&quot;2024&quot;,&quot;7&quot;]]},&quot;DOI&quot;:&quot;10.1002/ana.26918&quot;,&quot;PMID&quot;:&quot;38501714&quot;,&quot;citation-label&quot;:&quot;17320328&quot;},{&quot;title&quot;:&quot;Translation inhibition and stress granules in the antiviral immune response.&quot;,&quot;page&quot;:&quot;647-660&quot;,&quot;volume&quot;:&quot;17&quot;,&quot;issue&quot;:&quot;10&quot;,&quot;journalAbbreviation&quot;:&quot;Nat. Rev. Immunol.&quot;,&quot;id&quot;:&quot;4751125&quot;,&quot;type&quot;:&quot;article-journal&quot;,&quot;container-title&quot;:&quot;Nature Reviews. Immunology&quot;,&quot;container-title-short&quot;:&quot;Nat. Rev. Immunol.&quot;,&quot;abstract&quot;:&quot;Efficient viral gene expression is threatened by cellular stress response programmes that rapidly reprioritize the translation machinery in response to varied environmental assaults, including virus infection. This results in inhibition of bulk synthesis of housekeeping proteins and causes the aggregation of messenger ribonucleoprotein complexes into cytoplasmic foci that are known as stress granules, which can entrap viral mRNAs. There is accumulating evidence for the antiviral nature of stress granules, which is supported by the discovery of many viral factors that interfere with stress granule formation and/or function. This Review focuses on recent advances in our understanding of the role of translation inhibition and stress granules in antiviral immune responses.&quot;,&quot;author&quot;:[{&quot;family&quot;:&quot;McCormick&quot;,&quot;given&quot;:&quot;Craig&quot;},{&quot;family&quot;:&quot;Khaperskyy&quot;,&quot;given&quot;:&quot;Denys A&quot;}],&quot;issued&quot;:{&quot;date-parts&quot;:[[&quot;2017&quot;,&quot;10&quot;]]},&quot;DOI&quot;:&quot;10.1038/nri.2017.63&quot;,&quot;PMID&quot;:&quot;28669985&quot;,&quot;citation-label&quot;:&quot;4751125&quot;},{&quot;title&quot;:&quot;Microtubule-Driven Stress Granule Dynamics Regulate Inhibitory Immune Checkpoint Expression in T Cells.&quot;,&quot;page&quot;:&quot;94-107.e7&quot;,&quot;volume&quot;:&quot;26&quot;,&quot;issue&quot;:&quot;1&quot;,&quot;journalAbbreviation&quot;:&quot;Cell Rep.&quot;,&quot;id&quot;:&quot;17320335&quot;,&quot;type&quot;:&quot;article-journal&quot;,&quot;container-title&quot;:&quot;Cell reports&quot;,&quot;container-title-short&quot;:&quot;Cell Rep.&quot;,&quot;abstract&quot;:&quot;Despite the clinical success of blocking inhibitory immune checkpoint receptors such as programmed cell death-1 (PD-1) in cancer, the mechanisms controlling the expression of these receptors have not been fully elucidated. Here, we identify a post-transcriptional mechanism regulating PD-1 expression in T cells. Upon activation, the PDCD1 mRNA and ribonucleoprotein complexes coalesce into stress granules that require microtubules and the kinesin 1 molecular motor to proceed to translation. Hence, PD-1 expression is highly sensitive to microtubule or stress granule inhibitors targeting this pathway. Evidence from healthy donors and cancer patients reveals a common regulation for the translation of CTLA4, LAG3, TIM3, TIGIT, and BTLA but not of the stimulatory co-receptors OX40, GITR, and 4-1BB mRNAs. In patients, disproportionality analysis of immune-related adverse events for currently used microtubule drugs unveils a significantly higher risk of autoimmunity. Our findings reveal a fundamental mechanism of immunoregulation with great importance in cancer immunotherapy.Copyright © 2018 The Authors. Published by Elsevier Inc. All rights reserved.&quot;,&quot;author&quot;:[{&quot;family&quot;:&quot;Franchini&quot;,&quot;given&quot;:&quot;Don-Marc&quot;},{&quot;family&quot;:&quot;Lanvin&quot;,&quot;given&quot;:&quot;Olivia&quot;},{&quot;family&quot;:&quot;Tosolini&quot;,&quot;given&quot;:&quot;Marie&quot;},{&quot;family&quot;:&quot;Patras de Campaigno&quot;,&quot;given&quot;:&quot;Emilie&quot;},{&quot;family&quot;:&quot;Cammas&quot;,&quot;given&quot;:&quot;Anne&quot;},{&quot;family&quot;:&quot;Péricart&quot;,&quot;given&quot;:&quot;Sarah&quot;},{&quot;family&quot;:&quot;Scarlata&quot;,&quot;given&quot;:&quot;Clara-Maria&quot;},{&quot;family&quot;:&quot;Lebras&quot;,&quot;given&quot;:&quot;Morgane&quot;},{&quot;family&quot;:&quot;Rossi&quot;,&quot;given&quot;:&quot;Cédric&quot;},{&quot;family&quot;:&quot;Ligat&quot;,&quot;given&quot;:&quot;Laetitia&quot;},{&quot;family&quot;:&quot;Pont&quot;,&quot;given&quot;:&quot;Fréderic&quot;},{&quot;family&quot;:&quot;Arimondo&quot;,&quot;given&quot;:&quot;Paola B&quot;},{&quot;family&quot;:&quot;Laurent&quot;,&quot;given&quot;:&quot;Camille&quot;},{&quot;family&quot;:&quot;Ayyoub&quot;,&quot;given&quot;:&quot;Maha&quot;},{&quot;family&quot;:&quot;Despas&quot;,&quot;given&quot;:&quot;Fabien&quot;},{&quot;family&quot;:&quot;Lapeyre-Mestre&quot;,&quot;given&quot;:&quot;Maryse&quot;},{&quot;family&quot;:&quot;Millevoi&quot;,&quot;given&quot;:&quot;Stefania&quot;},{&quot;family&quot;:&quot;Fournié&quot;,&quot;given&quot;:&quot;Jean-Jacques&quot;}],&quot;issued&quot;:{&quot;date-parts&quot;:[[&quot;2019&quot;,&quot;1&quot;,&quot;2&quot;]]},&quot;DOI&quot;:&quot;10.1016/j.celrep.2018.12.014&quot;,&quot;PMID&quot;:&quot;30605689&quot;,&quot;citation-label&quot;:&quot;17320335&quot;},{&quot;title&quot;:&quot;Stress granules modulate SYK to cause microglial cell dysfunction in alzheimer's disease.&quot;,&quot;page&quot;:&quot;1785-1798&quot;,&quot;volume&quot;:&quot;2&quot;,&quot;issue&quot;:&quot;11&quot;,&quot;journalAbbreviation&quot;:&quot;EBioMedicine&quot;,&quot;id&quot;:&quot;1230621&quot;,&quot;type&quot;:&quot;article-journal&quot;,&quot;container-title&quot;:&quot;EBioMedicine&quot;,&quot;container-title-short&quot;:&quot;EBioMedicine&quot;,&quot;abstract&quot;:&quot;Microglial cells in the brains of Alzheimer's patients are known to be recruited to amyloid-beta (Aβ) plaques where they exhibit an activated phenotype, but are defective for plaque removal by phagocytosis. In this study, we show that microglia stressed by exposure to sodium arsenite or Aβ(1-42) peptides or fibrils form extensive stress granules (SGs) to which the tyrosine kinase, SYK, is recruited. SYK enhances the formation of SGs, is active within the resulting SGs and stimulates the production of reactive oxygen and nitrogen species that are toxic to neuronal cells. This sequestration of SYK inhibits the ability of microglial cells to phagocytose Escherichia coli or Aβ fibrils. We find that aged microglial cells are more susceptible to the formation of SGs; and SGs containing SYK and phosphotyrosine are prevalent in the brains of patients with severe Alzheimer's disease. Phagocytic activity can be restored to stressed microglial cells by treatment with IgG, suggesting a mechanism to explain the therapeutic efficacy of intravenous IgG. These studies describe a mechanism by which stress, including exposure to Aβ, compromises the function of microglial cells in Alzheimer's disease and suggest approaches to restore activity to dysfunctional microglial cells.&quot;,&quot;author&quot;:[{&quot;family&quot;:&quot;Ghosh&quot;,&quot;given&quot;:&quot;Soumitra&quot;},{&quot;family&quot;:&quot;Geahlen&quot;,&quot;given&quot;:&quot;Robert L&quot;}],&quot;issued&quot;:{&quot;date-parts&quot;:[[&quot;2015&quot;,&quot;11&quot;]]},&quot;DOI&quot;:&quot;10.1016/j.ebiom.2015.09.053&quot;,&quot;PMID&quot;:&quot;26870803&quot;,&quot;PMCID&quot;:&quot;PMC4740304&quot;,&quot;citation-label&quot;:&quot;1230621&quot;},{&quot;title&quot;:&quot;RNA-Seq Signatures Normalized by mRNA Abundance Allow Absolute Deconvolution of Human Immune Cell Types.&quot;,&quot;page&quot;:&quot;1627-1640.e7&quot;,&quot;volume&quot;:&quot;26&quot;,&quot;issue&quot;:&quot;6&quot;,&quot;journalAbbreviation&quot;:&quot;Cell Rep.&quot;,&quot;id&quot;:&quot;6369672&quot;,&quot;type&quot;:&quot;article-journal&quot;,&quot;container-title&quot;:&quot;Cell reports&quot;,&quot;container-title-short&quot;:&quot;Cell Rep.&quot;,&quot;abstract&quot;:&quot;The molecular characterization of immune subsets is important for designing effective strategies to understand and treat diseases. We characterized 29 immune cell types within the peripheral blood mononuclear cell (PBMC) fraction of healthy donors using RNA-seq (RNA sequencing) and flow cytometry. Our dataset was used, first, to identify sets of genes that are specific, are co-expressed, and have housekeeping roles across the 29 cell types. Then, we examined differences in mRNA heterogeneity and mRNA abundance revealing cell type specificity. Last, we performed absolute deconvolution on a suitable set of immune cell types using transcriptomics signatures normalized by mRNA abundance. Absolute deconvolution is ready to use for PBMC transcriptomic data using our Shiny app (https://github.com/giannimonaco/ABIS). We benchmarked different deconvolution and normalization methods and validated the resources in independent cohorts. Our work has research, clinical, and diagnostic value by making it possible to effectively associate observations in bulk transcriptomics data to specific immune subsets.Copyright © 2019 The Authors. Published by Elsevier Inc. All rights reserved.&quot;,&quot;author&quot;:[{&quot;family&quot;:&quot;Monaco&quot;,&quot;given&quot;:&quot;Gianni&quot;},{&quot;family&quot;:&quot;Lee&quot;,&quot;given&quot;:&quot;Bernett&quot;},{&quot;family&quot;:&quot;Xu&quot;,&quot;given&quot;:&quot;Weili&quot;},{&quot;family&quot;:&quot;Mustafah&quot;,&quot;given&quot;:&quot;Seri&quot;},{&quot;family&quot;:&quot;Hwang&quot;,&quot;given&quot;:&quot;You Yi&quot;},{&quot;family&quot;:&quot;Carré&quot;,&quot;given&quot;:&quot;Christophe&quot;},{&quot;family&quot;:&quot;Burdin&quot;,&quot;given&quot;:&quot;Nicolas&quot;},{&quot;family&quot;:&quot;Visan&quot;,&quot;given&quot;:&quot;Lucian&quot;},{&quot;family&quot;:&quot;Ceccarelli&quot;,&quot;given&quot;:&quot;Michele&quot;},{&quot;family&quot;:&quot;Poidinger&quot;,&quot;given&quot;:&quot;Michael&quot;},{&quot;family&quot;:&quot;Zippelius&quot;,&quot;given&quot;:&quot;Alfred&quot;},{&quot;family&quot;:&quot;Pedro de Magalhães&quot;,&quot;given&quot;:&quot;João&quot;},{&quot;family&quot;:&quot;Larbi&quot;,&quot;given&quot;:&quot;Anis&quot;}],&quot;issued&quot;:{&quot;date-parts&quot;:[[&quot;2019&quot;,&quot;2&quot;,&quot;5&quot;]]},&quot;DOI&quot;:&quot;10.1016/j.celrep.2019.01.041&quot;,&quot;PMID&quot;:&quot;30726743&quot;,&quot;PMCID&quot;:&quot;PMC6367568&quot;,&quot;citation-label&quot;:&quot;6369672&quot;},{&quot;title&quot;:&quot;Immunosenescence: molecular mechanisms and diseases.&quot;,&quot;page&quot;:&quot;200&quot;,&quot;volume&quot;:&quot;8&quot;,&quot;issue&quot;:&quot;1&quot;,&quot;journalAbbreviation&quot;:&quot;Signal Transduct. Target. Ther.&quot;,&quot;id&quot;:&quot;14897025&quot;,&quot;type&quot;:&quot;article-journal&quot;,&quot;container-title&quot;:&quot;Signal transduction and targeted therapy&quot;,&quot;container-title-short&quot;:&quot;Signal Transduct. Target. Ther.&quot;,&quot;abstract&quot;:&quot;Infection susceptibility, poor vaccination efficacy, age-related disease onset, and neoplasms are linked to innate and adaptive immune dysfunction that accompanies aging (known as immunosenescence). During aging, organisms tend to develop a characteristic inflammatory state that expresses high levels of pro-inflammatory markers, termed inflammaging. This chronic inflammation is a typical phenomenon linked to immunosenescence and it is considered the major risk factor for age-related diseases. Thymic involution, naïve/memory cell ratio imbalance, dysregulated metabolism, and epigenetic alterations are striking features of immunosenescence. Disturbed T-cell pools and chronic antigen stimulation mediate premature senescence of immune cells, and senescent immune cells develop a proinflammatory senescence-associated secretory phenotype that exacerbates inflammaging. Although the underlying molecular mechanisms remain to be addressed, it is well documented that senescent T cells and inflammaging might be major driving forces in immunosenescence. Potential counteractive measures will be discussed, including intervention of cellular senescence and metabolic-epigenetic axes to mitigate immunosenescence. In recent years, immunosenescence has attracted increasing attention for its role in tumor development. As a result of the limited participation of elderly patients, the impact of immunosenescence on cancer immunotherapy is unclear. Despite some surprising results from clinical trials and drugs, it is necessary to investigate the role of immunosenescence in cancer and other age-related diseases.© 2023. The Author(s).&quot;,&quot;author&quot;:[{&quot;family&quot;:&quot;Liu&quot;,&quot;given&quot;:&quot;Zaoqu&quot;},{&quot;family&quot;:&quot;Liang&quot;,&quot;given&quot;:&quot;Qimeng&quot;},{&quot;family&quot;:&quot;Ren&quot;,&quot;given&quot;:&quot;Yuqing&quot;},{&quot;family&quot;:&quot;Guo&quot;,&quot;given&quot;:&quot;Chunguang&quot;},{&quot;family&quot;:&quot;Ge&quot;,&quot;given&quot;:&quot;Xiaoyong&quot;},{&quot;family&quot;:&quot;Wang&quot;,&quot;given&quot;:&quot;Libo&quot;},{&quot;family&quot;:&quot;Cheng&quot;,&quot;given&quot;:&quot;Quan&quot;},{&quot;family&quot;:&quot;Luo&quot;,&quot;given&quot;:&quot;Peng&quot;},{&quot;family&quot;:&quot;Zhang&quot;,&quot;given&quot;:&quot;Yi&quot;},{&quot;family&quot;:&quot;Han&quot;,&quot;given&quot;:&quot;Xinwei&quot;}],&quot;issued&quot;:{&quot;date-parts&quot;:[[&quot;2023&quot;,&quot;5&quot;,&quot;13&quot;]]},&quot;DOI&quot;:&quot;10.1038/s41392-023-01451-2&quot;,&quot;PMID&quot;:&quot;37179335&quot;,&quot;PMCID&quot;:&quot;PMC10182360&quot;,&quot;citation-label&quot;:&quot;14897025&quot;},{&quot;title&quot;:&quot;Deciphering immunosenescence from child to frailty: transcriptional changes, inflammation dynamics, and adaptive immune alterations.&quot;,&quot;page&quot;:&quot;e70082&quot;,&quot;journalAbbreviation&quot;:&quot;Aging Cell&quot;,&quot;id&quot;:&quot;17840459&quot;,&quot;type&quot;:&quot;article-journal&quot;,&quot;container-title&quot;:&quot;Aging Cell&quot;,&quot;container-title-short&quot;:&quot;Aging Cell&quot;,&quot;abstract&quot;:&quot;Aging induces significant alterations in the immune system, with immunosenescence contributing to age-related diseases. Peripheral blood mononuclear cells (PBMCs) offer a convenient and comprehensive snapshot of the body's immune status. In this study, we performed an integrated analysis of PBMCs using both bulk-cell and single-cell RNA-seq data, spanning from children to frail elderlies, to investigate age-related changes. We observed dynamic changes in the PBMC transcriptome during healthy aging, including dramatic shifts in inflammation, myeloid cells, and lymphocyte features during early life, followed by relative stability in later stages. Conversely, frail elderly individuals exhibited notable disruptions in peripheral immune cells, including an increased senescent phenotype in monocytes with elevated inflammatory cytokine expression, heightened effector activation in regulatory T cells, and functional impairment of cytotoxic lymphocytes. Overall, this study provides valuable insights into the complex dynamics of immunosenescence, elucidating the mechanisms driving abnormal inflammation and immunosuppression in frailty.© 2025 The Author(s). Aging Cell published by Anatomical Society and John Wiley &amp; Sons Ltd.&quot;,&quot;author&quot;:[{&quot;family&quot;:&quot;Lai&quot;,&quot;given&quot;:&quot;Wenpu&quot;},{&quot;family&quot;:&quot;Feng&quot;,&quot;given&quot;:&quot;Qiuyue&quot;},{&quot;family&quot;:&quot;Lei&quot;,&quot;given&quot;:&quot;Wen&quot;},{&quot;family&quot;:&quot;Xiao&quot;,&quot;given&quot;:&quot;Chanchan&quot;},{&quot;family&quot;:&quot;Wang&quot;,&quot;given&quot;:&quot;Juan&quot;},{&quot;family&quot;:&quot;Zhu&quot;,&quot;given&quot;:&quot;Yi&quot;},{&quot;family&quot;:&quot;Mao&quot;,&quot;given&quot;:&quot;Lipeng&quot;},{&quot;family&quot;:&quot;Zhu&quot;,&quot;given&quot;:&quot;Yue&quot;},{&quot;family&quot;:&quot;He&quot;,&quot;given&quot;:&quot;Jiacheng&quot;},{&quot;family&quot;:&quot;Li&quot;,&quot;given&quot;:&quot;Yangqiu&quot;},{&quot;family&quot;:&quot;Wang&quot;,&quot;given&quot;:&quot;Hao&quot;},{&quot;family&quot;:&quot;Li&quot;,&quot;given&quot;:&quot;Zhenhua&quot;},{&quot;family&quot;:&quot;Chen&quot;,&quot;given&quot;:&quot;Guobing&quot;},{&quot;family&quot;:&quot;Luo&quot;,&quot;given&quot;:&quot;Oscar Junhong&quot;}],&quot;issued&quot;:{&quot;date-parts&quot;:[[&quot;2025&quot;,&quot;4&quot;,&quot;26&quot;]]},&quot;DOI&quot;:&quot;10.1111/acel.70082&quot;,&quot;PMID&quot;:&quot;40285422&quot;,&quot;citation-label&quot;:&quot;17840459&quot;},{&quot;title&quot;:&quot;Multidimensional single-cell analysis of human peripheral blood reveals characteristic features of the immune system landscape in aging and frailty.&quot;,&quot;page&quot;:&quot;348-364&quot;,&quot;volume&quot;:&quot;2&quot;,&quot;issue&quot;:&quot;4&quot;,&quot;journalAbbreviation&quot;:&quot;Nat. Aging&quot;,&quot;id&quot;:&quot;12849939&quot;,&quot;type&quot;:&quot;article-journal&quot;,&quot;container-title&quot;:&quot;Nature Aging&quot;,&quot;container-title-short&quot;:&quot;Nat. Aging&quot;,&quot;abstract&quot;:&quot;Frailty is an intermediate status of the human aging process, associated with decompensated homeostasis and death. The immune phenotype of frailty and its underlying cellular and molecular processes remain poorly understood. We profiled 114,467 immune cells from cord blood, young adults and healthy and frail old adults using single-cell RNA and TCR sequencing. Here we show an age-dependent accumulation of transcriptome heterogeneity and variability in immune cells. Characteristic transcription factors were identified in given cell types of specific age groups. Trajectory analysis revealed cells from non-frail and frail old adults often fall into distinct paths. Numerous TCR clonotypes were shared among T-cell subtypes in old adults, indicating differential pluripotency and resilience capabilities of aged T cells. A frailty-specific monocyte subset was identified with exclusively high expression of long noncoding RNAs NEAT1 and MALAT1. Our study discovers human frailty-specific immune cell characteristics based on the comprehensive dimensions in the immune landscape of aging and frailty.© 2022. The Author(s), under exclusive licence to Springer Nature America, Inc.&quot;,&quot;author&quot;:[{&quot;family&quot;:&quot;Luo&quot;,&quot;given&quot;:&quot;Oscar Junhong&quot;},{&quot;family&quot;:&quot;Lei&quot;,&quot;given&quot;:&quot;Wen&quot;},{&quot;family&quot;:&quot;Zhu&quot;,&quot;given&quot;:&quot;Guodong&quot;},{&quot;family&quot;:&quot;Ren&quot;,&quot;given&quot;:&quot;Zhiyao&quot;},{&quot;family&quot;:&quot;Xu&quot;,&quot;given&quot;:&quot;Yudai&quot;},{&quot;family&quot;:&quot;Xiao&quot;,&quot;given&quot;:&quot;Chanchan&quot;},{&quot;family&quot;:&quot;Zhang&quot;,&quot;given&quot;:&quot;Hongyi&quot;},{&quot;family&quot;:&quot;Cai&quot;,&quot;given&quot;:&quot;Junxiang&quot;},{&quot;family&quot;:&quot;Luo&quot;,&quot;given&quot;:&quot;Zhiping&quot;},{&quot;family&quot;:&quot;Gao&quot;,&quot;given&quot;:&quot;Lijuan&quot;},{&quot;family&quot;:&quot;Su&quot;,&quot;given&quot;:&quot;Jun&quot;},{&quot;family&quot;:&quot;Tang&quot;,&quot;given&quot;:&quot;Lei&quot;},{&quot;family&quot;:&quot;Guo&quot;,&quot;given&quot;:&quot;Wei&quot;},{&quot;family&quot;:&quot;Su&quot;,&quot;given&quot;:&quot;Huanxing&quot;},{&quot;family&quot;:&quot;Zhang&quot;,&quot;given&quot;:&quot;Zhang-Jin&quot;},{&quot;family&quot;:&quot;Fang&quot;,&quot;given&quot;:&quot;Evandro Fei&quot;},{&quot;family&quot;:&quot;Ruan&quot;,&quot;given&quot;:&quot;Yijun&quot;},{&quot;family&quot;:&quot;Leng&quot;,&quot;given&quot;:&quot;Sean Xiao&quot;},{&quot;family&quot;:&quot;Ju&quot;,&quot;given&quot;:&quot;Zhenyu&quot;},{&quot;family&quot;:&quot;Lou&quot;,&quot;given&quot;:&quot;Huiling&quot;},{&quot;family&quot;:&quot;Gao&quot;,&quot;given&quot;:&quot;Junling&quot;},{&quot;family&quot;:&quot;Peng&quot;,&quot;given&quot;:&quot;Nan&quot;},{&quot;family&quot;:&quot;Chen&quot;,&quot;given&quot;:&quot;Jie&quot;},{&quot;family&quot;:&quot;Bao&quot;,&quot;given&quot;:&quot;Zhijun&quot;},{&quot;family&quot;:&quot;Liu&quot;,&quot;given&quot;:&quot;Feng&quot;},{&quot;family&quot;:&quot;Chen&quot;,&quot;given&quot;:&quot;Guobing&quot;}],&quot;issued&quot;:{&quot;date-parts&quot;:[[&quot;2022&quot;,&quot;4&quot;,&quot;18&quot;]]},&quot;DOI&quot;:&quot;10.1038/s43587-022-00198-9&quot;,&quot;PMID&quot;:&quot;37117750&quot;,&quot;citation-label&quot;:&quot;12849939&quot;},{&quot;title&quot;:&quot;Whole-Genome mRNA Gene Expression Differs Between Patients With and Without Delirium.&quot;,&quot;page&quot;:&quot;203-210&quot;,&quot;volume&quot;:&quot;31&quot;,&quot;issue&quot;:&quot;4&quot;,&quot;journalAbbreviation&quot;:&quot;J. Geriatr. Psychiatry Neurol.&quot;,&quot;id&quot;:&quot;6400654&quot;,&quot;type&quot;:&quot;article-journal&quot;,&quot;container-title&quot;:&quot;Journal of Geriatric Psychiatry and Neurology&quot;,&quot;container-title-short&quot;:&quot;J. Geriatr. Psychiatry Neurol.&quot;,&quot;abstract&quot;:&quot;OBJECTIVE: To identify differences in gene expression between patients with in-hospital delirium from a known etiology (urinary tract infection [UTI]) and patients with delirium from an unknown etiology, as well as from nondelirious patients.METHODS: Thirty patients with delirium (8 with UTI) and 21 nondelirious patients (11 with UTI) were included in this prospective case-control study. Transcriptomic profiles from messenger RNA sequencing of peripheral blood were analyzed for gene expression and disease-specific pathway enrichment patterns, correcting for systemic inflammatory response syndrome. Genes and pathways with significant differential activity based on Fisher exact test ( P &lt;  .05, |Z score| &gt;2) are reported.RESULTS: Patients with delirium with UTI, compared to patients with delirium without UTI, exhibited significant activation of interferon signaling, upstream cytokines, and transcription regulators, as well as significant inhibition of actin cytoskeleton, integrin, paxillin, glioma invasiveness signaling, and upstream growth factors. All patients with delirium, compared to nondelirious patients, had significant complement system activation. Among patients with delirium without UTI, compared to nondelirious patients without UTI, there was significant activation of elF4 and p7056 K signaling.CONCLUSIONS: Differences exist in gene expression between delirious patients due to UTI presence, as well as due to the presence of delirium alone. Transcriptional profiling may help develop etiology-specific biomarkers for patients with delirium.&quot;,&quot;author&quot;:[{&quot;family&quot;:&quot;Kalantar&quot;,&quot;given&quot;:&quot;Katrina&quot;},{&quot;family&quot;:&quot;LaHue&quot;,&quot;given&quot;:&quot;Sara C&quot;},{&quot;family&quot;:&quot;DeRisi&quot;,&quot;given&quot;:&quot;Joseph L&quot;},{&quot;family&quot;:&quot;Sample&quot;,&quot;given&quot;:&quot;Hannah A&quot;},{&quot;family&quot;:&quot;Contag&quot;,&quot;given&quot;:&quot;Caitlin A&quot;},{&quot;family&quot;:&quot;Josephson&quot;,&quot;given&quot;:&quot;Scott A&quot;},{&quot;family&quot;:&quot;Wilson&quot;,&quot;given&quot;:&quot;Michael R&quot;},{&quot;family&quot;:&quot;Douglas&quot;,&quot;given&quot;:&quot;Vanja C&quot;}],&quot;issued&quot;:{&quot;date-parts&quot;:[[&quot;2018&quot;,&quot;7&quot;,&quot;10&quot;]]},&quot;DOI&quot;:&quot;10.1177/0891988718785774&quot;,&quot;PMID&quot;:&quot;29991314&quot;,&quot;PMCID&quot;:&quot;PMC6817976&quot;,&quot;citation-label&quot;:&quot;6400654&quot;},{&quot;title&quot;:&quot;A chart-based method for identification of delirium: validation compared with interviewer ratings using the confusion assessment method.&quot;,&quot;page&quot;:&quot;312-318&quot;,&quot;volume&quot;:&quot;53&quot;,&quot;issue&quot;:&quot;2&quot;,&quot;journalAbbreviation&quot;:&quot;J. Am. Geriatr. Soc.&quot;,&quot;id&quot;:&quot;4519135&quot;,&quot;type&quot;:&quot;article-journal&quot;,&quot;container-title&quot;:&quot;Journal of the American Geriatrics Society&quot;,&quot;container-title-short&quot;:&quot;J. Am. Geriatr. Soc.&quot;,&quot;abstract&quot;:&quot;OBJECTIVES: To validate a chart-based method for identification of delirium and compare it with direct interviewer assessment using the Confusion Assessment Method (CAM).DESIGN: Prospective validation study.SETTING: Teaching hospital.PARTICIPANTS: Nine hundred nineteen older hospitalized patients.MEASUREMENTS: A chart-based instrument for identification of delirium was created and compared with the reference standard interviewer ratings, which used direct cognitive assessment to complete the CAM for delirium. Trained nurse chart abstractors were blinded to all interview data, including cognitive and CAM ratings. Factors influencing the correct identification of delirium in the chart were examined.RESULTS: Delirium was present in 115 (12.5%) patients according to the CAM. Sensitivity of the chart-based instrument was 74%, specificity was 83%, and likelihood ratio for a positive result was 4.4. Overall agreement between chart and interviewer ratings was 82%, kappa=0.41. By contrast, using International Classification of Diseases, Ninth Revision, Clinical Modification, administrative codes, the sensitivity for delirium was 3%, and specificity was 99%. Independent factors associated with incorrect chart identification of delirium were dementia, severe illness, and high baseline delirium risk. With all three factors present, the chart instrument was three times more likely to identify patients incorrectly than with none of the factors present.CONCLUSION: A chart-based instrument for delirium, which should be useful for patient safety and quality-improvement programs in older persons, was validated. Because of potential misclassification, the chart-based instrument is not recommended for individual patient care or diagnostic purposes.&quot;,&quot;author&quot;:[{&quot;family&quot;:&quot;Inouye&quot;,&quot;given&quot;:&quot;Sharon K&quot;},{&quot;family&quot;:&quot;Leo-Summers&quot;,&quot;given&quot;:&quot;Linda&quot;},{&quot;family&quot;:&quot;Zhang&quot;,&quot;given&quot;:&quot;Ying&quot;},{&quot;family&quot;:&quot;Bogardus&quot;,&quot;given&quot;:&quot;Sidney T&quot;},{&quot;family&quot;:&quot;Leslie&quot;,&quot;given&quot;:&quot;Douglas L&quot;},{&quot;family&quot;:&quot;Agostini&quot;,&quot;given&quot;:&quot;Joseph V&quot;}],&quot;issued&quot;:{&quot;date-parts&quot;:[[&quot;2005&quot;,&quot;2&quot;]]},&quot;DOI&quot;:&quot;10.1111/j.1532-5415.2005.53120.x&quot;,&quot;PMID&quot;:&quot;15673358&quot;,&quot;citation-label&quot;:&quot;4519135&quot;},{&quot;genre&quot;:&quot;Computer software&quot;,&quot;title&quot;:&quot;glmmSeq: General Linear Mixed Models for Gene-Level Differential Expression&quot;,&quot;publisher&quot;:&quot;https://github.com/myles-lewis/glmmSeq&quot;,&quot;version&quot;:&quot;1&quot;,&quot;id&quot;:&quot;15862907&quot;,&quot;type&quot;:&quot;book&quot;,&quot;author&quot;:[{&quot;family&quot;:&quot;Lewis&quot;,&quot;given&quot;:&quot;M&quot;},{&quot;family&quot;:&quot;Goldmann&quot;,&quot;given&quot;:&quot;K&quot;},{&quot;family&quot;:&quot;E&quot;,&quot;given&quot;:&quot;Sciacca&quot;}],&quot;issued&quot;:{&quot;date-parts&quot;:[[&quot;2023&quot;]]},&quot;citation-label&quot;:&quot;15862907&quot;}]"/>
    <we:property name="sciwheel-selectedStyle" value="{&quot;id&quot;:&quot;vancouver&quot;,&quot;name&quot;:&quot;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74C7A77CE0514C8EA9972A6AA0B0A5" ma:contentTypeVersion="12" ma:contentTypeDescription="Create a new document." ma:contentTypeScope="" ma:versionID="7e99b502f0bad2f53a83bf4b0d33dbb9">
  <xsd:schema xmlns:xsd="http://www.w3.org/2001/XMLSchema" xmlns:xs="http://www.w3.org/2001/XMLSchema" xmlns:p="http://schemas.microsoft.com/office/2006/metadata/properties" xmlns:ns3="6abc619b-39d1-41b2-8433-a04451f34412" xmlns:ns4="4369a23a-a739-4e75-a877-0d1fab5acdb5" targetNamespace="http://schemas.microsoft.com/office/2006/metadata/properties" ma:root="true" ma:fieldsID="ae3ecaaf132394621abbb87c81b186b7" ns3:_="" ns4:_="">
    <xsd:import namespace="6abc619b-39d1-41b2-8433-a04451f34412"/>
    <xsd:import namespace="4369a23a-a739-4e75-a877-0d1fab5acdb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c619b-39d1-41b2-8433-a04451f3441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9a23a-a739-4e75-a877-0d1fab5acd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AC658-7A56-40DE-922C-1162C1D4B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c619b-39d1-41b2-8433-a04451f34412"/>
    <ds:schemaRef ds:uri="4369a23a-a739-4e75-a877-0d1fab5ac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22948-B307-46AD-A962-58BEE57FA4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3AEE76-923C-41C5-99E3-A0990FF220BA}">
  <ds:schemaRefs>
    <ds:schemaRef ds:uri="http://schemas.microsoft.com/sharepoint/v3/contenttype/forms"/>
  </ds:schemaRefs>
</ds:datastoreItem>
</file>

<file path=customXml/itemProps4.xml><?xml version="1.0" encoding="utf-8"?>
<ds:datastoreItem xmlns:ds="http://schemas.openxmlformats.org/officeDocument/2006/customXml" ds:itemID="{BF31D6B8-8A43-4D68-8ED0-6AA96C50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Words>
  <Characters>175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Singhal_Nat Comm</vt:lpstr>
    </vt:vector>
  </TitlesOfParts>
  <Manager/>
  <Company>Microsoft</Company>
  <LinksUpToDate>false</LinksUpToDate>
  <CharactersWithSpaces>204</CharactersWithSpaces>
  <SharedDoc>false</SharedDoc>
  <HyperlinkBase/>
  <HLinks>
    <vt:vector size="12" baseType="variant">
      <vt:variant>
        <vt:i4>2228274</vt:i4>
      </vt:variant>
      <vt:variant>
        <vt:i4>3</vt:i4>
      </vt:variant>
      <vt:variant>
        <vt:i4>0</vt:i4>
      </vt:variant>
      <vt:variant>
        <vt:i4>5</vt:i4>
      </vt:variant>
      <vt:variant>
        <vt:lpwstr>https://stm.sciencemag.org/content/information-authors</vt:lpwstr>
      </vt:variant>
      <vt:variant>
        <vt:lpwstr/>
      </vt:variant>
      <vt:variant>
        <vt:i4>2883708</vt:i4>
      </vt:variant>
      <vt:variant>
        <vt:i4>0</vt:i4>
      </vt:variant>
      <vt:variant>
        <vt:i4>0</vt:i4>
      </vt:variant>
      <vt:variant>
        <vt:i4>5</vt:i4>
      </vt:variant>
      <vt:variant>
        <vt:lpwstr>https://cts.sciencemag.org/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Singhal_Nat Comm</dc:title>
  <dc:subject/>
  <dc:creator>Singhal</dc:creator>
  <cp:keywords/>
  <dc:description/>
  <cp:lastModifiedBy>Ayelle Narcisa Omangay</cp:lastModifiedBy>
  <cp:revision>3</cp:revision>
  <cp:lastPrinted>2025-09-16T02:51:00Z</cp:lastPrinted>
  <dcterms:created xsi:type="dcterms:W3CDTF">2025-09-16T03:47:00Z</dcterms:created>
  <dcterms:modified xsi:type="dcterms:W3CDTF">2025-09-16T03:48:00Z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0x0101009674C7A77CE0514C8EA9972A6AA0B0A5</vt:lpwstr>
  </property>
</Properties>
</file>