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F6EB4" w14:textId="77777777" w:rsidR="00A32FEC" w:rsidRDefault="00A32FEC" w:rsidP="00A32FEC">
      <w:pPr>
        <w:pStyle w:val="Geenafstand"/>
        <w:rPr>
          <w:b/>
          <w:bCs/>
          <w:lang w:val="en-GB"/>
        </w:rPr>
      </w:pPr>
      <w:r w:rsidRPr="00950085">
        <w:rPr>
          <w:b/>
          <w:bCs/>
          <w:lang w:val="en-GB"/>
        </w:rPr>
        <w:t>Supplementary material</w:t>
      </w:r>
      <w:r>
        <w:rPr>
          <w:b/>
          <w:bCs/>
          <w:lang w:val="en-GB"/>
        </w:rPr>
        <w:t xml:space="preserve"> 3. </w:t>
      </w:r>
      <w:r w:rsidRPr="00213F56">
        <w:rPr>
          <w:lang w:val="en-GB"/>
        </w:rPr>
        <w:t xml:space="preserve">Calculation </w:t>
      </w:r>
      <w:r>
        <w:rPr>
          <w:lang w:val="en-GB"/>
        </w:rPr>
        <w:t xml:space="preserve">of </w:t>
      </w:r>
      <w:r w:rsidRPr="00213F56">
        <w:rPr>
          <w:lang w:val="en-GB"/>
        </w:rPr>
        <w:t>disease burden</w:t>
      </w:r>
      <w:r w:rsidRPr="00950085">
        <w:rPr>
          <w:b/>
          <w:bCs/>
          <w:lang w:val="en-GB"/>
        </w:rPr>
        <w:t xml:space="preserve"> </w:t>
      </w:r>
    </w:p>
    <w:p w14:paraId="5BC6BC57" w14:textId="77777777" w:rsidR="00A32FEC" w:rsidRPr="00950085" w:rsidRDefault="00A32FEC" w:rsidP="00A32FEC">
      <w:pPr>
        <w:pStyle w:val="Geenafstand"/>
        <w:rPr>
          <w:b/>
          <w:bCs/>
          <w:lang w:val="en-GB"/>
        </w:rPr>
      </w:pPr>
    </w:p>
    <w:p w14:paraId="72344459" w14:textId="77777777" w:rsidR="00A32FEC" w:rsidRDefault="00A32FEC" w:rsidP="00A32FEC">
      <w:pPr>
        <w:pStyle w:val="Geenafstand"/>
        <w:rPr>
          <w:lang w:val="en-GB"/>
        </w:rPr>
      </w:pPr>
      <w:r w:rsidRPr="009564C2">
        <w:rPr>
          <w:lang w:val="en-GB"/>
        </w:rPr>
        <w:t>The calculation of the burden of disease, as outlined in the '</w:t>
      </w:r>
      <w:proofErr w:type="spellStart"/>
      <w:r w:rsidRPr="009564C2">
        <w:rPr>
          <w:lang w:val="en-GB"/>
        </w:rPr>
        <w:t>Ziektelast</w:t>
      </w:r>
      <w:proofErr w:type="spellEnd"/>
      <w:r w:rsidRPr="009564C2">
        <w:rPr>
          <w:lang w:val="en-GB"/>
        </w:rPr>
        <w:t xml:space="preserve"> in de </w:t>
      </w:r>
      <w:proofErr w:type="spellStart"/>
      <w:r w:rsidRPr="009564C2">
        <w:rPr>
          <w:lang w:val="en-GB"/>
        </w:rPr>
        <w:t>praktijk</w:t>
      </w:r>
      <w:proofErr w:type="spellEnd"/>
      <w:r w:rsidRPr="009564C2">
        <w:rPr>
          <w:lang w:val="en-GB"/>
        </w:rPr>
        <w:t xml:space="preserve">' by </w:t>
      </w:r>
      <w:proofErr w:type="spellStart"/>
      <w:r w:rsidRPr="009564C2">
        <w:rPr>
          <w:lang w:val="en-GB"/>
        </w:rPr>
        <w:t>Zorginstituut</w:t>
      </w:r>
      <w:proofErr w:type="spellEnd"/>
      <w:r w:rsidRPr="009564C2">
        <w:rPr>
          <w:lang w:val="en-GB"/>
        </w:rPr>
        <w:t xml:space="preserve"> Nederland</w:t>
      </w:r>
      <w:r>
        <w:rPr>
          <w:lang w:val="en-GB"/>
        </w:rPr>
        <w:t xml:space="preserve"> </w:t>
      </w:r>
      <w:r>
        <w:rPr>
          <w:lang w:val="en-GB"/>
        </w:rPr>
        <w:fldChar w:fldCharType="begin"/>
      </w:r>
      <w:r>
        <w:rPr>
          <w:lang w:val="en-GB"/>
        </w:rPr>
        <w:instrText xml:space="preserve"> ADDIN EN.CITE &lt;EndNote&gt;&lt;Cite&gt;&lt;Author&gt;Nederland&lt;/Author&gt;&lt;Year&gt;2018&lt;/Year&gt;&lt;RecNum&gt;55&lt;/RecNum&gt;&lt;DisplayText&gt;(1)&lt;/DisplayText&gt;&lt;record&gt;&lt;rec-number&gt;55&lt;/rec-number&gt;&lt;foreign-keys&gt;&lt;key app="EN" db-id="ww995sedx9v5v5ee9vnxzxeza5tefve0ra2r" timestamp="1736350604"&gt;55&lt;/key&gt;&lt;/foreign-keys&gt;&lt;ref-type name="Report"&gt;27&lt;/ref-type&gt;&lt;contributors&gt;&lt;authors&gt;&lt;author&gt;Zorginstituut Nederland&lt;/author&gt;&lt;/authors&gt;&lt;/contributors&gt;&lt;titles&gt;&lt;title&gt;Ziektelast in de praktijk. De theorie en praktijk van het berekenen van ziektelast bij pakketbeoordelingen.&lt;/title&gt;&lt;/titles&gt;&lt;dates&gt;&lt;year&gt;2018&lt;/year&gt;&lt;pub-dates&gt;&lt;date&gt;07-05-2018&lt;/date&gt;&lt;/pub-dates&gt;&lt;/dates&gt;&lt;urls&gt;&lt;related-urls&gt;&lt;url&gt;https://www.zorginstituutnederland.nl/publicaties/rapport/2018/05/07/ziektelast-in-de-praktijk&lt;/url&gt;&lt;/related-urls&gt;&lt;/urls&gt;&lt;/record&gt;&lt;/Cite&gt;&lt;/EndNote&gt;</w:instrText>
      </w:r>
      <w:r>
        <w:rPr>
          <w:lang w:val="en-GB"/>
        </w:rPr>
        <w:fldChar w:fldCharType="separate"/>
      </w:r>
      <w:r>
        <w:rPr>
          <w:noProof/>
          <w:lang w:val="en-GB"/>
        </w:rPr>
        <w:t>(1)</w:t>
      </w:r>
      <w:r>
        <w:rPr>
          <w:lang w:val="en-GB"/>
        </w:rPr>
        <w:fldChar w:fldCharType="end"/>
      </w:r>
      <w:r w:rsidRPr="009564C2">
        <w:rPr>
          <w:lang w:val="en-GB"/>
        </w:rPr>
        <w:t xml:space="preserve">, is a critical process for establishing the reference value of Willingness to Pay (WTP). </w:t>
      </w:r>
      <w:r>
        <w:rPr>
          <w:lang w:val="en-GB"/>
        </w:rPr>
        <w:t xml:space="preserve">No method for calculating burden of disease is ideal, as scientific research shows that there is no absolute preference for any method. However, </w:t>
      </w:r>
      <w:proofErr w:type="spellStart"/>
      <w:r>
        <w:rPr>
          <w:lang w:val="en-GB"/>
        </w:rPr>
        <w:t>Zorginstituut</w:t>
      </w:r>
      <w:proofErr w:type="spellEnd"/>
      <w:r>
        <w:rPr>
          <w:lang w:val="en-GB"/>
        </w:rPr>
        <w:t xml:space="preserve"> Nederland considers the proportional shortfall method to be the fairest way to determine burden of disease. In this study we calculate the burden of disease according to this method, that employs the following equation: </w:t>
      </w:r>
    </w:p>
    <w:p w14:paraId="5A2EF601" w14:textId="77777777" w:rsidR="00A32FEC" w:rsidRDefault="00A32FEC" w:rsidP="00A32FEC">
      <w:pPr>
        <w:pStyle w:val="Geenafstand"/>
        <w:rPr>
          <w:lang w:val="en-GB"/>
        </w:rPr>
      </w:pPr>
    </w:p>
    <w:p w14:paraId="56A05EF3" w14:textId="77777777" w:rsidR="00A32FEC" w:rsidRDefault="00A32FEC" w:rsidP="00A32FEC">
      <w:pPr>
        <w:pStyle w:val="Geenafstand"/>
        <w:rPr>
          <w:lang w:val="en-GB"/>
        </w:rPr>
      </w:pPr>
      <m:oMathPara>
        <m:oMath>
          <m:f>
            <m:fPr>
              <m:ctrlPr>
                <w:rPr>
                  <w:rFonts w:ascii="Cambria Math" w:hAnsi="Cambria Math"/>
                  <w:i/>
                  <w:lang w:val="en-GB"/>
                </w:rPr>
              </m:ctrlPr>
            </m:fPr>
            <m:num>
              <m:r>
                <w:rPr>
                  <w:rFonts w:ascii="Cambria Math" w:hAnsi="Cambria Math"/>
                  <w:lang w:val="en-GB"/>
                </w:rPr>
                <m:t>remaining QALYs without the condition-remaining QALYs with the condition</m:t>
              </m:r>
            </m:num>
            <m:den>
              <m:r>
                <w:rPr>
                  <w:rFonts w:ascii="Cambria Math" w:hAnsi="Cambria Math"/>
                  <w:lang w:val="en-GB"/>
                </w:rPr>
                <m:t>remaining QALYs without the condition</m:t>
              </m:r>
            </m:den>
          </m:f>
        </m:oMath>
      </m:oMathPara>
    </w:p>
    <w:p w14:paraId="61678144" w14:textId="77777777" w:rsidR="00A32FEC" w:rsidRDefault="00A32FEC" w:rsidP="00A32FEC">
      <w:pPr>
        <w:pStyle w:val="Geenafstand"/>
        <w:rPr>
          <w:lang w:val="en-GB"/>
        </w:rPr>
      </w:pPr>
    </w:p>
    <w:p w14:paraId="5AD70A9B" w14:textId="77777777" w:rsidR="00A32FEC" w:rsidRDefault="00A32FEC" w:rsidP="00A32FEC">
      <w:pPr>
        <w:pStyle w:val="Geenafstand"/>
        <w:rPr>
          <w:lang w:val="en-GB"/>
        </w:rPr>
      </w:pPr>
    </w:p>
    <w:p w14:paraId="06BED4A6" w14:textId="77777777" w:rsidR="00A32FEC" w:rsidRPr="003E31C9" w:rsidRDefault="00A32FEC" w:rsidP="00A32FEC">
      <w:pPr>
        <w:pStyle w:val="Geenafstand"/>
        <w:rPr>
          <w:rFonts w:eastAsiaTheme="minorEastAsia"/>
          <w:lang w:val="en-GB"/>
        </w:rPr>
      </w:pPr>
      <m:oMathPara>
        <m:oMath>
          <m:r>
            <w:rPr>
              <w:rFonts w:ascii="Cambria Math" w:hAnsi="Cambria Math"/>
              <w:lang w:val="en-GB"/>
            </w:rPr>
            <m:t>remaining QALYs without the condition=11.8*0.83=9.8</m:t>
          </m:r>
        </m:oMath>
      </m:oMathPara>
    </w:p>
    <w:p w14:paraId="61F08CD7" w14:textId="77777777" w:rsidR="00A32FEC" w:rsidRPr="00012528" w:rsidRDefault="00A32FEC" w:rsidP="00A32FEC">
      <w:pPr>
        <w:pStyle w:val="Geenafstand"/>
        <w:rPr>
          <w:rFonts w:eastAsiaTheme="minorEastAsia"/>
          <w:lang w:val="en-GB"/>
        </w:rPr>
      </w:pPr>
      <m:oMathPara>
        <m:oMath>
          <m:r>
            <w:rPr>
              <w:rFonts w:ascii="Cambria Math" w:hAnsi="Cambria Math"/>
              <w:lang w:val="en-GB"/>
            </w:rPr>
            <m:t>remaining QALYs with the condition=</m:t>
          </m:r>
          <m:r>
            <m:rPr>
              <m:sty m:val="p"/>
            </m:rPr>
            <w:rPr>
              <w:rFonts w:ascii="Cambria Math" w:hAnsi="Cambria Math"/>
              <w:lang w:val="en-GB"/>
            </w:rPr>
            <m:t>3*0.80 + 0.6 * 8.8 * 0.80 + 0.4 * 6 * 0.62</m:t>
          </m:r>
          <m:r>
            <m:rPr>
              <m:sty m:val="p"/>
            </m:rPr>
            <w:rPr>
              <w:rFonts w:ascii="Cambria Math"/>
              <w:lang w:val="en-GB"/>
            </w:rPr>
            <m:t>=8.1</m:t>
          </m:r>
        </m:oMath>
      </m:oMathPara>
    </w:p>
    <w:p w14:paraId="6457F835" w14:textId="77777777" w:rsidR="00A32FEC" w:rsidRPr="00012528" w:rsidRDefault="00A32FEC" w:rsidP="00A32FEC">
      <w:pPr>
        <w:pStyle w:val="Geenafstand"/>
        <w:rPr>
          <w:rFonts w:eastAsiaTheme="minorEastAsia"/>
          <w:lang w:val="en-GB"/>
        </w:rPr>
      </w:pPr>
    </w:p>
    <w:p w14:paraId="1DD9FCDF" w14:textId="77777777" w:rsidR="00A32FEC" w:rsidRDefault="00A32FEC" w:rsidP="00A32FEC">
      <w:pPr>
        <w:pStyle w:val="Geenafstand"/>
        <w:rPr>
          <w:lang w:val="en-GB"/>
        </w:rPr>
      </w:pPr>
      <m:oMathPara>
        <m:oMath>
          <m:r>
            <w:rPr>
              <w:rFonts w:ascii="Cambria Math" w:hAnsi="Cambria Math"/>
              <w:lang w:val="en-GB"/>
            </w:rPr>
            <m:t>proportional shortfall=</m:t>
          </m:r>
          <m:f>
            <m:fPr>
              <m:ctrlPr>
                <w:rPr>
                  <w:rFonts w:ascii="Cambria Math" w:hAnsi="Cambria Math"/>
                  <w:i/>
                  <w:lang w:val="en-GB"/>
                </w:rPr>
              </m:ctrlPr>
            </m:fPr>
            <m:num>
              <m:r>
                <w:rPr>
                  <w:rFonts w:ascii="Cambria Math" w:hAnsi="Cambria Math"/>
                  <w:lang w:val="en-GB"/>
                </w:rPr>
                <m:t>9.8-8.1</m:t>
              </m:r>
            </m:num>
            <m:den>
              <m:r>
                <w:rPr>
                  <w:rFonts w:ascii="Cambria Math" w:hAnsi="Cambria Math"/>
                  <w:lang w:val="en-GB"/>
                </w:rPr>
                <m:t>9.8</m:t>
              </m:r>
            </m:den>
          </m:f>
          <m:r>
            <w:rPr>
              <w:rFonts w:ascii="Cambria Math" w:hAnsi="Cambria Math"/>
              <w:lang w:val="en-GB"/>
            </w:rPr>
            <m:t xml:space="preserve">=0.17 </m:t>
          </m:r>
        </m:oMath>
      </m:oMathPara>
    </w:p>
    <w:p w14:paraId="4EC6B4E7" w14:textId="77777777" w:rsidR="00A32FEC" w:rsidRDefault="00A32FEC" w:rsidP="00A32FEC">
      <w:pPr>
        <w:pStyle w:val="Geenafstand"/>
        <w:rPr>
          <w:lang w:val="en-GB"/>
        </w:rPr>
      </w:pPr>
    </w:p>
    <w:p w14:paraId="3816DD1B" w14:textId="77777777" w:rsidR="00A32FEC" w:rsidRDefault="00A32FEC" w:rsidP="00A32FEC">
      <w:pPr>
        <w:pStyle w:val="Geenafstand"/>
        <w:rPr>
          <w:lang w:val="en-GB"/>
        </w:rPr>
      </w:pPr>
    </w:p>
    <w:p w14:paraId="602D30D2" w14:textId="77777777" w:rsidR="00A32FEC" w:rsidRDefault="00A32FEC" w:rsidP="00A32FEC">
      <w:pPr>
        <w:pStyle w:val="Geenafstand"/>
        <w:rPr>
          <w:lang w:val="en-GB"/>
        </w:rPr>
      </w:pPr>
      <w:r>
        <w:rPr>
          <w:lang w:val="en-GB"/>
        </w:rPr>
        <w:t xml:space="preserve">A burden of disease of 0.17 corresponds to the lowest reference value which corresponds to a WTP of </w:t>
      </w:r>
      <w:r>
        <w:rPr>
          <w:rFonts w:cstheme="minorHAnsi"/>
          <w:lang w:val="en-GB"/>
        </w:rPr>
        <w:t>€</w:t>
      </w:r>
      <w:r>
        <w:rPr>
          <w:lang w:val="en-GB"/>
        </w:rPr>
        <w:t xml:space="preserve">20.000/QALY. This corresponds to other sources also indicating a WTP of </w:t>
      </w:r>
      <w:r>
        <w:rPr>
          <w:rFonts w:cstheme="minorHAnsi"/>
          <w:lang w:val="en-GB"/>
        </w:rPr>
        <w:t>€</w:t>
      </w:r>
      <w:r>
        <w:rPr>
          <w:lang w:val="en-GB"/>
        </w:rPr>
        <w:t xml:space="preserve">20.000/QALY </w:t>
      </w:r>
      <w:r>
        <w:rPr>
          <w:lang w:val="en-GB"/>
        </w:rPr>
        <w:fldChar w:fldCharType="begin">
          <w:fldData xml:space="preserve">PEVuZE5vdGU+PENpdGU+PEF1dGhvcj5IYW5kZWxzPC9BdXRob3I+PFllYXI+MjAyMzwvWWVhcj48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</w:fldData>
        </w:fldChar>
      </w:r>
      <w:r>
        <w:rPr>
          <w:lang w:val="en-GB"/>
        </w:rPr>
        <w:instrText xml:space="preserve"> ADDIN EN.CITE </w:instrText>
      </w:r>
      <w:r>
        <w:rPr>
          <w:lang w:val="en-GB"/>
        </w:rPr>
        <w:fldChar w:fldCharType="begin">
          <w:fldData xml:space="preserve">PEVuZE5vdGU+PENpdGU+PEF1dGhvcj5IYW5kZWxzPC9BdXRob3I+PFllYXI+MjAyMzwvWWVhcj48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noProof/>
          <w:lang w:val="en-GB"/>
        </w:rPr>
        <w:t>(2)</w:t>
      </w:r>
      <w:r>
        <w:rPr>
          <w:lang w:val="en-GB"/>
        </w:rPr>
        <w:fldChar w:fldCharType="end"/>
      </w:r>
      <w:r>
        <w:rPr>
          <w:lang w:val="en-GB"/>
        </w:rPr>
        <w:t xml:space="preserve">. </w:t>
      </w:r>
    </w:p>
    <w:p w14:paraId="40B6C43A" w14:textId="77777777" w:rsidR="00A32FEC" w:rsidRDefault="00A32FEC" w:rsidP="00A32FEC">
      <w:pPr>
        <w:pStyle w:val="Geenafstand"/>
        <w:rPr>
          <w:lang w:val="en-GB"/>
        </w:rPr>
      </w:pPr>
    </w:p>
    <w:p w14:paraId="3E92BA0A" w14:textId="77777777" w:rsidR="00A32FEC" w:rsidRPr="00802F8E" w:rsidRDefault="00A32FEC" w:rsidP="00A32FEC">
      <w:pPr>
        <w:pStyle w:val="Geenafstand"/>
        <w:rPr>
          <w:lang w:val="en-GB"/>
        </w:rPr>
      </w:pPr>
      <w:r w:rsidRPr="00802F8E">
        <w:rPr>
          <w:lang w:val="en-GB"/>
        </w:rPr>
        <w:t xml:space="preserve">For the calculation we make the following assumptions: </w:t>
      </w:r>
    </w:p>
    <w:p w14:paraId="1DF7EABA" w14:textId="77777777" w:rsidR="00A32FEC" w:rsidRDefault="00A32FEC" w:rsidP="00A32FEC">
      <w:pPr>
        <w:pStyle w:val="Geenafstand"/>
        <w:numPr>
          <w:ilvl w:val="0"/>
          <w:numId w:val="1"/>
        </w:numPr>
        <w:rPr>
          <w:lang w:val="en-GB"/>
        </w:rPr>
      </w:pPr>
      <w:r>
        <w:rPr>
          <w:lang w:val="en-GB"/>
        </w:rPr>
        <w:t>Age at onset of MCI: 70</w:t>
      </w:r>
    </w:p>
    <w:p w14:paraId="4AF493EC" w14:textId="77777777" w:rsidR="00A32FEC" w:rsidRDefault="00A32FEC" w:rsidP="00A32FEC">
      <w:pPr>
        <w:pStyle w:val="Geenafstand"/>
        <w:rPr>
          <w:lang w:val="en-GB"/>
        </w:rPr>
      </w:pPr>
    </w:p>
    <w:p w14:paraId="23DBA0F9" w14:textId="77777777" w:rsidR="00A32FEC" w:rsidRPr="00FC7F0C" w:rsidRDefault="00A32FEC" w:rsidP="00A32FEC">
      <w:pPr>
        <w:pStyle w:val="Geenafstand"/>
        <w:numPr>
          <w:ilvl w:val="0"/>
          <w:numId w:val="1"/>
        </w:numPr>
        <w:rPr>
          <w:lang w:val="en-GB"/>
        </w:rPr>
      </w:pPr>
      <w:r>
        <w:rPr>
          <w:lang w:val="en-GB"/>
        </w:rPr>
        <w:t xml:space="preserve">Health state utility </w:t>
      </w:r>
    </w:p>
    <w:p w14:paraId="3BBB3AF0" w14:textId="77777777" w:rsidR="00A32FEC" w:rsidRPr="00802F8E" w:rsidRDefault="00A32FEC" w:rsidP="00A32FEC">
      <w:pPr>
        <w:pStyle w:val="Geenafstand"/>
        <w:numPr>
          <w:ilvl w:val="1"/>
          <w:numId w:val="1"/>
        </w:numPr>
        <w:rPr>
          <w:lang w:val="en-GB"/>
        </w:rPr>
      </w:pPr>
      <w:r>
        <w:rPr>
          <w:lang w:val="en-GB"/>
        </w:rPr>
        <w:t>General population at age 70 = 0.83</w:t>
      </w:r>
      <w:r>
        <w:rPr>
          <w:lang w:val="en-GB"/>
        </w:rPr>
        <w:fldChar w:fldCharType="begin"/>
      </w:r>
      <w:r>
        <w:rPr>
          <w:lang w:val="en-GB"/>
        </w:rPr>
        <w:instrText xml:space="preserve"> ADDIN EN.CITE &lt;EndNote&gt;&lt;Cite&gt;&lt;Author&gt;Ara&lt;/Author&gt;&lt;Year&gt;2011&lt;/Year&gt;&lt;RecNum&gt;56&lt;/RecNum&gt;&lt;DisplayText&gt;(3)&lt;/DisplayText&gt;&lt;record&gt;&lt;rec-number&gt;56&lt;/rec-number&gt;&lt;foreign-keys&gt;&lt;key app="EN" db-id="ww995sedx9v5v5ee9vnxzxeza5tefve0ra2r" timestamp="1736596207"&gt;56&lt;/key&gt;&lt;/foreign-keys&gt;&lt;ref-type name="Journal Article"&gt;17&lt;/ref-type&gt;&lt;contributors&gt;&lt;authors&gt;&lt;author&gt;Ara, R.&lt;/author&gt;&lt;author&gt;Brazier, J. E.&lt;/author&gt;&lt;/authors&gt;&lt;/contributors&gt;&lt;auth-address&gt;The University of Sheffield, Sheffield, UK. r.m.ara@sheffield.ac.uk&lt;/auth-address&gt;&lt;titles&gt;&lt;title&gt;Using health state utility values from the general population to approximate baselines in decision analytic models when condition-specific data are not available&lt;/title&gt;&lt;secondary-title&gt;Value Health&lt;/secondary-title&gt;&lt;/titles&gt;&lt;periodical&gt;&lt;full-title&gt;Value Health&lt;/full-title&gt;&lt;/periodical&gt;&lt;pages&gt;539-45&lt;/pages&gt;&lt;volume&gt;14&lt;/volume&gt;&lt;number&gt;4&lt;/number&gt;&lt;edition&gt;20110422&lt;/edition&gt;&lt;keywords&gt;&lt;keyword&gt;Adult&lt;/keyword&gt;&lt;keyword&gt;Aged&lt;/keyword&gt;&lt;keyword&gt;Cohort Studies&lt;/keyword&gt;&lt;keyword&gt;*Decision Support Techniques&lt;/keyword&gt;&lt;keyword&gt;England/epidemiology&lt;/keyword&gt;&lt;keyword&gt;Female&lt;/keyword&gt;&lt;keyword&gt;*Health Status Indicators&lt;/keyword&gt;&lt;keyword&gt;Health Surveys/*methods/*standards&lt;/keyword&gt;&lt;keyword&gt;Humans&lt;/keyword&gt;&lt;keyword&gt;Male&lt;/keyword&gt;&lt;keyword&gt;Middle Aged&lt;/keyword&gt;&lt;keyword&gt;Population Surveillance/*methods&lt;/keyword&gt;&lt;/keywords&gt;&lt;dates&gt;&lt;year&gt;2011&lt;/year&gt;&lt;pub-dates&gt;&lt;date&gt;Jun&lt;/date&gt;&lt;/pub-dates&gt;&lt;/dates&gt;&lt;isbn&gt;1098-3015&lt;/isbn&gt;&lt;accession-num&gt;21669378&lt;/accession-num&gt;&lt;urls&gt;&lt;/urls&gt;&lt;electronic-resource-num&gt;10.1016/j.jval.2010.10.029&lt;/electronic-resource-num&gt;&lt;remote-database-provider&gt;NLM&lt;/remote-database-provider&gt;&lt;language&gt;eng&lt;/language&gt;&lt;/record&gt;&lt;/Cite&gt;&lt;/EndNote&gt;</w:instrText>
      </w:r>
      <w:r>
        <w:rPr>
          <w:lang w:val="en-GB"/>
        </w:rPr>
        <w:fldChar w:fldCharType="separate"/>
      </w:r>
      <w:r>
        <w:rPr>
          <w:noProof/>
          <w:lang w:val="en-GB"/>
        </w:rPr>
        <w:t>(3)</w:t>
      </w:r>
      <w:r>
        <w:rPr>
          <w:lang w:val="en-GB"/>
        </w:rPr>
        <w:fldChar w:fldCharType="end"/>
      </w:r>
    </w:p>
    <w:p w14:paraId="18D0D1CC" w14:textId="77777777" w:rsidR="00A32FEC" w:rsidRDefault="00A32FEC" w:rsidP="00A32FEC">
      <w:pPr>
        <w:pStyle w:val="Geenafstand"/>
        <w:numPr>
          <w:ilvl w:val="1"/>
          <w:numId w:val="1"/>
        </w:numPr>
        <w:rPr>
          <w:lang w:val="en-GB"/>
        </w:rPr>
      </w:pPr>
      <w:r>
        <w:rPr>
          <w:lang w:val="en-GB"/>
        </w:rPr>
        <w:t>MCI = 0.80</w:t>
      </w:r>
    </w:p>
    <w:p w14:paraId="1E0D32F6" w14:textId="77777777" w:rsidR="00A32FEC" w:rsidRDefault="00A32FEC" w:rsidP="00A32FEC">
      <w:pPr>
        <w:pStyle w:val="Geenafstand"/>
        <w:numPr>
          <w:ilvl w:val="1"/>
          <w:numId w:val="1"/>
        </w:numPr>
        <w:rPr>
          <w:lang w:val="en-GB"/>
        </w:rPr>
      </w:pPr>
      <w:r>
        <w:rPr>
          <w:lang w:val="en-GB"/>
        </w:rPr>
        <w:t>Dementia (moderate) = 0.62</w:t>
      </w:r>
    </w:p>
    <w:p w14:paraId="7B68D584" w14:textId="77777777" w:rsidR="00A32FEC" w:rsidRDefault="00A32FEC" w:rsidP="00A32FEC">
      <w:pPr>
        <w:pStyle w:val="Geenafstand"/>
        <w:rPr>
          <w:lang w:val="en-GB"/>
        </w:rPr>
      </w:pPr>
    </w:p>
    <w:p w14:paraId="7FD41419" w14:textId="77777777" w:rsidR="00A32FEC" w:rsidRDefault="00A32FEC" w:rsidP="00A32FEC">
      <w:pPr>
        <w:pStyle w:val="Geenafstand"/>
        <w:numPr>
          <w:ilvl w:val="0"/>
          <w:numId w:val="2"/>
        </w:numPr>
        <w:rPr>
          <w:lang w:val="en-GB"/>
        </w:rPr>
      </w:pPr>
      <w:r>
        <w:rPr>
          <w:lang w:val="en-GB"/>
        </w:rPr>
        <w:t xml:space="preserve">Conversion from MCI to dementia: </w:t>
      </w:r>
    </w:p>
    <w:p w14:paraId="0613F98C" w14:textId="77777777" w:rsidR="00A32FEC" w:rsidRDefault="00A32FEC" w:rsidP="00A32FEC">
      <w:pPr>
        <w:pStyle w:val="Geenafstand"/>
        <w:numPr>
          <w:ilvl w:val="1"/>
          <w:numId w:val="2"/>
        </w:numPr>
        <w:rPr>
          <w:lang w:val="en-GB"/>
        </w:rPr>
      </w:pPr>
      <w:r>
        <w:rPr>
          <w:lang w:val="en-GB"/>
        </w:rPr>
        <w:t xml:space="preserve">40% </w:t>
      </w:r>
    </w:p>
    <w:p w14:paraId="47592A14" w14:textId="77777777" w:rsidR="00A32FEC" w:rsidRDefault="00A32FEC" w:rsidP="00A32FEC">
      <w:pPr>
        <w:pStyle w:val="Geenafstand"/>
        <w:numPr>
          <w:ilvl w:val="1"/>
          <w:numId w:val="2"/>
        </w:numPr>
        <w:rPr>
          <w:lang w:val="en-GB"/>
        </w:rPr>
      </w:pPr>
      <w:r>
        <w:rPr>
          <w:lang w:val="en-GB"/>
        </w:rPr>
        <w:t xml:space="preserve">Years lived with MCI before conversion = 3 </w:t>
      </w:r>
    </w:p>
    <w:p w14:paraId="42B02046" w14:textId="77777777" w:rsidR="00A32FEC" w:rsidRDefault="00A32FEC" w:rsidP="00A32FEC">
      <w:pPr>
        <w:pStyle w:val="Geenafstand"/>
        <w:rPr>
          <w:lang w:val="en-GB"/>
        </w:rPr>
      </w:pPr>
    </w:p>
    <w:p w14:paraId="79D3038E" w14:textId="77777777" w:rsidR="00A32FEC" w:rsidRDefault="00A32FEC" w:rsidP="00A32FEC">
      <w:pPr>
        <w:pStyle w:val="Geenafstand"/>
        <w:numPr>
          <w:ilvl w:val="0"/>
          <w:numId w:val="2"/>
        </w:numPr>
        <w:rPr>
          <w:lang w:val="en-GB"/>
        </w:rPr>
      </w:pPr>
      <w:r>
        <w:rPr>
          <w:lang w:val="en-GB"/>
        </w:rPr>
        <w:t xml:space="preserve">Life expectancy: </w:t>
      </w:r>
    </w:p>
    <w:p w14:paraId="2F3C4E88" w14:textId="77777777" w:rsidR="00A32FEC" w:rsidRDefault="00A32FEC" w:rsidP="00A32FEC">
      <w:pPr>
        <w:pStyle w:val="Geenafstand"/>
        <w:numPr>
          <w:ilvl w:val="1"/>
          <w:numId w:val="2"/>
        </w:numPr>
        <w:rPr>
          <w:lang w:val="en-GB"/>
        </w:rPr>
      </w:pPr>
      <w:r>
        <w:rPr>
          <w:lang w:val="en-GB"/>
        </w:rPr>
        <w:t xml:space="preserve">General population = 81.3 </w:t>
      </w:r>
    </w:p>
    <w:p w14:paraId="379D791F" w14:textId="77777777" w:rsidR="00A32FEC" w:rsidRDefault="00A32FEC" w:rsidP="00A32FEC">
      <w:pPr>
        <w:pStyle w:val="Geenafstand"/>
        <w:numPr>
          <w:ilvl w:val="1"/>
          <w:numId w:val="2"/>
        </w:numPr>
        <w:rPr>
          <w:lang w:val="en-GB"/>
        </w:rPr>
      </w:pPr>
      <w:r>
        <w:rPr>
          <w:lang w:val="en-GB"/>
        </w:rPr>
        <w:t>MCI = 81.3 (no increased HR for mortality with MCI)</w:t>
      </w:r>
    </w:p>
    <w:p w14:paraId="2F3C5934" w14:textId="77777777" w:rsidR="00A32FEC" w:rsidRDefault="00A32FEC" w:rsidP="00A32FEC">
      <w:pPr>
        <w:pStyle w:val="Geenafstand"/>
        <w:numPr>
          <w:ilvl w:val="1"/>
          <w:numId w:val="2"/>
        </w:numPr>
        <w:rPr>
          <w:lang w:val="en-GB"/>
        </w:rPr>
      </w:pPr>
      <w:r>
        <w:rPr>
          <w:lang w:val="en-GB"/>
        </w:rPr>
        <w:t>Dementia: 6 years after age of onset dementia</w:t>
      </w:r>
    </w:p>
    <w:p w14:paraId="3936E98C" w14:textId="77777777" w:rsidR="00A32FEC" w:rsidRPr="007E68F4" w:rsidRDefault="00A32FEC" w:rsidP="00A32FEC">
      <w:pPr>
        <w:pStyle w:val="Geenafstand"/>
        <w:ind w:left="1440"/>
        <w:rPr>
          <w:lang w:val="en-GB"/>
        </w:rPr>
      </w:pPr>
    </w:p>
    <w:p w14:paraId="0AAA688B" w14:textId="77777777" w:rsidR="00A32FEC" w:rsidRPr="00B510BA" w:rsidRDefault="00A32FEC" w:rsidP="00A32FEC">
      <w:pPr>
        <w:pStyle w:val="EndNoteBibliography"/>
        <w:spacing w:after="0"/>
        <w:rPr>
          <w:lang w:val="nl-NL"/>
        </w:rPr>
      </w:pPr>
      <w:r>
        <w:rPr>
          <w:lang w:val="en-GB"/>
        </w:rPr>
        <w:fldChar w:fldCharType="begin"/>
      </w:r>
      <w:r w:rsidRPr="00563C05">
        <w:rPr>
          <w:lang w:val="nl-NL"/>
        </w:rPr>
        <w:instrText xml:space="preserve"> ADDIN EN.REFLIST </w:instrText>
      </w:r>
      <w:r>
        <w:rPr>
          <w:lang w:val="en-GB"/>
        </w:rPr>
        <w:fldChar w:fldCharType="separate"/>
      </w:r>
      <w:r w:rsidRPr="00B510BA">
        <w:rPr>
          <w:lang w:val="nl-NL"/>
        </w:rPr>
        <w:t>1.</w:t>
      </w:r>
      <w:r w:rsidRPr="00B510BA">
        <w:rPr>
          <w:lang w:val="nl-NL"/>
        </w:rPr>
        <w:tab/>
        <w:t>Nederland Z. Ziektelast in de praktijk. De theorie en praktijk van het berekenen van ziektelast bij pakketbeoordelingen.; 2018 07-05-2018.</w:t>
      </w:r>
    </w:p>
    <w:p w14:paraId="46795751" w14:textId="77777777" w:rsidR="00A32FEC" w:rsidRPr="00252B3A" w:rsidRDefault="00A32FEC" w:rsidP="00A32FEC">
      <w:pPr>
        <w:pStyle w:val="EndNoteBibliography"/>
        <w:spacing w:after="0"/>
      </w:pPr>
      <w:r w:rsidRPr="00252B3A">
        <w:t>2.</w:t>
      </w:r>
      <w:r w:rsidRPr="00252B3A">
        <w:tab/>
        <w:t>Handels R, Grimm S, Blokland A, Possemis N, Ramakers I, Sambeth A, et al. The value of maintaining cognition in patients with mild cognitive impairment: The innovation headroom and potential cost-effectiveness of roflumilast. Alzheimers Dement. 2023;19(8):3458-71.</w:t>
      </w:r>
    </w:p>
    <w:p w14:paraId="38178875" w14:textId="77777777" w:rsidR="00A32FEC" w:rsidRPr="00252B3A" w:rsidRDefault="00A32FEC" w:rsidP="00A32FEC">
      <w:pPr>
        <w:pStyle w:val="EndNoteBibliography"/>
      </w:pPr>
      <w:r w:rsidRPr="00252B3A">
        <w:t>3.</w:t>
      </w:r>
      <w:r w:rsidRPr="00252B3A">
        <w:tab/>
        <w:t>Ara R, Brazier JE. Using health state utility values from the general population to approximate baselines in decision analytic models when condition-specific data are not available. Value Health. 2011;14(4):539-45.</w:t>
      </w:r>
    </w:p>
    <w:p w14:paraId="4CDB066C" w14:textId="380DB5E7" w:rsidR="00285029" w:rsidRPr="00A32FEC" w:rsidRDefault="00A32FEC" w:rsidP="00A32FEC">
      <w:pPr>
        <w:pStyle w:val="Geenafstand"/>
        <w:rPr>
          <w:lang w:val="en-GB"/>
        </w:rPr>
      </w:pPr>
      <w:r>
        <w:rPr>
          <w:lang w:val="en-GB"/>
        </w:rPr>
        <w:fldChar w:fldCharType="end"/>
      </w:r>
    </w:p>
    <w:sectPr w:rsidR="00285029" w:rsidRPr="00A32FEC" w:rsidSect="00A32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811D9"/>
    <w:multiLevelType w:val="hybridMultilevel"/>
    <w:tmpl w:val="13D8B4D4"/>
    <w:lvl w:ilvl="0" w:tplc="04130001">
      <w:start w:val="1"/>
      <w:numFmt w:val="bullet"/>
      <w:lvlText w:val=""/>
      <w:lvlJc w:val="left"/>
      <w:pPr>
        <w:ind w:left="720" w:hanging="360"/>
      </w:pPr>
      <w:rPr>
        <w:rFonts w:ascii="Symbol" w:hAnsi="Symbol"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AD84177"/>
    <w:multiLevelType w:val="hybridMultilevel"/>
    <w:tmpl w:val="8B4427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5386000">
    <w:abstractNumId w:val="0"/>
  </w:num>
  <w:num w:numId="2" w16cid:durableId="1901014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FEC"/>
    <w:rsid w:val="000038D7"/>
    <w:rsid w:val="00022787"/>
    <w:rsid w:val="000518EE"/>
    <w:rsid w:val="00067C02"/>
    <w:rsid w:val="000E4104"/>
    <w:rsid w:val="00115C85"/>
    <w:rsid w:val="0014711D"/>
    <w:rsid w:val="00153DAF"/>
    <w:rsid w:val="00197C23"/>
    <w:rsid w:val="001A64F9"/>
    <w:rsid w:val="001E0735"/>
    <w:rsid w:val="00214E51"/>
    <w:rsid w:val="0024260F"/>
    <w:rsid w:val="00285029"/>
    <w:rsid w:val="002F3643"/>
    <w:rsid w:val="00321BDE"/>
    <w:rsid w:val="003847EB"/>
    <w:rsid w:val="003A3F98"/>
    <w:rsid w:val="00417BFF"/>
    <w:rsid w:val="00426CCF"/>
    <w:rsid w:val="0044064C"/>
    <w:rsid w:val="004618E6"/>
    <w:rsid w:val="004940B8"/>
    <w:rsid w:val="004B5179"/>
    <w:rsid w:val="00570D2A"/>
    <w:rsid w:val="00580253"/>
    <w:rsid w:val="00590BE7"/>
    <w:rsid w:val="005921D1"/>
    <w:rsid w:val="005D15EC"/>
    <w:rsid w:val="005F42CA"/>
    <w:rsid w:val="0066077E"/>
    <w:rsid w:val="00664326"/>
    <w:rsid w:val="006644E5"/>
    <w:rsid w:val="006711DA"/>
    <w:rsid w:val="006E57FF"/>
    <w:rsid w:val="00705474"/>
    <w:rsid w:val="007633B1"/>
    <w:rsid w:val="00767D2D"/>
    <w:rsid w:val="007C169C"/>
    <w:rsid w:val="007C2741"/>
    <w:rsid w:val="007C2C9C"/>
    <w:rsid w:val="008248FD"/>
    <w:rsid w:val="008438DA"/>
    <w:rsid w:val="00845AE2"/>
    <w:rsid w:val="008758F3"/>
    <w:rsid w:val="008B7CC5"/>
    <w:rsid w:val="00960A24"/>
    <w:rsid w:val="009642E1"/>
    <w:rsid w:val="009A39D4"/>
    <w:rsid w:val="009B7929"/>
    <w:rsid w:val="009C57B8"/>
    <w:rsid w:val="00A32FEC"/>
    <w:rsid w:val="00A46EB0"/>
    <w:rsid w:val="00A93FCB"/>
    <w:rsid w:val="00AD3CC0"/>
    <w:rsid w:val="00B347A9"/>
    <w:rsid w:val="00B36680"/>
    <w:rsid w:val="00B572DE"/>
    <w:rsid w:val="00B576BE"/>
    <w:rsid w:val="00B77F8B"/>
    <w:rsid w:val="00BC5EDD"/>
    <w:rsid w:val="00BC6DE7"/>
    <w:rsid w:val="00C26912"/>
    <w:rsid w:val="00D01ADA"/>
    <w:rsid w:val="00D106DC"/>
    <w:rsid w:val="00D142F3"/>
    <w:rsid w:val="00D36F33"/>
    <w:rsid w:val="00D37F12"/>
    <w:rsid w:val="00D718BE"/>
    <w:rsid w:val="00D91184"/>
    <w:rsid w:val="00DB4CE2"/>
    <w:rsid w:val="00DF54F8"/>
    <w:rsid w:val="00E0258F"/>
    <w:rsid w:val="00E27C2E"/>
    <w:rsid w:val="00E60146"/>
    <w:rsid w:val="00E865E0"/>
    <w:rsid w:val="00EC4478"/>
    <w:rsid w:val="00ED5DA0"/>
    <w:rsid w:val="00EE2D5F"/>
    <w:rsid w:val="00EE7693"/>
    <w:rsid w:val="00EF13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60DDC3D"/>
  <w15:chartTrackingRefBased/>
  <w15:docId w15:val="{015F8E3E-0350-724E-8586-C23E1B99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32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2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2F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2F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32F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32F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2F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2F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2F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2F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32F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32F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32F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32F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32F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2F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2F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2FEC"/>
    <w:rPr>
      <w:rFonts w:eastAsiaTheme="majorEastAsia" w:cstheme="majorBidi"/>
      <w:color w:val="272727" w:themeColor="text1" w:themeTint="D8"/>
    </w:rPr>
  </w:style>
  <w:style w:type="paragraph" w:styleId="Titel">
    <w:name w:val="Title"/>
    <w:basedOn w:val="Standaard"/>
    <w:next w:val="Standaard"/>
    <w:link w:val="TitelChar"/>
    <w:uiPriority w:val="10"/>
    <w:qFormat/>
    <w:rsid w:val="00A32FE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2F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2FE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2F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2FE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32FEC"/>
    <w:rPr>
      <w:i/>
      <w:iCs/>
      <w:color w:val="404040" w:themeColor="text1" w:themeTint="BF"/>
    </w:rPr>
  </w:style>
  <w:style w:type="paragraph" w:styleId="Lijstalinea">
    <w:name w:val="List Paragraph"/>
    <w:basedOn w:val="Standaard"/>
    <w:uiPriority w:val="34"/>
    <w:qFormat/>
    <w:rsid w:val="00A32FEC"/>
    <w:pPr>
      <w:ind w:left="720"/>
      <w:contextualSpacing/>
    </w:pPr>
  </w:style>
  <w:style w:type="character" w:styleId="Intensievebenadrukking">
    <w:name w:val="Intense Emphasis"/>
    <w:basedOn w:val="Standaardalinea-lettertype"/>
    <w:uiPriority w:val="21"/>
    <w:qFormat/>
    <w:rsid w:val="00A32FEC"/>
    <w:rPr>
      <w:i/>
      <w:iCs/>
      <w:color w:val="0F4761" w:themeColor="accent1" w:themeShade="BF"/>
    </w:rPr>
  </w:style>
  <w:style w:type="paragraph" w:styleId="Duidelijkcitaat">
    <w:name w:val="Intense Quote"/>
    <w:basedOn w:val="Standaard"/>
    <w:next w:val="Standaard"/>
    <w:link w:val="DuidelijkcitaatChar"/>
    <w:uiPriority w:val="30"/>
    <w:qFormat/>
    <w:rsid w:val="00A32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32FEC"/>
    <w:rPr>
      <w:i/>
      <w:iCs/>
      <w:color w:val="0F4761" w:themeColor="accent1" w:themeShade="BF"/>
    </w:rPr>
  </w:style>
  <w:style w:type="character" w:styleId="Intensieveverwijzing">
    <w:name w:val="Intense Reference"/>
    <w:basedOn w:val="Standaardalinea-lettertype"/>
    <w:uiPriority w:val="32"/>
    <w:qFormat/>
    <w:rsid w:val="00A32FEC"/>
    <w:rPr>
      <w:b/>
      <w:bCs/>
      <w:smallCaps/>
      <w:color w:val="0F4761" w:themeColor="accent1" w:themeShade="BF"/>
      <w:spacing w:val="5"/>
    </w:rPr>
  </w:style>
  <w:style w:type="paragraph" w:styleId="Geenafstand">
    <w:name w:val="No Spacing"/>
    <w:link w:val="GeenafstandChar"/>
    <w:uiPriority w:val="1"/>
    <w:qFormat/>
    <w:rsid w:val="00A32FEC"/>
    <w:rPr>
      <w:kern w:val="0"/>
      <w:sz w:val="22"/>
      <w:szCs w:val="22"/>
      <w14:ligatures w14:val="none"/>
    </w:rPr>
  </w:style>
  <w:style w:type="character" w:customStyle="1" w:styleId="GeenafstandChar">
    <w:name w:val="Geen afstand Char"/>
    <w:basedOn w:val="Standaardalinea-lettertype"/>
    <w:link w:val="Geenafstand"/>
    <w:uiPriority w:val="1"/>
    <w:rsid w:val="00A32FEC"/>
    <w:rPr>
      <w:kern w:val="0"/>
      <w:sz w:val="22"/>
      <w:szCs w:val="22"/>
      <w14:ligatures w14:val="none"/>
    </w:rPr>
  </w:style>
  <w:style w:type="paragraph" w:customStyle="1" w:styleId="EndNoteBibliography">
    <w:name w:val="EndNote Bibliography"/>
    <w:basedOn w:val="Standaard"/>
    <w:link w:val="EndNoteBibliographyChar"/>
    <w:rsid w:val="00A32FEC"/>
    <w:pPr>
      <w:spacing w:after="160"/>
    </w:pPr>
    <w:rPr>
      <w:rFonts w:ascii="Calibri" w:hAnsi="Calibri" w:cs="Calibri"/>
      <w:noProof/>
      <w:kern w:val="0"/>
      <w:sz w:val="22"/>
      <w:szCs w:val="22"/>
      <w:lang w:val="en-US"/>
      <w14:ligatures w14:val="none"/>
    </w:rPr>
  </w:style>
  <w:style w:type="character" w:customStyle="1" w:styleId="EndNoteBibliographyChar">
    <w:name w:val="EndNote Bibliography Char"/>
    <w:basedOn w:val="GeenafstandChar"/>
    <w:link w:val="EndNoteBibliography"/>
    <w:rsid w:val="00A32FEC"/>
    <w:rPr>
      <w:rFonts w:ascii="Calibri" w:hAnsi="Calibri" w:cs="Calibri"/>
      <w:noProof/>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749</Words>
  <Characters>4122</Characters>
  <Application>Microsoft Office Word</Application>
  <DocSecurity>0</DocSecurity>
  <Lines>34</Lines>
  <Paragraphs>9</Paragraphs>
  <ScaleCrop>false</ScaleCrop>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Vermeulen, Robin</dc:creator>
  <cp:keywords/>
  <dc:description/>
  <cp:lastModifiedBy>Vermeulen, Robin</cp:lastModifiedBy>
  <cp:revision>1</cp:revision>
  <dcterms:created xsi:type="dcterms:W3CDTF">2025-08-11T12:11:00Z</dcterms:created>
  <dcterms:modified xsi:type="dcterms:W3CDTF">2025-08-11T12:12:00Z</dcterms:modified>
</cp:coreProperties>
</file>