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2BFD" w14:textId="1EC97976" w:rsidR="00EA6FA8" w:rsidRPr="0024636D" w:rsidRDefault="00EA6FA8" w:rsidP="00EA6FA8">
      <w:pPr>
        <w:spacing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4636D">
        <w:rPr>
          <w:rFonts w:ascii="Times New Roman" w:hAnsi="Times New Roman" w:cs="Times New Roman"/>
          <w:b/>
          <w:noProof/>
          <w:sz w:val="24"/>
          <w:szCs w:val="24"/>
        </w:rPr>
        <w:t xml:space="preserve">Supplementary Table </w:t>
      </w:r>
      <w:r>
        <w:rPr>
          <w:rFonts w:ascii="Times New Roman" w:hAnsi="Times New Roman" w:cs="Times New Roman"/>
          <w:b/>
          <w:noProof/>
          <w:sz w:val="24"/>
          <w:szCs w:val="24"/>
        </w:rPr>
        <w:t>1</w:t>
      </w:r>
      <w:r w:rsidRPr="0024636D">
        <w:rPr>
          <w:rFonts w:ascii="Times New Roman" w:hAnsi="Times New Roman" w:cs="Times New Roman"/>
          <w:b/>
          <w:noProof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E052F1">
        <w:rPr>
          <w:rFonts w:ascii="Times New Roman" w:hAnsi="Times New Roman" w:cs="Times New Roman"/>
          <w:noProof/>
          <w:sz w:val="24"/>
          <w:szCs w:val="24"/>
        </w:rPr>
        <w:t xml:space="preserve">Posterior Inclusion Probabilities (PIP) of </w:t>
      </w:r>
      <w:r w:rsidR="0052106F">
        <w:rPr>
          <w:rFonts w:ascii="Times New Roman" w:hAnsi="Times New Roman" w:cs="Times New Roman"/>
          <w:noProof/>
          <w:sz w:val="24"/>
          <w:szCs w:val="24"/>
        </w:rPr>
        <w:t>serum trace elements</w:t>
      </w:r>
      <w:r w:rsidRPr="00E052F1">
        <w:rPr>
          <w:rFonts w:ascii="Times New Roman" w:hAnsi="Times New Roman" w:cs="Times New Roman"/>
          <w:noProof/>
          <w:sz w:val="24"/>
          <w:szCs w:val="24"/>
        </w:rPr>
        <w:t xml:space="preserve"> derived by the </w:t>
      </w:r>
      <w:r w:rsidR="008266CB">
        <w:rPr>
          <w:rFonts w:ascii="Times New Roman" w:hAnsi="Times New Roman" w:cs="Times New Roman"/>
          <w:noProof/>
          <w:sz w:val="24"/>
          <w:szCs w:val="24"/>
        </w:rPr>
        <w:t>BKMR</w:t>
      </w:r>
      <w:r w:rsidRPr="00E052F1">
        <w:rPr>
          <w:rFonts w:ascii="Times New Roman" w:hAnsi="Times New Roman" w:cs="Times New Roman"/>
          <w:noProof/>
          <w:sz w:val="24"/>
          <w:szCs w:val="24"/>
        </w:rPr>
        <w:t xml:space="preserve"> Model</w:t>
      </w: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71"/>
        <w:gridCol w:w="2316"/>
      </w:tblGrid>
      <w:tr w:rsidR="0052106F" w:rsidRPr="00E052F1" w14:paraId="2A373F97" w14:textId="77777777" w:rsidTr="0052106F">
        <w:tc>
          <w:tcPr>
            <w:tcW w:w="871" w:type="dxa"/>
          </w:tcPr>
          <w:p w14:paraId="79EF62D2" w14:textId="77777777" w:rsidR="0052106F" w:rsidRPr="0024636D" w:rsidRDefault="0052106F" w:rsidP="00C3437D">
            <w:pPr>
              <w:contextualSpacing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TE</w:t>
            </w:r>
          </w:p>
        </w:tc>
        <w:tc>
          <w:tcPr>
            <w:tcW w:w="2316" w:type="dxa"/>
          </w:tcPr>
          <w:p w14:paraId="6FAF114A" w14:textId="2450DF2A" w:rsidR="0052106F" w:rsidRPr="0024636D" w:rsidRDefault="0052106F" w:rsidP="00C3437D">
            <w:pPr>
              <w:contextualSpacing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E052F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PIP</w:t>
            </w:r>
            <w:r w:rsidR="008266C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*</w:t>
            </w:r>
          </w:p>
        </w:tc>
      </w:tr>
      <w:tr w:rsidR="00C3437D" w:rsidRPr="00E052F1" w14:paraId="24F85DC2" w14:textId="77777777" w:rsidTr="0052106F">
        <w:tc>
          <w:tcPr>
            <w:tcW w:w="871" w:type="dxa"/>
          </w:tcPr>
          <w:p w14:paraId="248F5980" w14:textId="0A323D80" w:rsidR="00C3437D" w:rsidRPr="00E052F1" w:rsidRDefault="00C3437D" w:rsidP="00C3437D">
            <w:pPr>
              <w:contextualSpacing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E052F1">
              <w:rPr>
                <w:rFonts w:ascii="Times New Roman" w:hAnsi="Times New Roman" w:cs="Times New Roman"/>
                <w:noProof/>
                <w:sz w:val="24"/>
                <w:szCs w:val="24"/>
              </w:rPr>
              <w:t>Cu</w:t>
            </w:r>
          </w:p>
        </w:tc>
        <w:tc>
          <w:tcPr>
            <w:tcW w:w="2316" w:type="dxa"/>
          </w:tcPr>
          <w:p w14:paraId="2A694E94" w14:textId="63F31A2B" w:rsidR="00C3437D" w:rsidRPr="00C3437D" w:rsidRDefault="00C3437D" w:rsidP="00C3437D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3437D">
              <w:rPr>
                <w:rFonts w:ascii="Times New Roman" w:hAnsi="Times New Roman" w:cs="Times New Roman"/>
                <w:noProof/>
                <w:sz w:val="24"/>
                <w:szCs w:val="24"/>
              </w:rPr>
              <w:t>0.327</w:t>
            </w:r>
          </w:p>
        </w:tc>
      </w:tr>
      <w:tr w:rsidR="00C3437D" w:rsidRPr="00E052F1" w14:paraId="0981C809" w14:textId="77777777" w:rsidTr="0052106F">
        <w:tc>
          <w:tcPr>
            <w:tcW w:w="871" w:type="dxa"/>
          </w:tcPr>
          <w:p w14:paraId="673194B8" w14:textId="7EDC3BFA" w:rsidR="00C3437D" w:rsidRPr="00E052F1" w:rsidRDefault="00C3437D" w:rsidP="00C3437D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052F1">
              <w:rPr>
                <w:rFonts w:ascii="Times New Roman" w:hAnsi="Times New Roman" w:cs="Times New Roman"/>
                <w:noProof/>
                <w:sz w:val="24"/>
                <w:szCs w:val="24"/>
              </w:rPr>
              <w:t>Fe</w:t>
            </w:r>
          </w:p>
        </w:tc>
        <w:tc>
          <w:tcPr>
            <w:tcW w:w="2316" w:type="dxa"/>
          </w:tcPr>
          <w:p w14:paraId="74234E5A" w14:textId="2C679A98" w:rsidR="00C3437D" w:rsidRPr="006C352D" w:rsidRDefault="00C3437D" w:rsidP="00C3437D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3437D">
              <w:rPr>
                <w:rFonts w:ascii="Times New Roman" w:hAnsi="Times New Roman" w:cs="Times New Roman"/>
                <w:noProof/>
                <w:sz w:val="24"/>
                <w:szCs w:val="24"/>
              </w:rPr>
              <w:t>0.272</w:t>
            </w:r>
          </w:p>
        </w:tc>
      </w:tr>
      <w:tr w:rsidR="00C3437D" w:rsidRPr="00E052F1" w14:paraId="0C5F707A" w14:textId="77777777" w:rsidTr="0052106F">
        <w:tc>
          <w:tcPr>
            <w:tcW w:w="871" w:type="dxa"/>
          </w:tcPr>
          <w:p w14:paraId="52E3C621" w14:textId="36503446" w:rsidR="00C3437D" w:rsidRPr="00E052F1" w:rsidRDefault="00C3437D" w:rsidP="00C3437D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052F1">
              <w:rPr>
                <w:rFonts w:ascii="Times New Roman" w:hAnsi="Times New Roman" w:cs="Times New Roman"/>
                <w:noProof/>
                <w:sz w:val="24"/>
                <w:szCs w:val="24"/>
              </w:rPr>
              <w:t>I</w:t>
            </w:r>
          </w:p>
        </w:tc>
        <w:tc>
          <w:tcPr>
            <w:tcW w:w="2316" w:type="dxa"/>
          </w:tcPr>
          <w:p w14:paraId="0734B70F" w14:textId="00E7E6E6" w:rsidR="00C3437D" w:rsidRPr="006C352D" w:rsidRDefault="00C3437D" w:rsidP="00C3437D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3437D">
              <w:rPr>
                <w:rFonts w:ascii="Times New Roman" w:hAnsi="Times New Roman" w:cs="Times New Roman"/>
                <w:noProof/>
                <w:sz w:val="24"/>
                <w:szCs w:val="24"/>
              </w:rPr>
              <w:t>0.296</w:t>
            </w:r>
          </w:p>
        </w:tc>
      </w:tr>
      <w:tr w:rsidR="00C3437D" w:rsidRPr="00E052F1" w14:paraId="4865301F" w14:textId="77777777" w:rsidTr="0052106F">
        <w:tc>
          <w:tcPr>
            <w:tcW w:w="871" w:type="dxa"/>
          </w:tcPr>
          <w:p w14:paraId="446AAA5F" w14:textId="49311C12" w:rsidR="00C3437D" w:rsidRPr="00E052F1" w:rsidRDefault="00C3437D" w:rsidP="00C3437D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052F1">
              <w:rPr>
                <w:rFonts w:ascii="Times New Roman" w:hAnsi="Times New Roman" w:cs="Times New Roman"/>
                <w:noProof/>
                <w:sz w:val="24"/>
                <w:szCs w:val="24"/>
              </w:rPr>
              <w:t>Mn</w:t>
            </w:r>
          </w:p>
        </w:tc>
        <w:tc>
          <w:tcPr>
            <w:tcW w:w="2316" w:type="dxa"/>
          </w:tcPr>
          <w:p w14:paraId="4B16E53D" w14:textId="01854D4C" w:rsidR="00C3437D" w:rsidRPr="006C352D" w:rsidRDefault="00C3437D" w:rsidP="00C3437D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3437D">
              <w:rPr>
                <w:rFonts w:ascii="Times New Roman" w:hAnsi="Times New Roman" w:cs="Times New Roman"/>
                <w:noProof/>
                <w:sz w:val="24"/>
                <w:szCs w:val="24"/>
              </w:rPr>
              <w:t>0.268</w:t>
            </w:r>
          </w:p>
        </w:tc>
      </w:tr>
      <w:tr w:rsidR="00C3437D" w:rsidRPr="00E052F1" w14:paraId="3B57D9A4" w14:textId="77777777" w:rsidTr="0052106F">
        <w:tc>
          <w:tcPr>
            <w:tcW w:w="871" w:type="dxa"/>
          </w:tcPr>
          <w:p w14:paraId="6CF402BB" w14:textId="7F669236" w:rsidR="00C3437D" w:rsidRPr="00E052F1" w:rsidRDefault="00C3437D" w:rsidP="00C3437D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052F1">
              <w:rPr>
                <w:rFonts w:ascii="Times New Roman" w:hAnsi="Times New Roman" w:cs="Times New Roman"/>
                <w:noProof/>
                <w:sz w:val="24"/>
                <w:szCs w:val="24"/>
              </w:rPr>
              <w:t>Se</w:t>
            </w:r>
          </w:p>
        </w:tc>
        <w:tc>
          <w:tcPr>
            <w:tcW w:w="2316" w:type="dxa"/>
          </w:tcPr>
          <w:p w14:paraId="6819A83B" w14:textId="1535A83D" w:rsidR="00C3437D" w:rsidRPr="006C352D" w:rsidRDefault="00C3437D" w:rsidP="00C3437D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3437D">
              <w:rPr>
                <w:rFonts w:ascii="Times New Roman" w:hAnsi="Times New Roman" w:cs="Times New Roman"/>
                <w:noProof/>
                <w:sz w:val="24"/>
                <w:szCs w:val="24"/>
              </w:rPr>
              <w:t>0.348</w:t>
            </w:r>
          </w:p>
        </w:tc>
      </w:tr>
      <w:tr w:rsidR="00C3437D" w:rsidRPr="00E052F1" w14:paraId="151BE191" w14:textId="77777777" w:rsidTr="0052106F">
        <w:tc>
          <w:tcPr>
            <w:tcW w:w="871" w:type="dxa"/>
          </w:tcPr>
          <w:p w14:paraId="34454C3C" w14:textId="01167C15" w:rsidR="00C3437D" w:rsidRPr="00E052F1" w:rsidRDefault="00C3437D" w:rsidP="00C3437D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052F1">
              <w:rPr>
                <w:rFonts w:ascii="Times New Roman" w:hAnsi="Times New Roman" w:cs="Times New Roman"/>
                <w:noProof/>
                <w:sz w:val="24"/>
                <w:szCs w:val="24"/>
              </w:rPr>
              <w:t>Zn</w:t>
            </w:r>
          </w:p>
        </w:tc>
        <w:tc>
          <w:tcPr>
            <w:tcW w:w="2316" w:type="dxa"/>
          </w:tcPr>
          <w:p w14:paraId="618A6399" w14:textId="4ADF90A1" w:rsidR="00C3437D" w:rsidRPr="006C352D" w:rsidRDefault="00C3437D" w:rsidP="00C3437D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3437D">
              <w:rPr>
                <w:rFonts w:ascii="Times New Roman" w:hAnsi="Times New Roman" w:cs="Times New Roman"/>
                <w:noProof/>
                <w:sz w:val="24"/>
                <w:szCs w:val="24"/>
              </w:rPr>
              <w:t>0.306</w:t>
            </w:r>
          </w:p>
        </w:tc>
      </w:tr>
    </w:tbl>
    <w:p w14:paraId="4DC2C8EE" w14:textId="51E12BEC" w:rsidR="00944CF3" w:rsidRPr="008266CB" w:rsidRDefault="008266CB" w:rsidP="008266CB">
      <w:pPr>
        <w:pStyle w:val="u-mb-24"/>
        <w:spacing w:before="0" w:beforeAutospacing="0" w:after="0" w:afterAutospacing="0"/>
        <w:jc w:val="both"/>
        <w:rPr>
          <w:i/>
          <w:color w:val="222222"/>
          <w:spacing w:val="2"/>
        </w:rPr>
      </w:pPr>
      <w:r>
        <w:rPr>
          <w:i/>
          <w:color w:val="222222"/>
          <w:spacing w:val="2"/>
        </w:rPr>
        <w:t>*</w:t>
      </w:r>
      <w:r w:rsidR="00563CBE" w:rsidRPr="008266CB">
        <w:rPr>
          <w:color w:val="222222"/>
          <w:spacing w:val="2"/>
        </w:rPr>
        <w:t>PIP</w:t>
      </w:r>
      <w:r w:rsidRPr="008266CB">
        <w:rPr>
          <w:color w:val="222222"/>
          <w:spacing w:val="2"/>
        </w:rPr>
        <w:t xml:space="preserve"> values</w:t>
      </w:r>
      <w:r w:rsidR="000B5E8F" w:rsidRPr="008266CB">
        <w:rPr>
          <w:color w:val="222222"/>
          <w:spacing w:val="2"/>
        </w:rPr>
        <w:t xml:space="preserve"> indicate the relative importance of the variables.</w:t>
      </w:r>
    </w:p>
    <w:p w14:paraId="44A3221C" w14:textId="77777777" w:rsidR="00944CF3" w:rsidRDefault="00944CF3" w:rsidP="00C3437D">
      <w:pPr>
        <w:spacing w:line="240" w:lineRule="auto"/>
        <w:rPr>
          <w:rFonts w:ascii="Times New Roman" w:eastAsia="Times New Roman" w:hAnsi="Times New Roman" w:cs="Times New Roman"/>
          <w:b/>
          <w:color w:val="222222"/>
          <w:spacing w:val="2"/>
          <w:sz w:val="24"/>
          <w:szCs w:val="24"/>
          <w:lang w:eastAsia="en-AU"/>
        </w:rPr>
      </w:pPr>
      <w:r>
        <w:rPr>
          <w:b/>
          <w:color w:val="222222"/>
          <w:spacing w:val="2"/>
        </w:rPr>
        <w:br w:type="page"/>
      </w:r>
    </w:p>
    <w:p w14:paraId="728A2E89" w14:textId="77777777" w:rsidR="005A43CC" w:rsidRDefault="005A43CC">
      <w:pPr>
        <w:rPr>
          <w:b/>
          <w:color w:val="222222"/>
          <w:spacing w:val="2"/>
        </w:rPr>
        <w:sectPr w:rsidR="005A43CC" w:rsidSect="005A43CC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70BBD6C2" w14:textId="77777777" w:rsidR="0066531C" w:rsidRDefault="0066531C" w:rsidP="00BE6208">
      <w:pPr>
        <w:rPr>
          <w:color w:val="222222"/>
          <w:spacing w:val="2"/>
        </w:rPr>
      </w:pPr>
      <w:r>
        <w:rPr>
          <w:noProof/>
          <w:color w:val="222222"/>
          <w:spacing w:val="2"/>
        </w:rPr>
        <w:lastRenderedPageBreak/>
        <w:drawing>
          <wp:inline distT="0" distB="0" distL="0" distR="0" wp14:anchorId="6780CC43" wp14:editId="4D3FBA85">
            <wp:extent cx="9000000" cy="4391660"/>
            <wp:effectExtent l="0" t="0" r="0" b="889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mp_BKMR_Plots.jpg"/>
                    <pic:cNvPicPr/>
                  </pic:nvPicPr>
                  <pic:blipFill>
                    <a:blip r:embed="rId4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0" cy="439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C6516" w14:textId="7C32765F" w:rsidR="00392377" w:rsidRDefault="00944CF3" w:rsidP="005D38DE">
      <w:pPr>
        <w:pStyle w:val="u-mb-24"/>
        <w:spacing w:before="0" w:beforeAutospacing="0" w:after="0" w:afterAutospacing="0"/>
        <w:jc w:val="both"/>
        <w:rPr>
          <w:color w:val="222222"/>
          <w:spacing w:val="2"/>
        </w:rPr>
      </w:pPr>
      <w:r w:rsidRPr="00E91486">
        <w:rPr>
          <w:b/>
          <w:color w:val="222222"/>
          <w:spacing w:val="2"/>
        </w:rPr>
        <w:t xml:space="preserve">Supplementary Figure </w:t>
      </w:r>
      <w:r w:rsidR="002F2D1B">
        <w:rPr>
          <w:b/>
          <w:color w:val="222222"/>
          <w:spacing w:val="2"/>
        </w:rPr>
        <w:t>1</w:t>
      </w:r>
      <w:r>
        <w:rPr>
          <w:color w:val="222222"/>
          <w:spacing w:val="2"/>
        </w:rPr>
        <w:t xml:space="preserve">. Associations between </w:t>
      </w:r>
      <w:r w:rsidR="008266CB">
        <w:rPr>
          <w:color w:val="222222"/>
          <w:spacing w:val="2"/>
        </w:rPr>
        <w:t>serum trace element</w:t>
      </w:r>
      <w:r>
        <w:rPr>
          <w:color w:val="222222"/>
          <w:spacing w:val="2"/>
        </w:rPr>
        <w:t xml:space="preserve">s and </w:t>
      </w:r>
      <w:r w:rsidR="008266CB">
        <w:rPr>
          <w:color w:val="222222"/>
          <w:spacing w:val="2"/>
        </w:rPr>
        <w:t xml:space="preserve">handgrip strength </w:t>
      </w:r>
      <w:r>
        <w:rPr>
          <w:color w:val="222222"/>
          <w:spacing w:val="2"/>
        </w:rPr>
        <w:t xml:space="preserve">estimated by BKMR method </w:t>
      </w:r>
    </w:p>
    <w:p w14:paraId="73CC879A" w14:textId="77777777" w:rsidR="00F315A8" w:rsidRDefault="00F315A8" w:rsidP="005D38DE">
      <w:pPr>
        <w:pStyle w:val="u-mb-24"/>
        <w:spacing w:before="0" w:beforeAutospacing="0" w:after="0" w:afterAutospacing="0"/>
        <w:jc w:val="both"/>
        <w:rPr>
          <w:color w:val="222222"/>
          <w:spacing w:val="2"/>
          <w:sz w:val="20"/>
          <w:szCs w:val="20"/>
        </w:rPr>
      </w:pPr>
    </w:p>
    <w:p w14:paraId="0E78644B" w14:textId="27EE15F1" w:rsidR="00BB1E93" w:rsidRPr="00F315A8" w:rsidRDefault="0066531C" w:rsidP="005D38DE">
      <w:pPr>
        <w:pStyle w:val="u-mb-24"/>
        <w:spacing w:before="0" w:beforeAutospacing="0" w:after="0" w:afterAutospacing="0"/>
        <w:jc w:val="both"/>
        <w:rPr>
          <w:sz w:val="20"/>
          <w:szCs w:val="20"/>
        </w:rPr>
      </w:pPr>
      <w:r w:rsidRPr="00F315A8">
        <w:rPr>
          <w:color w:val="222222"/>
          <w:spacing w:val="2"/>
          <w:sz w:val="20"/>
          <w:szCs w:val="20"/>
        </w:rPr>
        <w:t>Models were adjusted for age, sex</w:t>
      </w:r>
      <w:r w:rsidRPr="00F315A8">
        <w:rPr>
          <w:sz w:val="20"/>
          <w:szCs w:val="12"/>
        </w:rPr>
        <w:t xml:space="preserve">, </w:t>
      </w:r>
      <w:bookmarkStart w:id="0" w:name="_Hlk207367411"/>
      <w:r w:rsidRPr="00F315A8">
        <w:rPr>
          <w:sz w:val="20"/>
          <w:szCs w:val="12"/>
        </w:rPr>
        <w:t xml:space="preserve">educational attainment, BMI, </w:t>
      </w:r>
      <w:r w:rsidR="00F34C03" w:rsidRPr="00F315A8">
        <w:rPr>
          <w:sz w:val="20"/>
          <w:szCs w:val="12"/>
        </w:rPr>
        <w:t>fat free mass</w:t>
      </w:r>
      <w:r w:rsidRPr="00F315A8">
        <w:rPr>
          <w:sz w:val="20"/>
          <w:szCs w:val="12"/>
        </w:rPr>
        <w:t xml:space="preserve">, smoking status, physical activity, alcohol intake, vitamin and mineral supplement use, </w:t>
      </w:r>
      <w:r w:rsidR="00F34C03" w:rsidRPr="00F315A8">
        <w:rPr>
          <w:sz w:val="20"/>
          <w:szCs w:val="12"/>
        </w:rPr>
        <w:t xml:space="preserve">prevalent CVD, </w:t>
      </w:r>
      <w:r w:rsidRPr="00F315A8">
        <w:rPr>
          <w:sz w:val="20"/>
          <w:szCs w:val="12"/>
        </w:rPr>
        <w:t xml:space="preserve">prevalent hypertension, prevalent </w:t>
      </w:r>
      <w:proofErr w:type="spellStart"/>
      <w:r w:rsidRPr="00F315A8">
        <w:rPr>
          <w:sz w:val="20"/>
          <w:szCs w:val="12"/>
        </w:rPr>
        <w:t>dyslipidemia</w:t>
      </w:r>
      <w:proofErr w:type="spellEnd"/>
      <w:r w:rsidR="00F34C03" w:rsidRPr="00F315A8">
        <w:rPr>
          <w:sz w:val="20"/>
          <w:szCs w:val="12"/>
        </w:rPr>
        <w:t>, antihypertensive treatment and lipid-lowering treatment</w:t>
      </w:r>
      <w:bookmarkEnd w:id="0"/>
      <w:r w:rsidRPr="00F315A8">
        <w:rPr>
          <w:sz w:val="20"/>
          <w:szCs w:val="12"/>
        </w:rPr>
        <w:t>. a) Joint effects of TE mixture</w:t>
      </w:r>
      <w:r w:rsidR="00895A98" w:rsidRPr="00F315A8">
        <w:rPr>
          <w:sz w:val="20"/>
          <w:szCs w:val="12"/>
        </w:rPr>
        <w:t xml:space="preserve"> on</w:t>
      </w:r>
      <w:r w:rsidRPr="00F315A8">
        <w:rPr>
          <w:sz w:val="20"/>
          <w:szCs w:val="12"/>
        </w:rPr>
        <w:t xml:space="preserve"> </w:t>
      </w:r>
      <w:r w:rsidR="000C44EB" w:rsidRPr="00F315A8">
        <w:rPr>
          <w:sz w:val="20"/>
          <w:szCs w:val="12"/>
        </w:rPr>
        <w:t xml:space="preserve">handgrip strength </w:t>
      </w:r>
      <w:r w:rsidRPr="00F315A8">
        <w:rPr>
          <w:sz w:val="20"/>
          <w:szCs w:val="12"/>
        </w:rPr>
        <w:t>at increasing percentiles compared to medians b)</w:t>
      </w:r>
      <w:r w:rsidRPr="00F315A8">
        <w:rPr>
          <w:sz w:val="20"/>
          <w:szCs w:val="20"/>
        </w:rPr>
        <w:t xml:space="preserve"> Bivariate exposure-response functions for each TE among six TE at varying levels (10th, 50th, 90th) of another TE, when other TE are set at their median </w:t>
      </w:r>
      <w:r w:rsidRPr="00F315A8">
        <w:rPr>
          <w:sz w:val="20"/>
          <w:szCs w:val="12"/>
        </w:rPr>
        <w:t xml:space="preserve">c) Univariate exposure-response function between individual TE with </w:t>
      </w:r>
      <w:r w:rsidR="000C44EB" w:rsidRPr="00F315A8">
        <w:rPr>
          <w:sz w:val="20"/>
          <w:szCs w:val="12"/>
        </w:rPr>
        <w:t xml:space="preserve">handgrip strength </w:t>
      </w:r>
      <w:r w:rsidRPr="00F315A8">
        <w:rPr>
          <w:sz w:val="20"/>
          <w:szCs w:val="12"/>
        </w:rPr>
        <w:t xml:space="preserve">with other TE fixed at the corresponding 50th percentiles d) Single-exposure effect of individual TE for an IQR increase on </w:t>
      </w:r>
      <w:r w:rsidR="000C44EB" w:rsidRPr="00F315A8">
        <w:rPr>
          <w:sz w:val="20"/>
          <w:szCs w:val="12"/>
        </w:rPr>
        <w:t xml:space="preserve">handgrip strength </w:t>
      </w:r>
      <w:r w:rsidRPr="00F315A8">
        <w:rPr>
          <w:sz w:val="20"/>
          <w:szCs w:val="12"/>
        </w:rPr>
        <w:t>when other metals are fixed at their 25th, 50th, or 75th percentiles</w:t>
      </w:r>
    </w:p>
    <w:sectPr w:rsidR="00BB1E93" w:rsidRPr="00F315A8" w:rsidSect="005A43CC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31C"/>
    <w:rsid w:val="00056426"/>
    <w:rsid w:val="000B1FB6"/>
    <w:rsid w:val="000B5E8F"/>
    <w:rsid w:val="000C44EB"/>
    <w:rsid w:val="0022761B"/>
    <w:rsid w:val="002F2D1B"/>
    <w:rsid w:val="00331EF4"/>
    <w:rsid w:val="00390636"/>
    <w:rsid w:val="00392377"/>
    <w:rsid w:val="0052106F"/>
    <w:rsid w:val="00563CBE"/>
    <w:rsid w:val="005A43CC"/>
    <w:rsid w:val="005A4E15"/>
    <w:rsid w:val="005D38DE"/>
    <w:rsid w:val="00601BB5"/>
    <w:rsid w:val="00662C50"/>
    <w:rsid w:val="0066531C"/>
    <w:rsid w:val="006C352D"/>
    <w:rsid w:val="00727FAE"/>
    <w:rsid w:val="008266CB"/>
    <w:rsid w:val="00895A98"/>
    <w:rsid w:val="00944CF3"/>
    <w:rsid w:val="009704A3"/>
    <w:rsid w:val="00B07FE0"/>
    <w:rsid w:val="00B2604D"/>
    <w:rsid w:val="00B37CA7"/>
    <w:rsid w:val="00B96F4F"/>
    <w:rsid w:val="00BB1E93"/>
    <w:rsid w:val="00BE6208"/>
    <w:rsid w:val="00C01431"/>
    <w:rsid w:val="00C3437D"/>
    <w:rsid w:val="00D8782A"/>
    <w:rsid w:val="00E102A2"/>
    <w:rsid w:val="00E814F7"/>
    <w:rsid w:val="00EA6FA8"/>
    <w:rsid w:val="00F315A8"/>
    <w:rsid w:val="00F34C03"/>
    <w:rsid w:val="00FC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D3BE6"/>
  <w14:defaultImageDpi w14:val="330"/>
  <w15:chartTrackingRefBased/>
  <w15:docId w15:val="{3975FE6C-1F2A-4441-B1BE-FD1560660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u-mb-24">
    <w:name w:val="u-mb-24"/>
    <w:basedOn w:val="Standard"/>
    <w:link w:val="u-mb-24Char"/>
    <w:rsid w:val="00665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u-mb-24Char">
    <w:name w:val="u-mb-24 Char"/>
    <w:basedOn w:val="Absatz-Standardschriftart"/>
    <w:link w:val="u-mb-24"/>
    <w:rsid w:val="0066531C"/>
    <w:rPr>
      <w:rFonts w:ascii="Times New Roman" w:eastAsia="Times New Roman" w:hAnsi="Times New Roman" w:cs="Times New Roman"/>
      <w:sz w:val="24"/>
      <w:szCs w:val="24"/>
      <w:lang w:eastAsia="en-AU"/>
    </w:rPr>
  </w:style>
  <w:style w:type="table" w:styleId="Tabellenraster">
    <w:name w:val="Table Grid"/>
    <w:basedOn w:val="NormaleTabelle"/>
    <w:uiPriority w:val="39"/>
    <w:rsid w:val="00EA6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944CF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44CF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44CF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44CF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44CF3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4C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4CF3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5210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</Words>
  <Characters>1038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DIfE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Barbaros Eroglu</dc:creator>
  <cp:keywords/>
  <dc:description/>
  <cp:lastModifiedBy>Matthias Schulze</cp:lastModifiedBy>
  <cp:revision>2</cp:revision>
  <dcterms:created xsi:type="dcterms:W3CDTF">2026-01-29T10:05:00Z</dcterms:created>
  <dcterms:modified xsi:type="dcterms:W3CDTF">2026-01-29T10:05:00Z</dcterms:modified>
</cp:coreProperties>
</file>