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0502A39" w14:textId="475ACBC3" w:rsidR="00BF2BD8" w:rsidRDefault="00027BF0">
      <w:r>
        <w:rPr>
          <w:noProof/>
          <w14:ligatures w14:val="standardContextual"/>
        </w:rPr>
        <w:drawing>
          <wp:inline distT="0" distB="0" distL="0" distR="0" wp14:anchorId="774BEA89" wp14:editId="418B70DB">
            <wp:extent cx="5274310" cy="1848485"/>
            <wp:effectExtent l="0" t="0" r="0" b="5715"/>
            <wp:docPr id="7566637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63716" name="图片 7566637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A62B" w14:textId="43554D4D" w:rsidR="005F3C9B" w:rsidRPr="005F3C9B" w:rsidRDefault="005F3C9B" w:rsidP="005F3C9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Supplementary Figure S1. Single-cell clustering and </w:t>
      </w:r>
      <w:r w:rsidR="00A06DE5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assessment of senescence activit</w:t>
      </w:r>
      <w:r w:rsidR="00A06DE5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y</w:t>
      </w: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in ovarian cancer.</w:t>
      </w:r>
    </w:p>
    <w:p w14:paraId="0147CB04" w14:textId="278477FC" w:rsidR="005F3C9B" w:rsidRDefault="005F3C9B" w:rsidP="005F3C9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5F3C9B">
        <w:rPr>
          <w:rFonts w:ascii="Times New Roman" w:eastAsia="宋体" w:hAnsi="Times New Roman" w:cs="Times New Roman"/>
          <w:sz w:val="24"/>
        </w:rPr>
        <w:t>(A) UMAP visualization of ovarian cancer single cells showing 30 unsupervised cellular subclusters. (B) Distribution of AUCell scores for senescence-associated gene activity. The threshold used to classify cells into senescence-active and senescence-silent groups is indicated.</w:t>
      </w:r>
    </w:p>
    <w:p w14:paraId="1FFBC2CF" w14:textId="186D44E3" w:rsidR="00A06DE5" w:rsidRDefault="00A06DE5" w:rsidP="005F3C9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32F86918" w14:textId="77777777" w:rsidR="00A06DE5" w:rsidRPr="005F3C9B" w:rsidRDefault="00A06DE5" w:rsidP="005F3C9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6607EEF4" w14:textId="5966FEF9" w:rsidR="00027BF0" w:rsidRDefault="00027BF0"/>
    <w:p w14:paraId="5F508BB8" w14:textId="48612599" w:rsidR="00027BF0" w:rsidRDefault="00027BF0">
      <w:r>
        <w:rPr>
          <w:rFonts w:hint="eastAsia"/>
          <w:noProof/>
          <w14:ligatures w14:val="standardContextual"/>
        </w:rPr>
        <w:drawing>
          <wp:inline distT="0" distB="0" distL="0" distR="0" wp14:anchorId="4F2D22DD" wp14:editId="5EDFBCF7">
            <wp:extent cx="5274310" cy="1706245"/>
            <wp:effectExtent l="0" t="0" r="0" b="0"/>
            <wp:docPr id="16745387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38796" name="图片 16745387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7010E" w14:textId="3A835A91" w:rsidR="005F3C9B" w:rsidRPr="00A06DE5" w:rsidRDefault="005F3C9B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Figure S2. Consensus clustering and transcriptomic distribution of SAG-based molecular subtypes.</w:t>
      </w: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br/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(A) Consensus matrix heatmap showing the clustering stability of ovarian cancer samples when k = 3.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 xml:space="preserve">(B) 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The c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 xml:space="preserve">umulative distribution function curve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is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used to evaluate the optimal number of clusters.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(C) Principal component analysis showing the transcriptomic distribution of Cluster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A, Cluster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B, and Cluster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C.</w:t>
      </w:r>
    </w:p>
    <w:p w14:paraId="0AE93EAE" w14:textId="3202E199" w:rsidR="00027BF0" w:rsidRDefault="00027BF0"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689B709B" wp14:editId="2C2C13DD">
            <wp:extent cx="5274310" cy="1648460"/>
            <wp:effectExtent l="0" t="0" r="0" b="2540"/>
            <wp:docPr id="3475625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562514" name="图片 3475625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5DAD8" w14:textId="256D9378" w:rsidR="005F3C9B" w:rsidRDefault="005F3C9B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Figure S3. Pairwise overall survival comparisons among SAG-based molecular subtypes.</w:t>
      </w: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br/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(A) Kaplan–Meier analysis comparing overall survival between Cluster A and Cluster B. (B) Kaplan–Meier analysis comparing overall survival between Cluster A and Cluster C. (C) Kaplan–Meier analysis comparing overall survival between Cluster B and Cluster C.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No statistically significant survival difference was observed in the pairwise comparisons, suggesting that SAG-based molecular subtyping mainly reflects biological heterogeneity rather than serving as an independent prognostic classification system.</w:t>
      </w:r>
    </w:p>
    <w:p w14:paraId="77BF2594" w14:textId="7B118770" w:rsid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6A85CA72" w14:textId="29B473DF" w:rsid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0ACE008A" w14:textId="1BF76F66" w:rsid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7E79578B" w14:textId="1020783E" w:rsid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48B1A908" w14:textId="62AE6ED2" w:rsid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58DE631A" w14:textId="668CBD1A" w:rsid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403F746C" w14:textId="77777777" w:rsidR="00A06DE5" w:rsidRPr="00A06DE5" w:rsidRDefault="00A06DE5" w:rsidP="00A06DE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62C2EDEA" w14:textId="67B8716D" w:rsidR="00027BF0" w:rsidRDefault="00027BF0">
      <w:r>
        <w:rPr>
          <w:noProof/>
          <w14:ligatures w14:val="standardContextual"/>
        </w:rPr>
        <w:lastRenderedPageBreak/>
        <w:drawing>
          <wp:inline distT="0" distB="0" distL="0" distR="0" wp14:anchorId="29E44774" wp14:editId="3C566161">
            <wp:extent cx="5274310" cy="1648460"/>
            <wp:effectExtent l="0" t="0" r="0" b="2540"/>
            <wp:docPr id="8862546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254686" name="图片 8862546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C7992" w14:textId="77777777" w:rsidR="005F3C9B" w:rsidRPr="005F3C9B" w:rsidRDefault="005F3C9B" w:rsidP="005F3C9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Supplementary Figure S4. Multivariable Cox regression analysis incorporating BRCA1/2 mutation status.</w:t>
      </w:r>
      <w:r w:rsidRPr="005F3C9B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br/>
      </w:r>
      <w:r w:rsidRPr="005F3C9B">
        <w:rPr>
          <w:rFonts w:ascii="Times New Roman" w:eastAsia="宋体" w:hAnsi="Times New Roman" w:cs="Times New Roman"/>
          <w:color w:val="000000" w:themeColor="text1"/>
          <w:sz w:val="24"/>
        </w:rPr>
        <w:t>Multivariable Cox regression analysis was performed by incorporating the senescence-associated risk score, age, race, tumor stage, grade, new tumor event status, and BRCA1/2 mutation status. The senescence-associated risk score remained independently associated with overall survival after adjustment for BRCA1/2 mutation status and clinicopathological variables.</w:t>
      </w:r>
    </w:p>
    <w:p w14:paraId="62CEA58A" w14:textId="2CB1978B" w:rsidR="00027BF0" w:rsidRPr="005F3C9B" w:rsidRDefault="00027BF0"/>
    <w:p w14:paraId="340F855D" w14:textId="77777777" w:rsidR="00027BF0" w:rsidRDefault="00027BF0"/>
    <w:sectPr w:rsidR="00027B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E21A" w14:textId="77777777" w:rsidR="000B6E22" w:rsidRDefault="000B6E22" w:rsidP="000E5F15">
      <w:r>
        <w:separator/>
      </w:r>
    </w:p>
  </w:endnote>
  <w:endnote w:type="continuationSeparator" w:id="0">
    <w:p w14:paraId="469DBE82" w14:textId="77777777" w:rsidR="000B6E22" w:rsidRDefault="000B6E22" w:rsidP="000E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870F" w14:textId="77777777" w:rsidR="000E5F15" w:rsidRDefault="000E5F1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1A8E" w14:textId="77777777" w:rsidR="000E5F15" w:rsidRDefault="000E5F1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AD1C" w14:textId="77777777" w:rsidR="000E5F15" w:rsidRDefault="000E5F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96A1A" w14:textId="77777777" w:rsidR="000B6E22" w:rsidRDefault="000B6E22" w:rsidP="000E5F15">
      <w:r>
        <w:separator/>
      </w:r>
    </w:p>
  </w:footnote>
  <w:footnote w:type="continuationSeparator" w:id="0">
    <w:p w14:paraId="43964FAC" w14:textId="77777777" w:rsidR="000B6E22" w:rsidRDefault="000B6E22" w:rsidP="000E5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17A8" w14:textId="77777777" w:rsidR="000E5F15" w:rsidRDefault="000E5F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07A6" w14:textId="77777777" w:rsidR="000E5F15" w:rsidRDefault="000E5F1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1215" w14:textId="77777777" w:rsidR="000E5F15" w:rsidRDefault="000E5F1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F1"/>
    <w:rsid w:val="00027BF0"/>
    <w:rsid w:val="000B6E22"/>
    <w:rsid w:val="000E5F15"/>
    <w:rsid w:val="00240640"/>
    <w:rsid w:val="002A7618"/>
    <w:rsid w:val="00534461"/>
    <w:rsid w:val="00565DF5"/>
    <w:rsid w:val="005F3C9B"/>
    <w:rsid w:val="00613F34"/>
    <w:rsid w:val="00705CF1"/>
    <w:rsid w:val="00713077"/>
    <w:rsid w:val="007E318D"/>
    <w:rsid w:val="00805FD7"/>
    <w:rsid w:val="00A06DE5"/>
    <w:rsid w:val="00A86DC0"/>
    <w:rsid w:val="00B57DFC"/>
    <w:rsid w:val="00B65CA9"/>
    <w:rsid w:val="00BF2BD8"/>
    <w:rsid w:val="00CA5A3C"/>
    <w:rsid w:val="00F05734"/>
    <w:rsid w:val="00F23FF3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FB7D"/>
  <w15:chartTrackingRefBased/>
  <w15:docId w15:val="{25F4584C-4898-7D4F-83DC-ACD0AE43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DF5"/>
    <w:pPr>
      <w:widowControl w:val="0"/>
      <w:jc w:val="both"/>
    </w:pPr>
    <w:rPr>
      <w:rFonts w:eastAsia="楷体"/>
      <w:sz w:val="1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3077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13077"/>
    <w:pPr>
      <w:spacing w:before="260" w:after="260"/>
      <w:outlineLvl w:val="1"/>
    </w:pPr>
    <w:rPr>
      <w:rFonts w:asciiTheme="majorHAnsi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077"/>
    <w:rPr>
      <w:rFonts w:eastAsia="楷体"/>
      <w:b/>
      <w:bCs/>
      <w:kern w:val="44"/>
      <w:sz w:val="28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rsid w:val="00713077"/>
    <w:rPr>
      <w:rFonts w:asciiTheme="majorHAnsi" w:eastAsia="楷体" w:hAnsiTheme="majorHAnsi" w:cstheme="majorBidi"/>
      <w:b/>
      <w:bCs/>
      <w:sz w:val="32"/>
      <w:szCs w:val="32"/>
      <w14:ligatures w14:val="none"/>
    </w:rPr>
  </w:style>
  <w:style w:type="paragraph" w:styleId="a3">
    <w:name w:val="Normal (Web)"/>
    <w:basedOn w:val="a"/>
    <w:uiPriority w:val="99"/>
    <w:semiHidden/>
    <w:unhideWhenUsed/>
    <w:rsid w:val="005F3C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5F3C9B"/>
    <w:rPr>
      <w:b/>
      <w:bCs/>
    </w:rPr>
  </w:style>
  <w:style w:type="paragraph" w:styleId="a5">
    <w:name w:val="header"/>
    <w:basedOn w:val="a"/>
    <w:link w:val="a6"/>
    <w:uiPriority w:val="99"/>
    <w:unhideWhenUsed/>
    <w:rsid w:val="000E5F15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6">
    <w:name w:val="页眉 字符"/>
    <w:basedOn w:val="a0"/>
    <w:link w:val="a5"/>
    <w:uiPriority w:val="99"/>
    <w:rsid w:val="000E5F15"/>
    <w:rPr>
      <w:rFonts w:eastAsia="楷体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0E5F15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8">
    <w:name w:val="页脚 字符"/>
    <w:basedOn w:val="a0"/>
    <w:link w:val="a7"/>
    <w:uiPriority w:val="99"/>
    <w:rsid w:val="000E5F15"/>
    <w:rPr>
      <w:rFonts w:eastAsia="楷体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 李</dc:creator>
  <cp:keywords/>
  <dc:description/>
  <cp:lastModifiedBy>媛 李</cp:lastModifiedBy>
  <cp:revision>7</cp:revision>
  <dcterms:created xsi:type="dcterms:W3CDTF">2026-05-07T12:59:00Z</dcterms:created>
  <dcterms:modified xsi:type="dcterms:W3CDTF">2026-05-08T01:18:00Z</dcterms:modified>
</cp:coreProperties>
</file>