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980CA6" w14:textId="77777777" w:rsidR="00FD7DD1" w:rsidRPr="00FD7DD1" w:rsidRDefault="00FD7DD1" w:rsidP="00F352A9">
      <w:pPr>
        <w:pStyle w:val="Inhaltsverzeichnisberschrift"/>
        <w:spacing w:before="0" w:line="360" w:lineRule="auto"/>
        <w:rPr>
          <w:rFonts w:ascii="Times New Roman" w:hAnsi="Times New Roman" w:cs="Times New Roman"/>
          <w:color w:val="auto"/>
          <w:sz w:val="20"/>
          <w:szCs w:val="20"/>
        </w:rPr>
      </w:pPr>
      <w:r w:rsidRPr="00FD7DD1">
        <w:rPr>
          <w:rFonts w:ascii="Times New Roman" w:hAnsi="Times New Roman" w:cs="Times New Roman"/>
          <w:color w:val="auto"/>
          <w:sz w:val="20"/>
          <w:szCs w:val="20"/>
        </w:rPr>
        <w:t>SUPPLEMENT 1. DATA INTERNATIONAL SOURCING SCENARIO</w:t>
      </w:r>
    </w:p>
    <w:p w14:paraId="4E5C2AD2" w14:textId="77777777" w:rsidR="00F352A9" w:rsidRDefault="00F352A9" w:rsidP="00F352A9">
      <w:pPr>
        <w:autoSpaceDE w:val="0"/>
        <w:autoSpaceDN w:val="0"/>
        <w:adjustRightInd w:val="0"/>
        <w:spacing w:after="0" w:line="480" w:lineRule="auto"/>
        <w:jc w:val="center"/>
        <w:rPr>
          <w:rFonts w:ascii="Times New Roman" w:hAnsi="Times New Roman" w:cs="Times New Roman"/>
          <w:sz w:val="20"/>
          <w:szCs w:val="20"/>
          <w:lang w:val="en"/>
        </w:rPr>
      </w:pPr>
    </w:p>
    <w:p w14:paraId="692A0BA7" w14:textId="77777777" w:rsidR="00FD7DD1" w:rsidRPr="00CA3C86" w:rsidRDefault="00FD7DD1" w:rsidP="00FD7DD1">
      <w:pPr>
        <w:spacing w:line="360" w:lineRule="auto"/>
        <w:jc w:val="both"/>
        <w:rPr>
          <w:rFonts w:ascii="Times New Roman" w:hAnsi="Times New Roman" w:cs="Times New Roman"/>
          <w:sz w:val="20"/>
          <w:szCs w:val="20"/>
          <w:lang w:val="nl-NL"/>
        </w:rPr>
      </w:pPr>
    </w:p>
    <w:p w14:paraId="0D0DED39" w14:textId="23DB2A26" w:rsidR="00FD7DD1" w:rsidRPr="005A07F5" w:rsidRDefault="00FD7DD1" w:rsidP="00861854">
      <w:pPr>
        <w:spacing w:after="240" w:line="360" w:lineRule="auto"/>
        <w:jc w:val="both"/>
        <w:rPr>
          <w:rFonts w:ascii="Times New Roman" w:hAnsi="Times New Roman" w:cs="Times New Roman"/>
          <w:b/>
          <w:sz w:val="20"/>
          <w:szCs w:val="20"/>
        </w:rPr>
      </w:pPr>
      <w:r w:rsidRPr="005A07F5">
        <w:rPr>
          <w:rFonts w:ascii="Times New Roman" w:hAnsi="Times New Roman" w:cs="Times New Roman"/>
          <w:b/>
          <w:sz w:val="20"/>
          <w:szCs w:val="20"/>
        </w:rPr>
        <w:t>Section 1.  Environmental LCA International Sourcing</w:t>
      </w:r>
      <w:r w:rsidR="007162CD">
        <w:rPr>
          <w:rFonts w:ascii="Times New Roman" w:hAnsi="Times New Roman" w:cs="Times New Roman"/>
          <w:b/>
          <w:sz w:val="20"/>
          <w:szCs w:val="20"/>
        </w:rPr>
        <w:t xml:space="preserve"> Scenario</w:t>
      </w:r>
    </w:p>
    <w:p w14:paraId="6A52583B" w14:textId="77777777" w:rsidR="00FD7DD1" w:rsidRPr="00FD7DD1" w:rsidRDefault="00FD7DD1" w:rsidP="00FD7DD1">
      <w:pPr>
        <w:spacing w:line="360" w:lineRule="auto"/>
        <w:jc w:val="both"/>
        <w:rPr>
          <w:rFonts w:ascii="Times New Roman" w:hAnsi="Times New Roman" w:cs="Times New Roman"/>
          <w:b/>
          <w:bCs/>
          <w:sz w:val="20"/>
          <w:szCs w:val="20"/>
        </w:rPr>
      </w:pPr>
      <w:r w:rsidRPr="00FD7DD1">
        <w:rPr>
          <w:rFonts w:ascii="Times New Roman" w:hAnsi="Times New Roman" w:cs="Times New Roman"/>
          <w:b/>
          <w:bCs/>
          <w:sz w:val="20"/>
          <w:szCs w:val="20"/>
        </w:rPr>
        <w:t>Inventory Data</w:t>
      </w:r>
    </w:p>
    <w:p w14:paraId="740FB5EF" w14:textId="77777777" w:rsidR="00FD7DD1" w:rsidRPr="00FD7DD1" w:rsidRDefault="002F30BE" w:rsidP="00FD7DD1">
      <w:pPr>
        <w:spacing w:line="360" w:lineRule="auto"/>
        <w:rPr>
          <w:rFonts w:ascii="Times New Roman" w:eastAsiaTheme="majorEastAsia" w:hAnsi="Times New Roman" w:cs="Times New Roman"/>
          <w:b/>
          <w:bCs/>
          <w:sz w:val="20"/>
          <w:szCs w:val="20"/>
        </w:rPr>
      </w:pPr>
      <w:r>
        <w:rPr>
          <w:rFonts w:ascii="Times New Roman" w:hAnsi="Times New Roman" w:cs="Times New Roman"/>
          <w:noProof/>
          <w:sz w:val="20"/>
          <w:szCs w:val="20"/>
          <w:lang w:eastAsia="en-GB"/>
        </w:rPr>
        <w:t>Table 1</w:t>
      </w:r>
      <w:r w:rsidR="00FD7DD1" w:rsidRPr="00FD7DD1">
        <w:rPr>
          <w:rFonts w:ascii="Times New Roman" w:hAnsi="Times New Roman" w:cs="Times New Roman"/>
          <w:noProof/>
          <w:sz w:val="20"/>
          <w:szCs w:val="20"/>
          <w:lang w:eastAsia="en-GB"/>
        </w:rPr>
        <w:t xml:space="preserve"> presents general product data concerning weight and volume of the kitchen set. </w:t>
      </w:r>
    </w:p>
    <w:tbl>
      <w:tblPr>
        <w:tblStyle w:val="Tabellenraster"/>
        <w:tblW w:w="9072" w:type="dxa"/>
        <w:tblInd w:w="10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410"/>
        <w:gridCol w:w="2268"/>
        <w:gridCol w:w="2835"/>
        <w:gridCol w:w="1559"/>
      </w:tblGrid>
      <w:tr w:rsidR="00FD7DD1" w:rsidRPr="00FD7DD1" w14:paraId="72934DF0" w14:textId="77777777" w:rsidTr="00FE5C16">
        <w:tc>
          <w:tcPr>
            <w:tcW w:w="2410" w:type="dxa"/>
            <w:shd w:val="clear" w:color="auto" w:fill="4F81BD" w:themeFill="accent1"/>
          </w:tcPr>
          <w:p w14:paraId="19C37E40" w14:textId="77777777" w:rsidR="00FD7DD1" w:rsidRPr="00FD7DD1" w:rsidRDefault="00FD7DD1" w:rsidP="00FD7DD1">
            <w:pPr>
              <w:autoSpaceDE w:val="0"/>
              <w:autoSpaceDN w:val="0"/>
              <w:adjustRightInd w:val="0"/>
              <w:spacing w:line="276" w:lineRule="auto"/>
              <w:rPr>
                <w:rFonts w:ascii="Times New Roman" w:hAnsi="Times New Roman" w:cs="Times New Roman"/>
                <w:b/>
                <w:sz w:val="20"/>
                <w:szCs w:val="20"/>
              </w:rPr>
            </w:pPr>
            <w:r w:rsidRPr="00FD7DD1">
              <w:rPr>
                <w:rFonts w:ascii="Times New Roman" w:hAnsi="Times New Roman" w:cs="Times New Roman"/>
                <w:b/>
                <w:sz w:val="20"/>
                <w:szCs w:val="20"/>
              </w:rPr>
              <w:t>Component</w:t>
            </w:r>
          </w:p>
        </w:tc>
        <w:tc>
          <w:tcPr>
            <w:tcW w:w="2268" w:type="dxa"/>
            <w:shd w:val="clear" w:color="auto" w:fill="4F81BD" w:themeFill="accent1"/>
          </w:tcPr>
          <w:p w14:paraId="7BCF0A6E" w14:textId="77777777" w:rsidR="00FD7DD1" w:rsidRPr="00FD7DD1" w:rsidRDefault="00FD7DD1" w:rsidP="00FD7DD1">
            <w:pPr>
              <w:autoSpaceDE w:val="0"/>
              <w:autoSpaceDN w:val="0"/>
              <w:adjustRightInd w:val="0"/>
              <w:spacing w:line="276" w:lineRule="auto"/>
              <w:rPr>
                <w:rFonts w:ascii="Times New Roman" w:hAnsi="Times New Roman" w:cs="Times New Roman"/>
                <w:b/>
                <w:sz w:val="20"/>
                <w:szCs w:val="20"/>
              </w:rPr>
            </w:pPr>
            <w:r w:rsidRPr="00FD7DD1">
              <w:rPr>
                <w:rFonts w:ascii="Times New Roman" w:hAnsi="Times New Roman" w:cs="Times New Roman"/>
                <w:b/>
                <w:sz w:val="20"/>
                <w:szCs w:val="20"/>
              </w:rPr>
              <w:t>Material</w:t>
            </w:r>
          </w:p>
        </w:tc>
        <w:tc>
          <w:tcPr>
            <w:tcW w:w="2835" w:type="dxa"/>
            <w:shd w:val="clear" w:color="auto" w:fill="4F81BD" w:themeFill="accent1"/>
          </w:tcPr>
          <w:p w14:paraId="50D00C1B" w14:textId="77777777" w:rsidR="00FD7DD1" w:rsidRPr="00FD7DD1" w:rsidRDefault="00FD7DD1" w:rsidP="00FD7DD1">
            <w:pPr>
              <w:autoSpaceDE w:val="0"/>
              <w:autoSpaceDN w:val="0"/>
              <w:adjustRightInd w:val="0"/>
              <w:spacing w:line="276" w:lineRule="auto"/>
              <w:rPr>
                <w:rFonts w:ascii="Times New Roman" w:hAnsi="Times New Roman" w:cs="Times New Roman"/>
                <w:b/>
                <w:sz w:val="20"/>
                <w:szCs w:val="20"/>
              </w:rPr>
            </w:pPr>
            <w:r w:rsidRPr="00FD7DD1">
              <w:rPr>
                <w:rFonts w:ascii="Times New Roman" w:hAnsi="Times New Roman" w:cs="Times New Roman"/>
                <w:b/>
                <w:sz w:val="20"/>
                <w:szCs w:val="20"/>
              </w:rPr>
              <w:t>Weight</w:t>
            </w:r>
          </w:p>
        </w:tc>
        <w:tc>
          <w:tcPr>
            <w:tcW w:w="1559" w:type="dxa"/>
            <w:shd w:val="clear" w:color="auto" w:fill="4F81BD" w:themeFill="accent1"/>
          </w:tcPr>
          <w:p w14:paraId="586D423F" w14:textId="77777777" w:rsidR="00FD7DD1" w:rsidRPr="00FD7DD1" w:rsidRDefault="00FD7DD1" w:rsidP="00FD7DD1">
            <w:pPr>
              <w:autoSpaceDE w:val="0"/>
              <w:autoSpaceDN w:val="0"/>
              <w:adjustRightInd w:val="0"/>
              <w:spacing w:line="276" w:lineRule="auto"/>
              <w:rPr>
                <w:rFonts w:ascii="Times New Roman" w:hAnsi="Times New Roman" w:cs="Times New Roman"/>
                <w:b/>
                <w:sz w:val="20"/>
                <w:szCs w:val="20"/>
              </w:rPr>
            </w:pPr>
            <w:r w:rsidRPr="00FD7DD1">
              <w:rPr>
                <w:rFonts w:ascii="Times New Roman" w:hAnsi="Times New Roman" w:cs="Times New Roman"/>
                <w:b/>
                <w:sz w:val="20"/>
                <w:szCs w:val="20"/>
              </w:rPr>
              <w:t>Volume</w:t>
            </w:r>
          </w:p>
        </w:tc>
      </w:tr>
      <w:tr w:rsidR="00FD7DD1" w:rsidRPr="00FD7DD1" w14:paraId="5305A2E5" w14:textId="77777777" w:rsidTr="00FE5C16">
        <w:tc>
          <w:tcPr>
            <w:tcW w:w="2410" w:type="dxa"/>
          </w:tcPr>
          <w:p w14:paraId="1821F556"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Kitchen set</w:t>
            </w:r>
          </w:p>
        </w:tc>
        <w:tc>
          <w:tcPr>
            <w:tcW w:w="2268" w:type="dxa"/>
          </w:tcPr>
          <w:p w14:paraId="69CDB58A"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 xml:space="preserve">Mainly Stainless Steel </w:t>
            </w:r>
          </w:p>
        </w:tc>
        <w:tc>
          <w:tcPr>
            <w:tcW w:w="2835" w:type="dxa"/>
            <w:shd w:val="clear" w:color="auto" w:fill="auto"/>
          </w:tcPr>
          <w:p w14:paraId="13BA4C0C"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Net weight 1kg/set</w:t>
            </w:r>
          </w:p>
        </w:tc>
        <w:tc>
          <w:tcPr>
            <w:tcW w:w="1559" w:type="dxa"/>
          </w:tcPr>
          <w:p w14:paraId="6D0424D3"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p>
        </w:tc>
      </w:tr>
      <w:tr w:rsidR="00FD7DD1" w:rsidRPr="00FD7DD1" w14:paraId="6501616A" w14:textId="77777777" w:rsidTr="00FE5C16">
        <w:tc>
          <w:tcPr>
            <w:tcW w:w="2410" w:type="dxa"/>
          </w:tcPr>
          <w:p w14:paraId="1A4708EE"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Packaging</w:t>
            </w:r>
          </w:p>
        </w:tc>
        <w:tc>
          <w:tcPr>
            <w:tcW w:w="2268" w:type="dxa"/>
          </w:tcPr>
          <w:p w14:paraId="322E4EDB"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Double corrugated, export quality cardboard</w:t>
            </w:r>
          </w:p>
        </w:tc>
        <w:tc>
          <w:tcPr>
            <w:tcW w:w="2835" w:type="dxa"/>
            <w:shd w:val="clear" w:color="auto" w:fill="auto"/>
          </w:tcPr>
          <w:p w14:paraId="3593EA78" w14:textId="7773DE73"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Gross weight p</w:t>
            </w:r>
            <w:r w:rsidR="00E76932">
              <w:rPr>
                <w:rFonts w:ascii="Times New Roman" w:hAnsi="Times New Roman" w:cs="Times New Roman"/>
                <w:sz w:val="20"/>
                <w:szCs w:val="20"/>
              </w:rPr>
              <w:t>er export carton with 4 sets: 4.</w:t>
            </w:r>
            <w:r w:rsidRPr="00FD7DD1">
              <w:rPr>
                <w:rFonts w:ascii="Times New Roman" w:hAnsi="Times New Roman" w:cs="Times New Roman"/>
                <w:sz w:val="20"/>
                <w:szCs w:val="20"/>
              </w:rPr>
              <w:t xml:space="preserve">7 kg. </w:t>
            </w:r>
          </w:p>
        </w:tc>
        <w:tc>
          <w:tcPr>
            <w:tcW w:w="1559" w:type="dxa"/>
          </w:tcPr>
          <w:p w14:paraId="0696DF4E" w14:textId="2FF6C348" w:rsidR="00FD7DD1" w:rsidRPr="00FD7DD1" w:rsidRDefault="00E76932" w:rsidP="00FD7DD1">
            <w:pPr>
              <w:autoSpaceDE w:val="0"/>
              <w:autoSpaceDN w:val="0"/>
              <w:adjustRightInd w:val="0"/>
              <w:spacing w:line="276" w:lineRule="auto"/>
              <w:rPr>
                <w:rFonts w:ascii="Times New Roman" w:hAnsi="Times New Roman" w:cs="Times New Roman"/>
                <w:sz w:val="20"/>
                <w:szCs w:val="20"/>
              </w:rPr>
            </w:pPr>
            <w:r>
              <w:rPr>
                <w:rFonts w:ascii="Times New Roman" w:hAnsi="Times New Roman" w:cs="Times New Roman"/>
                <w:sz w:val="20"/>
                <w:szCs w:val="20"/>
              </w:rPr>
              <w:t>0.</w:t>
            </w:r>
            <w:r w:rsidR="00FD7DD1" w:rsidRPr="00FD7DD1">
              <w:rPr>
                <w:rFonts w:ascii="Times New Roman" w:hAnsi="Times New Roman" w:cs="Times New Roman"/>
                <w:sz w:val="20"/>
                <w:szCs w:val="20"/>
              </w:rPr>
              <w:t>022 m</w:t>
            </w:r>
            <w:r w:rsidR="00FD7DD1" w:rsidRPr="00FD7DD1">
              <w:rPr>
                <w:rFonts w:ascii="Times New Roman" w:hAnsi="Times New Roman" w:cs="Times New Roman"/>
                <w:sz w:val="20"/>
                <w:szCs w:val="20"/>
                <w:vertAlign w:val="superscript"/>
              </w:rPr>
              <w:t>3</w:t>
            </w:r>
            <w:r>
              <w:rPr>
                <w:rFonts w:ascii="Times New Roman" w:hAnsi="Times New Roman" w:cs="Times New Roman"/>
                <w:sz w:val="20"/>
                <w:szCs w:val="20"/>
              </w:rPr>
              <w:t xml:space="preserve"> </w:t>
            </w:r>
            <w:r>
              <w:rPr>
                <w:rFonts w:ascii="Times New Roman" w:hAnsi="Times New Roman" w:cs="Times New Roman"/>
                <w:sz w:val="20"/>
                <w:szCs w:val="20"/>
              </w:rPr>
              <w:br/>
              <w:t>(0.3 x 0.3 x 0.</w:t>
            </w:r>
            <w:r w:rsidR="00FD7DD1" w:rsidRPr="00FD7DD1">
              <w:rPr>
                <w:rFonts w:ascii="Times New Roman" w:hAnsi="Times New Roman" w:cs="Times New Roman"/>
                <w:sz w:val="20"/>
                <w:szCs w:val="20"/>
              </w:rPr>
              <w:t>25m.)</w:t>
            </w:r>
          </w:p>
        </w:tc>
      </w:tr>
      <w:tr w:rsidR="00FD7DD1" w:rsidRPr="00FD7DD1" w14:paraId="3D80BE76" w14:textId="77777777" w:rsidTr="00FE5C16">
        <w:tc>
          <w:tcPr>
            <w:tcW w:w="2410" w:type="dxa"/>
          </w:tcPr>
          <w:p w14:paraId="0103148D"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Seal</w:t>
            </w:r>
          </w:p>
        </w:tc>
        <w:tc>
          <w:tcPr>
            <w:tcW w:w="2268" w:type="dxa"/>
          </w:tcPr>
          <w:p w14:paraId="6E380E0E"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Plastic 10 mm straps</w:t>
            </w:r>
          </w:p>
        </w:tc>
        <w:tc>
          <w:tcPr>
            <w:tcW w:w="2835" w:type="dxa"/>
            <w:shd w:val="clear" w:color="auto" w:fill="auto"/>
          </w:tcPr>
          <w:p w14:paraId="77802F10"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w:t>
            </w:r>
          </w:p>
        </w:tc>
        <w:tc>
          <w:tcPr>
            <w:tcW w:w="1559" w:type="dxa"/>
          </w:tcPr>
          <w:p w14:paraId="0B9A677C"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p>
        </w:tc>
      </w:tr>
    </w:tbl>
    <w:p w14:paraId="0F179A79" w14:textId="2DF78771" w:rsidR="00FD7DD1" w:rsidRPr="00F352A9" w:rsidRDefault="00FD7DD1" w:rsidP="00FD7DD1">
      <w:pPr>
        <w:spacing w:line="360" w:lineRule="auto"/>
        <w:jc w:val="both"/>
        <w:rPr>
          <w:rFonts w:ascii="Times New Roman" w:hAnsi="Times New Roman" w:cs="Times New Roman"/>
          <w:b/>
          <w:sz w:val="16"/>
          <w:szCs w:val="16"/>
        </w:rPr>
      </w:pPr>
      <w:r w:rsidRPr="00F352A9">
        <w:rPr>
          <w:rFonts w:ascii="Times New Roman" w:hAnsi="Times New Roman" w:cs="Times New Roman"/>
          <w:b/>
          <w:sz w:val="16"/>
          <w:szCs w:val="16"/>
        </w:rPr>
        <w:t>Table 1 – Weight and volume of kitchen set International Sourcing</w:t>
      </w:r>
      <w:r w:rsidR="003436E5">
        <w:rPr>
          <w:rFonts w:ascii="Times New Roman" w:hAnsi="Times New Roman" w:cs="Times New Roman"/>
          <w:b/>
          <w:sz w:val="16"/>
          <w:szCs w:val="16"/>
        </w:rPr>
        <w:t xml:space="preserve"> </w:t>
      </w:r>
      <w:r w:rsidR="003436E5" w:rsidRPr="006F1FDD">
        <w:rPr>
          <w:rFonts w:ascii="Times New Roman" w:hAnsi="Times New Roman" w:cs="Times New Roman"/>
          <w:b/>
          <w:sz w:val="16"/>
          <w:szCs w:val="16"/>
        </w:rPr>
        <w:t>(Source: UNHCR)</w:t>
      </w:r>
      <w:r w:rsidRPr="00F352A9">
        <w:rPr>
          <w:rFonts w:ascii="Times New Roman" w:hAnsi="Times New Roman" w:cs="Times New Roman"/>
          <w:b/>
          <w:sz w:val="16"/>
          <w:szCs w:val="16"/>
        </w:rPr>
        <w:tab/>
      </w:r>
    </w:p>
    <w:p w14:paraId="178DD320" w14:textId="77777777" w:rsidR="00FD7DD1" w:rsidRPr="00FD7DD1" w:rsidRDefault="00FD7DD1" w:rsidP="00F352A9">
      <w:pPr>
        <w:spacing w:after="120" w:line="360" w:lineRule="auto"/>
        <w:jc w:val="both"/>
        <w:rPr>
          <w:rFonts w:ascii="Times New Roman" w:hAnsi="Times New Roman" w:cs="Times New Roman"/>
          <w:bCs/>
          <w:sz w:val="20"/>
          <w:szCs w:val="20"/>
        </w:rPr>
      </w:pPr>
      <w:r w:rsidRPr="00FD7DD1">
        <w:rPr>
          <w:rFonts w:ascii="Times New Roman" w:hAnsi="Times New Roman" w:cs="Times New Roman"/>
          <w:b/>
          <w:sz w:val="20"/>
          <w:szCs w:val="20"/>
        </w:rPr>
        <w:t>Impact Assessment</w:t>
      </w:r>
      <w:r w:rsidRPr="00FD7DD1">
        <w:rPr>
          <w:rFonts w:ascii="Times New Roman" w:hAnsi="Times New Roman" w:cs="Times New Roman"/>
          <w:b/>
          <w:sz w:val="20"/>
          <w:szCs w:val="20"/>
        </w:rPr>
        <w:tab/>
      </w:r>
    </w:p>
    <w:p w14:paraId="36E92AD2" w14:textId="312A6960" w:rsidR="00FF1A81" w:rsidRDefault="00FD7DD1" w:rsidP="00FD7DD1">
      <w:pPr>
        <w:spacing w:line="360" w:lineRule="auto"/>
        <w:jc w:val="both"/>
        <w:rPr>
          <w:rFonts w:ascii="Times New Roman" w:hAnsi="Times New Roman" w:cs="Times New Roman"/>
          <w:noProof/>
          <w:sz w:val="20"/>
          <w:szCs w:val="20"/>
          <w:lang w:eastAsia="en-GB"/>
        </w:rPr>
      </w:pPr>
      <w:r w:rsidRPr="00FD7DD1">
        <w:rPr>
          <w:rFonts w:ascii="Times New Roman" w:hAnsi="Times New Roman" w:cs="Times New Roman"/>
          <w:noProof/>
          <w:sz w:val="20"/>
          <w:szCs w:val="20"/>
          <w:lang w:eastAsia="en-GB"/>
        </w:rPr>
        <w:t xml:space="preserve">Using the ReCiPe method (See </w:t>
      </w:r>
      <w:r w:rsidR="00FE5C16">
        <w:rPr>
          <w:rFonts w:ascii="Times New Roman" w:hAnsi="Times New Roman" w:cs="Times New Roman"/>
          <w:noProof/>
          <w:sz w:val="20"/>
          <w:szCs w:val="20"/>
          <w:lang w:eastAsia="en-GB"/>
        </w:rPr>
        <w:t>Supplement</w:t>
      </w:r>
      <w:r w:rsidRPr="00FD7DD1">
        <w:rPr>
          <w:rFonts w:ascii="Times New Roman" w:hAnsi="Times New Roman" w:cs="Times New Roman"/>
          <w:noProof/>
          <w:sz w:val="20"/>
          <w:szCs w:val="20"/>
          <w:lang w:eastAsia="en-GB"/>
        </w:rPr>
        <w:t xml:space="preserve"> 3), we</w:t>
      </w:r>
      <w:r w:rsidR="005C5E1E">
        <w:rPr>
          <w:rFonts w:ascii="Times New Roman" w:hAnsi="Times New Roman" w:cs="Times New Roman"/>
          <w:noProof/>
          <w:sz w:val="20"/>
          <w:szCs w:val="20"/>
          <w:lang w:eastAsia="en-GB"/>
        </w:rPr>
        <w:t xml:space="preserve"> analyzed the inventory data </w:t>
      </w:r>
      <w:r w:rsidRPr="00FD7DD1">
        <w:rPr>
          <w:rFonts w:ascii="Times New Roman" w:hAnsi="Times New Roman" w:cs="Times New Roman"/>
          <w:noProof/>
          <w:sz w:val="20"/>
          <w:szCs w:val="20"/>
          <w:lang w:eastAsia="en-GB"/>
        </w:rPr>
        <w:t xml:space="preserve">in order to determine the impacts of </w:t>
      </w:r>
      <w:r w:rsidR="004F7773">
        <w:rPr>
          <w:rFonts w:ascii="Times New Roman" w:hAnsi="Times New Roman" w:cs="Times New Roman"/>
          <w:noProof/>
          <w:sz w:val="20"/>
          <w:szCs w:val="20"/>
          <w:lang w:eastAsia="en-GB"/>
        </w:rPr>
        <w:t>international sourcing</w:t>
      </w:r>
      <w:r w:rsidRPr="00FD7DD1">
        <w:rPr>
          <w:rFonts w:ascii="Times New Roman" w:hAnsi="Times New Roman" w:cs="Times New Roman"/>
          <w:noProof/>
          <w:sz w:val="20"/>
          <w:szCs w:val="20"/>
          <w:lang w:eastAsia="en-GB"/>
        </w:rPr>
        <w:t xml:space="preserve"> (production and transportation)</w:t>
      </w:r>
      <w:r w:rsidR="005C5E1E">
        <w:rPr>
          <w:rFonts w:ascii="Times New Roman" w:hAnsi="Times New Roman" w:cs="Times New Roman"/>
          <w:noProof/>
          <w:sz w:val="20"/>
          <w:szCs w:val="20"/>
          <w:lang w:eastAsia="en-GB"/>
        </w:rPr>
        <w:t xml:space="preserve"> on the environment (</w:t>
      </w:r>
      <w:r w:rsidR="005C5E1E" w:rsidRPr="00FD7DD1">
        <w:rPr>
          <w:rFonts w:ascii="Times New Roman" w:hAnsi="Times New Roman" w:cs="Times New Roman"/>
          <w:noProof/>
          <w:sz w:val="20"/>
          <w:szCs w:val="20"/>
          <w:lang w:eastAsia="en-GB"/>
        </w:rPr>
        <w:t>impact assessment</w:t>
      </w:r>
      <w:r w:rsidR="005C5E1E">
        <w:rPr>
          <w:rFonts w:ascii="Times New Roman" w:hAnsi="Times New Roman" w:cs="Times New Roman"/>
          <w:noProof/>
          <w:sz w:val="20"/>
          <w:szCs w:val="20"/>
          <w:lang w:eastAsia="en-GB"/>
        </w:rPr>
        <w:t>).</w:t>
      </w:r>
      <w:r w:rsidRPr="00FD7DD1">
        <w:rPr>
          <w:rFonts w:ascii="Times New Roman" w:hAnsi="Times New Roman" w:cs="Times New Roman"/>
          <w:noProof/>
          <w:sz w:val="20"/>
          <w:szCs w:val="20"/>
          <w:lang w:eastAsia="en-GB"/>
        </w:rPr>
        <w:t xml:space="preserve"> The figures below </w:t>
      </w:r>
      <w:r w:rsidR="005C5E1E">
        <w:rPr>
          <w:rFonts w:ascii="Times New Roman" w:hAnsi="Times New Roman" w:cs="Times New Roman"/>
          <w:noProof/>
          <w:sz w:val="20"/>
          <w:szCs w:val="20"/>
          <w:lang w:eastAsia="en-GB"/>
        </w:rPr>
        <w:t>present</w:t>
      </w:r>
      <w:r w:rsidRPr="00FD7DD1">
        <w:rPr>
          <w:rFonts w:ascii="Times New Roman" w:hAnsi="Times New Roman" w:cs="Times New Roman"/>
          <w:noProof/>
          <w:sz w:val="20"/>
          <w:szCs w:val="20"/>
          <w:lang w:eastAsia="en-GB"/>
        </w:rPr>
        <w:t xml:space="preserve"> the results of the en</w:t>
      </w:r>
      <w:r w:rsidR="005C5E1E">
        <w:rPr>
          <w:rFonts w:ascii="Times New Roman" w:hAnsi="Times New Roman" w:cs="Times New Roman"/>
          <w:noProof/>
          <w:sz w:val="20"/>
          <w:szCs w:val="20"/>
          <w:lang w:eastAsia="en-GB"/>
        </w:rPr>
        <w:t xml:space="preserve">viornmental impact assessment. These impact categories are described </w:t>
      </w:r>
      <w:r w:rsidRPr="00FD7DD1">
        <w:rPr>
          <w:rFonts w:ascii="Times New Roman" w:hAnsi="Times New Roman" w:cs="Times New Roman"/>
          <w:noProof/>
          <w:sz w:val="20"/>
          <w:szCs w:val="20"/>
          <w:lang w:eastAsia="en-GB"/>
        </w:rPr>
        <w:t xml:space="preserve">in Section 4 of the paper. </w:t>
      </w:r>
      <w:r w:rsidR="00FF1A81">
        <w:rPr>
          <w:rFonts w:ascii="Times New Roman" w:hAnsi="Times New Roman" w:cs="Times New Roman"/>
          <w:noProof/>
          <w:sz w:val="20"/>
          <w:szCs w:val="20"/>
          <w:lang w:eastAsia="en-GB"/>
        </w:rPr>
        <w:t xml:space="preserve">The impact categories are shown in Table 2. </w:t>
      </w:r>
      <w:r w:rsidRPr="00FD7DD1">
        <w:rPr>
          <w:rFonts w:ascii="Times New Roman" w:hAnsi="Times New Roman" w:cs="Times New Roman"/>
          <w:noProof/>
          <w:sz w:val="20"/>
          <w:szCs w:val="20"/>
          <w:lang w:eastAsia="en-GB"/>
        </w:rPr>
        <w:t xml:space="preserve">The background calculations can be found in </w:t>
      </w:r>
      <w:r w:rsidR="00FE5C16">
        <w:rPr>
          <w:rFonts w:ascii="Times New Roman" w:hAnsi="Times New Roman" w:cs="Times New Roman"/>
          <w:noProof/>
          <w:sz w:val="20"/>
          <w:szCs w:val="20"/>
          <w:lang w:eastAsia="en-GB"/>
        </w:rPr>
        <w:t>Supplement</w:t>
      </w:r>
      <w:r w:rsidRPr="00FD7DD1">
        <w:rPr>
          <w:rFonts w:ascii="Times New Roman" w:hAnsi="Times New Roman" w:cs="Times New Roman"/>
          <w:noProof/>
          <w:sz w:val="20"/>
          <w:szCs w:val="20"/>
          <w:lang w:eastAsia="en-GB"/>
        </w:rPr>
        <w:t xml:space="preserve"> 3 (Excelsheet E-LCA). </w:t>
      </w:r>
    </w:p>
    <w:p w14:paraId="43195F2B" w14:textId="77777777" w:rsidR="00FF1A81" w:rsidRDefault="00FF1A81">
      <w:pPr>
        <w:rPr>
          <w:rFonts w:ascii="Times New Roman" w:hAnsi="Times New Roman" w:cs="Times New Roman"/>
          <w:noProof/>
          <w:sz w:val="20"/>
          <w:szCs w:val="20"/>
          <w:lang w:eastAsia="en-GB"/>
        </w:rPr>
      </w:pPr>
      <w:r>
        <w:rPr>
          <w:rFonts w:ascii="Times New Roman" w:hAnsi="Times New Roman" w:cs="Times New Roman"/>
          <w:noProof/>
          <w:sz w:val="20"/>
          <w:szCs w:val="20"/>
          <w:lang w:eastAsia="en-GB"/>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3402"/>
      </w:tblGrid>
      <w:tr w:rsidR="00FF1A81" w14:paraId="55318A91" w14:textId="77777777" w:rsidTr="00FF1A81">
        <w:trPr>
          <w:trHeight w:val="90"/>
        </w:trPr>
        <w:tc>
          <w:tcPr>
            <w:tcW w:w="354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4F81BD" w:themeFill="accent1"/>
            <w:hideMark/>
          </w:tcPr>
          <w:p w14:paraId="36CC997B" w14:textId="77777777" w:rsidR="00FF1A81" w:rsidRDefault="00FF1A81">
            <w:pPr>
              <w:autoSpaceDE w:val="0"/>
              <w:autoSpaceDN w:val="0"/>
              <w:adjustRightInd w:val="0"/>
              <w:spacing w:after="0" w:line="240" w:lineRule="auto"/>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lastRenderedPageBreak/>
              <w:t>Midpoint Impact category</w:t>
            </w:r>
          </w:p>
        </w:tc>
        <w:tc>
          <w:tcPr>
            <w:tcW w:w="3402" w:type="dxa"/>
            <w:tcBorders>
              <w:top w:val="nil"/>
              <w:left w:val="single" w:sz="4" w:space="0" w:color="4F81BD" w:themeColor="accent1"/>
              <w:bottom w:val="single" w:sz="4" w:space="0" w:color="4F81BD" w:themeColor="accent1"/>
              <w:right w:val="nil"/>
            </w:tcBorders>
            <w:shd w:val="clear" w:color="auto" w:fill="4F81BD" w:themeFill="accent1"/>
            <w:hideMark/>
          </w:tcPr>
          <w:p w14:paraId="6228E04B" w14:textId="77777777" w:rsidR="00FF1A81" w:rsidRDefault="00FF1A81">
            <w:pPr>
              <w:autoSpaceDE w:val="0"/>
              <w:autoSpaceDN w:val="0"/>
              <w:adjustRightInd w:val="0"/>
              <w:spacing w:after="0" w:line="240" w:lineRule="auto"/>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Endpoint Impact category</w:t>
            </w:r>
          </w:p>
        </w:tc>
      </w:tr>
      <w:tr w:rsidR="00FF1A81" w14:paraId="3C4F07C0" w14:textId="77777777" w:rsidTr="00FF1A81">
        <w:trPr>
          <w:trHeight w:val="4221"/>
        </w:trPr>
        <w:tc>
          <w:tcPr>
            <w:tcW w:w="354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689DB70A" w14:textId="77777777" w:rsidR="00FF1A81" w:rsidRDefault="00FF1A81">
            <w:pPr>
              <w:autoSpaceDE w:val="0"/>
              <w:autoSpaceDN w:val="0"/>
              <w:adjustRightInd w:val="0"/>
              <w:spacing w:after="0" w:line="240" w:lineRule="auto"/>
              <w:rPr>
                <w:rFonts w:ascii="Times New Roman" w:hAnsi="Times New Roman" w:cs="Times New Roman"/>
                <w:color w:val="000000"/>
                <w:sz w:val="20"/>
                <w:szCs w:val="20"/>
                <w:lang w:val="fr-FR"/>
              </w:rPr>
            </w:pPr>
            <w:r>
              <w:rPr>
                <w:rFonts w:ascii="Times New Roman" w:hAnsi="Times New Roman" w:cs="Times New Roman"/>
                <w:color w:val="000000"/>
                <w:sz w:val="20"/>
                <w:szCs w:val="20"/>
                <w:lang w:val="fr-FR"/>
              </w:rPr>
              <w:t>Climate change  (CC)</w:t>
            </w:r>
          </w:p>
          <w:p w14:paraId="0583D6B9" w14:textId="77777777" w:rsidR="00FF1A81" w:rsidRDefault="00FF1A81">
            <w:pPr>
              <w:autoSpaceDE w:val="0"/>
              <w:autoSpaceDN w:val="0"/>
              <w:adjustRightInd w:val="0"/>
              <w:spacing w:after="0" w:line="240" w:lineRule="auto"/>
              <w:rPr>
                <w:rFonts w:ascii="Times New Roman" w:hAnsi="Times New Roman" w:cs="Times New Roman"/>
                <w:color w:val="000000"/>
                <w:sz w:val="20"/>
                <w:szCs w:val="20"/>
                <w:lang w:val="fr-FR"/>
              </w:rPr>
            </w:pPr>
            <w:r>
              <w:rPr>
                <w:rFonts w:ascii="Times New Roman" w:hAnsi="Times New Roman" w:cs="Times New Roman"/>
                <w:color w:val="000000"/>
                <w:sz w:val="20"/>
                <w:szCs w:val="20"/>
                <w:lang w:val="fr-FR"/>
              </w:rPr>
              <w:t>Ozone depletion  (OZ)</w:t>
            </w:r>
          </w:p>
          <w:p w14:paraId="2DD133C0" w14:textId="77777777" w:rsidR="00FF1A81" w:rsidRDefault="00FF1A81">
            <w:pPr>
              <w:autoSpaceDE w:val="0"/>
              <w:autoSpaceDN w:val="0"/>
              <w:adjustRightInd w:val="0"/>
              <w:spacing w:after="0" w:line="240" w:lineRule="auto"/>
              <w:rPr>
                <w:rFonts w:ascii="Times New Roman" w:hAnsi="Times New Roman" w:cs="Times New Roman"/>
                <w:color w:val="000000"/>
                <w:sz w:val="20"/>
                <w:szCs w:val="20"/>
                <w:lang w:val="fr-FR"/>
              </w:rPr>
            </w:pPr>
            <w:r>
              <w:rPr>
                <w:rFonts w:ascii="Times New Roman" w:hAnsi="Times New Roman" w:cs="Times New Roman"/>
                <w:color w:val="000000"/>
                <w:sz w:val="20"/>
                <w:szCs w:val="20"/>
                <w:lang w:val="fr-FR"/>
              </w:rPr>
              <w:t xml:space="preserve">Terrestrial acidification (TA) </w:t>
            </w:r>
          </w:p>
          <w:p w14:paraId="4DBB1D99" w14:textId="77777777" w:rsidR="00FF1A81" w:rsidRDefault="00FF1A81">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Freshwater eutrophication (FE)</w:t>
            </w:r>
          </w:p>
          <w:p w14:paraId="1E6B500C" w14:textId="77777777" w:rsidR="00FF1A81" w:rsidRDefault="00FF1A81">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Marine eutrophication (ME)</w:t>
            </w:r>
          </w:p>
          <w:p w14:paraId="15EAB18E" w14:textId="77777777" w:rsidR="00FF1A81" w:rsidRDefault="00FF1A81">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Human toxicity (HT)</w:t>
            </w:r>
          </w:p>
          <w:p w14:paraId="67AA5C37" w14:textId="77777777" w:rsidR="00FF1A81" w:rsidRDefault="00FF1A81">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Photochemical oxidant formation (POF)</w:t>
            </w:r>
          </w:p>
          <w:p w14:paraId="0DA09CB3" w14:textId="77777777" w:rsidR="00FF1A81" w:rsidRDefault="00FF1A81">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Particulate matter formation  (PMF)</w:t>
            </w:r>
          </w:p>
          <w:p w14:paraId="65A83606" w14:textId="77777777" w:rsidR="00FF1A81" w:rsidRDefault="00FF1A81">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Terrestrial ecotoxicity (TET)</w:t>
            </w:r>
          </w:p>
          <w:p w14:paraId="012D6A76" w14:textId="77777777" w:rsidR="00FF1A81" w:rsidRDefault="00FF1A81">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Freshwater ecotoxicity (FET)</w:t>
            </w:r>
          </w:p>
          <w:p w14:paraId="4659E205" w14:textId="77777777" w:rsidR="00FF1A81" w:rsidRDefault="00FF1A81">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Marine ecotoxicity (MET)</w:t>
            </w:r>
          </w:p>
          <w:p w14:paraId="0140B9A8" w14:textId="77777777" w:rsidR="00FF1A81" w:rsidRDefault="00FF1A81">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Ionising radiation (IR)</w:t>
            </w:r>
          </w:p>
          <w:p w14:paraId="2B1F06D3" w14:textId="77777777" w:rsidR="00FF1A81" w:rsidRDefault="00FF1A81">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Agricultural land occupation (ALO)</w:t>
            </w:r>
          </w:p>
          <w:p w14:paraId="6055873F" w14:textId="77777777" w:rsidR="00FF1A81" w:rsidRDefault="00FF1A81">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Urban land occupation (ULO)</w:t>
            </w:r>
          </w:p>
          <w:p w14:paraId="4C3262E0" w14:textId="77777777" w:rsidR="00FF1A81" w:rsidRDefault="00FF1A81">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Natural land transformation (NLT)</w:t>
            </w:r>
          </w:p>
          <w:p w14:paraId="44080B95" w14:textId="77777777" w:rsidR="00FF1A81" w:rsidRDefault="00FF1A81">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Water depletion (WD)</w:t>
            </w:r>
          </w:p>
          <w:p w14:paraId="03B135AA" w14:textId="77777777" w:rsidR="00FF1A81" w:rsidRDefault="00FF1A81">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Mineral resource depletion (MRD)</w:t>
            </w:r>
          </w:p>
          <w:p w14:paraId="406468C4" w14:textId="77777777" w:rsidR="00FF1A81" w:rsidRDefault="00FF1A81">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Fossil fuel depletion (FD)</w:t>
            </w:r>
          </w:p>
        </w:tc>
        <w:tc>
          <w:tcPr>
            <w:tcW w:w="340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6713EEE8" w14:textId="77777777" w:rsidR="00FF1A81" w:rsidRDefault="00FF1A81">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Damage to Human Health (HH)</w:t>
            </w:r>
          </w:p>
          <w:p w14:paraId="02C133F8" w14:textId="77777777" w:rsidR="00FF1A81" w:rsidRDefault="00FF1A81">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Damage to Ecosystem Diversity (ED)</w:t>
            </w:r>
          </w:p>
          <w:p w14:paraId="48F363F8" w14:textId="77777777" w:rsidR="00FF1A81" w:rsidRDefault="00FF1A81">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Damage to Resource Availability (RA)</w:t>
            </w:r>
          </w:p>
        </w:tc>
      </w:tr>
    </w:tbl>
    <w:p w14:paraId="254800D4" w14:textId="17155047" w:rsidR="00FF1A81" w:rsidRPr="00FF1A81" w:rsidRDefault="00FF1A81" w:rsidP="00FD7DD1">
      <w:pPr>
        <w:spacing w:line="360" w:lineRule="auto"/>
        <w:jc w:val="both"/>
        <w:rPr>
          <w:rFonts w:ascii="Times New Roman" w:hAnsi="Times New Roman" w:cs="Times New Roman"/>
          <w:noProof/>
          <w:sz w:val="16"/>
          <w:szCs w:val="20"/>
          <w:lang w:val="fr-FR" w:eastAsia="en-GB"/>
        </w:rPr>
      </w:pPr>
      <w:r w:rsidRPr="00A20C79">
        <w:rPr>
          <w:rFonts w:ascii="Times New Roman" w:hAnsi="Times New Roman" w:cs="Times New Roman"/>
          <w:b/>
          <w:sz w:val="16"/>
          <w:lang w:val="fr-FR"/>
        </w:rPr>
        <w:t>Table 2 – Environmental Impact Categories (Goedkoop et al., 2013)</w:t>
      </w:r>
    </w:p>
    <w:p w14:paraId="362096BC" w14:textId="18217CD4" w:rsidR="00081259" w:rsidRDefault="006045B1" w:rsidP="00FD7DD1">
      <w:pPr>
        <w:spacing w:line="360" w:lineRule="auto"/>
        <w:jc w:val="both"/>
        <w:rPr>
          <w:rFonts w:ascii="Times New Roman" w:hAnsi="Times New Roman" w:cs="Times New Roman"/>
          <w:noProof/>
          <w:sz w:val="20"/>
          <w:szCs w:val="20"/>
          <w:lang w:eastAsia="en-GB"/>
        </w:rPr>
      </w:pPr>
      <w:r w:rsidRPr="00FD7DD1">
        <w:rPr>
          <w:rFonts w:ascii="Times New Roman" w:hAnsi="Times New Roman" w:cs="Times New Roman"/>
          <w:noProof/>
          <w:sz w:val="20"/>
          <w:szCs w:val="20"/>
          <w:lang w:eastAsia="en-GB"/>
        </w:rPr>
        <w:t>Figure 1 shows the environmental endpoint impacts of the international sourcing strategy</w:t>
      </w:r>
      <w:r w:rsidR="004F7773">
        <w:rPr>
          <w:rFonts w:ascii="Times New Roman" w:hAnsi="Times New Roman" w:cs="Times New Roman"/>
          <w:noProof/>
          <w:sz w:val="20"/>
          <w:szCs w:val="20"/>
          <w:lang w:eastAsia="en-GB"/>
        </w:rPr>
        <w:t>.</w:t>
      </w:r>
    </w:p>
    <w:p w14:paraId="5BDDA173" w14:textId="08D57A9A" w:rsidR="00F352A9" w:rsidRDefault="00FF1A81" w:rsidP="00EB1958">
      <w:pPr>
        <w:spacing w:after="0" w:line="360" w:lineRule="auto"/>
        <w:jc w:val="center"/>
        <w:rPr>
          <w:rFonts w:ascii="Times New Roman" w:hAnsi="Times New Roman" w:cs="Times New Roman"/>
          <w:noProof/>
          <w:sz w:val="20"/>
          <w:szCs w:val="20"/>
          <w:lang w:eastAsia="en-GB"/>
        </w:rPr>
      </w:pPr>
      <w:r>
        <w:rPr>
          <w:noProof/>
          <w:lang w:val="de-DE" w:eastAsia="de-DE"/>
        </w:rPr>
        <w:drawing>
          <wp:inline distT="0" distB="0" distL="0" distR="0" wp14:anchorId="041BCB17" wp14:editId="66F99294">
            <wp:extent cx="2524125" cy="1847850"/>
            <wp:effectExtent l="0" t="0" r="9525" b="19050"/>
            <wp:docPr id="1"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404FD64" w14:textId="6087AD10" w:rsidR="00081259" w:rsidRPr="00F352A9" w:rsidRDefault="00081259" w:rsidP="00F352A9">
      <w:pPr>
        <w:spacing w:line="360" w:lineRule="auto"/>
        <w:jc w:val="center"/>
        <w:rPr>
          <w:rFonts w:ascii="Times New Roman" w:hAnsi="Times New Roman" w:cs="Times New Roman"/>
          <w:noProof/>
          <w:sz w:val="20"/>
          <w:szCs w:val="20"/>
          <w:lang w:eastAsia="en-GB"/>
        </w:rPr>
      </w:pPr>
      <w:r w:rsidRPr="00F352A9">
        <w:rPr>
          <w:rFonts w:ascii="Times New Roman" w:hAnsi="Times New Roman" w:cs="Times New Roman"/>
          <w:b/>
          <w:sz w:val="16"/>
          <w:szCs w:val="16"/>
        </w:rPr>
        <w:t>Figure 1- Environmental Endpoint Impacts of International Sourcing (based on emissions according to ReCiPe).</w:t>
      </w:r>
    </w:p>
    <w:p w14:paraId="2A1C9CF9" w14:textId="50DC28D1" w:rsidR="00FE5C16" w:rsidRDefault="00FD7DD1" w:rsidP="00FD7DD1">
      <w:pPr>
        <w:spacing w:line="360" w:lineRule="auto"/>
        <w:jc w:val="both"/>
        <w:rPr>
          <w:rFonts w:ascii="Times New Roman" w:hAnsi="Times New Roman" w:cs="Times New Roman"/>
          <w:noProof/>
          <w:sz w:val="20"/>
          <w:szCs w:val="20"/>
          <w:lang w:eastAsia="en-GB"/>
        </w:rPr>
      </w:pPr>
      <w:r w:rsidRPr="00FD7DD1">
        <w:rPr>
          <w:rFonts w:ascii="Times New Roman" w:hAnsi="Times New Roman" w:cs="Times New Roman"/>
          <w:noProof/>
          <w:sz w:val="20"/>
          <w:szCs w:val="20"/>
          <w:lang w:eastAsia="en-GB"/>
        </w:rPr>
        <w:t xml:space="preserve">Figure </w:t>
      </w:r>
      <w:r w:rsidR="00F352A9">
        <w:rPr>
          <w:rFonts w:ascii="Times New Roman" w:hAnsi="Times New Roman" w:cs="Times New Roman"/>
          <w:noProof/>
          <w:sz w:val="20"/>
          <w:szCs w:val="20"/>
          <w:lang w:eastAsia="en-GB"/>
        </w:rPr>
        <w:t>2</w:t>
      </w:r>
      <w:r w:rsidRPr="00FD7DD1">
        <w:rPr>
          <w:rFonts w:ascii="Times New Roman" w:hAnsi="Times New Roman" w:cs="Times New Roman"/>
          <w:noProof/>
          <w:sz w:val="20"/>
          <w:szCs w:val="20"/>
          <w:lang w:eastAsia="en-GB"/>
        </w:rPr>
        <w:t xml:space="preserve"> shows </w:t>
      </w:r>
      <w:r w:rsidR="00DE6918">
        <w:rPr>
          <w:rFonts w:ascii="Times New Roman" w:hAnsi="Times New Roman" w:cs="Times New Roman"/>
          <w:noProof/>
          <w:sz w:val="20"/>
          <w:szCs w:val="20"/>
          <w:lang w:eastAsia="en-GB"/>
        </w:rPr>
        <w:t>how production and transportation phases contribute to</w:t>
      </w:r>
      <w:r w:rsidRPr="00FD7DD1">
        <w:rPr>
          <w:rFonts w:ascii="Times New Roman" w:hAnsi="Times New Roman" w:cs="Times New Roman"/>
          <w:noProof/>
          <w:sz w:val="20"/>
          <w:szCs w:val="20"/>
          <w:lang w:eastAsia="en-GB"/>
        </w:rPr>
        <w:t xml:space="preserve"> environmental endpoint impacts </w:t>
      </w:r>
      <w:r w:rsidR="00DE6918">
        <w:rPr>
          <w:rFonts w:ascii="Times New Roman" w:hAnsi="Times New Roman" w:cs="Times New Roman"/>
          <w:noProof/>
          <w:sz w:val="20"/>
          <w:szCs w:val="20"/>
          <w:lang w:eastAsia="en-GB"/>
        </w:rPr>
        <w:t>in</w:t>
      </w:r>
      <w:r w:rsidRPr="00FD7DD1">
        <w:rPr>
          <w:rFonts w:ascii="Times New Roman" w:hAnsi="Times New Roman" w:cs="Times New Roman"/>
          <w:noProof/>
          <w:sz w:val="20"/>
          <w:szCs w:val="20"/>
          <w:lang w:eastAsia="en-GB"/>
        </w:rPr>
        <w:t xml:space="preserve"> the</w:t>
      </w:r>
      <w:r w:rsidR="00DE6918">
        <w:rPr>
          <w:rFonts w:ascii="Times New Roman" w:hAnsi="Times New Roman" w:cs="Times New Roman"/>
          <w:noProof/>
          <w:sz w:val="20"/>
          <w:szCs w:val="20"/>
          <w:lang w:eastAsia="en-GB"/>
        </w:rPr>
        <w:t xml:space="preserve"> case of</w:t>
      </w:r>
      <w:r w:rsidRPr="00FD7DD1">
        <w:rPr>
          <w:rFonts w:ascii="Times New Roman" w:hAnsi="Times New Roman" w:cs="Times New Roman"/>
          <w:noProof/>
          <w:sz w:val="20"/>
          <w:szCs w:val="20"/>
          <w:lang w:eastAsia="en-GB"/>
        </w:rPr>
        <w:t xml:space="preserve"> international sourcing. We </w:t>
      </w:r>
      <w:r w:rsidR="00DE6918">
        <w:rPr>
          <w:rFonts w:ascii="Times New Roman" w:hAnsi="Times New Roman" w:cs="Times New Roman"/>
          <w:noProof/>
          <w:sz w:val="20"/>
          <w:szCs w:val="20"/>
          <w:lang w:eastAsia="en-GB"/>
        </w:rPr>
        <w:t>observe that the production phase</w:t>
      </w:r>
      <w:r w:rsidRPr="00FD7DD1">
        <w:rPr>
          <w:rFonts w:ascii="Times New Roman" w:hAnsi="Times New Roman" w:cs="Times New Roman"/>
          <w:noProof/>
          <w:sz w:val="20"/>
          <w:szCs w:val="20"/>
          <w:lang w:eastAsia="en-GB"/>
        </w:rPr>
        <w:t xml:space="preserve"> </w:t>
      </w:r>
      <w:r w:rsidR="00DE6918">
        <w:rPr>
          <w:rFonts w:ascii="Times New Roman" w:hAnsi="Times New Roman" w:cs="Times New Roman"/>
          <w:noProof/>
          <w:sz w:val="20"/>
          <w:szCs w:val="20"/>
          <w:lang w:eastAsia="en-GB"/>
        </w:rPr>
        <w:t>is responsible for more</w:t>
      </w:r>
      <w:r w:rsidR="00F35E1F">
        <w:rPr>
          <w:rFonts w:ascii="Times New Roman" w:hAnsi="Times New Roman" w:cs="Times New Roman"/>
          <w:noProof/>
          <w:sz w:val="20"/>
          <w:szCs w:val="20"/>
          <w:lang w:eastAsia="en-GB"/>
        </w:rPr>
        <w:t xml:space="preserve"> than</w:t>
      </w:r>
      <w:r w:rsidRPr="00FD7DD1">
        <w:rPr>
          <w:rFonts w:ascii="Times New Roman" w:hAnsi="Times New Roman" w:cs="Times New Roman"/>
          <w:noProof/>
          <w:sz w:val="20"/>
          <w:szCs w:val="20"/>
          <w:lang w:eastAsia="en-GB"/>
        </w:rPr>
        <w:t xml:space="preserve"> </w:t>
      </w:r>
      <w:r w:rsidR="003A6CAF">
        <w:rPr>
          <w:rFonts w:ascii="Times New Roman" w:hAnsi="Times New Roman" w:cs="Times New Roman"/>
          <w:noProof/>
          <w:sz w:val="20"/>
          <w:szCs w:val="20"/>
          <w:lang w:eastAsia="en-GB"/>
        </w:rPr>
        <w:t>96</w:t>
      </w:r>
      <w:r w:rsidR="00F35E1F">
        <w:rPr>
          <w:rFonts w:ascii="Times New Roman" w:hAnsi="Times New Roman" w:cs="Times New Roman"/>
          <w:noProof/>
          <w:sz w:val="20"/>
          <w:szCs w:val="20"/>
          <w:lang w:eastAsia="en-GB"/>
        </w:rPr>
        <w:t xml:space="preserve">% of impacts </w:t>
      </w:r>
      <w:r w:rsidR="00DE6918">
        <w:rPr>
          <w:rFonts w:ascii="Times New Roman" w:hAnsi="Times New Roman" w:cs="Times New Roman"/>
          <w:noProof/>
          <w:sz w:val="20"/>
          <w:szCs w:val="20"/>
          <w:lang w:eastAsia="en-GB"/>
        </w:rPr>
        <w:t xml:space="preserve">both </w:t>
      </w:r>
      <w:r w:rsidR="00F35E1F">
        <w:rPr>
          <w:rFonts w:ascii="Times New Roman" w:hAnsi="Times New Roman" w:cs="Times New Roman"/>
          <w:noProof/>
          <w:sz w:val="20"/>
          <w:szCs w:val="20"/>
          <w:lang w:eastAsia="en-GB"/>
        </w:rPr>
        <w:t xml:space="preserve">on </w:t>
      </w:r>
      <w:r w:rsidRPr="00FD7DD1">
        <w:rPr>
          <w:rFonts w:ascii="Times New Roman" w:hAnsi="Times New Roman" w:cs="Times New Roman"/>
          <w:noProof/>
          <w:sz w:val="20"/>
          <w:szCs w:val="20"/>
          <w:lang w:eastAsia="en-GB"/>
        </w:rPr>
        <w:t>human health</w:t>
      </w:r>
      <w:r w:rsidR="00F35E1F">
        <w:rPr>
          <w:rFonts w:ascii="Times New Roman" w:hAnsi="Times New Roman" w:cs="Times New Roman"/>
          <w:noProof/>
          <w:sz w:val="20"/>
          <w:szCs w:val="20"/>
          <w:lang w:eastAsia="en-GB"/>
        </w:rPr>
        <w:t xml:space="preserve"> </w:t>
      </w:r>
      <w:r w:rsidR="00DE6918">
        <w:rPr>
          <w:rFonts w:ascii="Times New Roman" w:hAnsi="Times New Roman" w:cs="Times New Roman"/>
          <w:noProof/>
          <w:sz w:val="20"/>
          <w:szCs w:val="20"/>
          <w:lang w:eastAsia="en-GB"/>
        </w:rPr>
        <w:t>and o</w:t>
      </w:r>
      <w:r w:rsidR="00F35E1F">
        <w:rPr>
          <w:rFonts w:ascii="Times New Roman" w:hAnsi="Times New Roman" w:cs="Times New Roman"/>
          <w:noProof/>
          <w:sz w:val="20"/>
          <w:szCs w:val="20"/>
          <w:lang w:eastAsia="en-GB"/>
        </w:rPr>
        <w:t>n ecosystems</w:t>
      </w:r>
      <w:r w:rsidRPr="00FD7DD1">
        <w:rPr>
          <w:rFonts w:ascii="Times New Roman" w:hAnsi="Times New Roman" w:cs="Times New Roman"/>
          <w:noProof/>
          <w:sz w:val="20"/>
          <w:szCs w:val="20"/>
          <w:lang w:eastAsia="en-GB"/>
        </w:rPr>
        <w:t xml:space="preserve">. </w:t>
      </w:r>
    </w:p>
    <w:p w14:paraId="26BEB867" w14:textId="45875287" w:rsidR="00DB7CA3" w:rsidRDefault="00AB772C" w:rsidP="00F352A9">
      <w:pPr>
        <w:spacing w:line="360" w:lineRule="auto"/>
        <w:jc w:val="center"/>
        <w:rPr>
          <w:rFonts w:ascii="Times New Roman" w:hAnsi="Times New Roman" w:cs="Times New Roman"/>
          <w:b/>
          <w:sz w:val="20"/>
          <w:szCs w:val="20"/>
        </w:rPr>
      </w:pPr>
      <w:r>
        <w:rPr>
          <w:noProof/>
          <w:lang w:val="de-DE" w:eastAsia="de-DE"/>
        </w:rPr>
        <w:lastRenderedPageBreak/>
        <w:drawing>
          <wp:inline distT="0" distB="0" distL="0" distR="0" wp14:anchorId="7375D60A" wp14:editId="38F79940">
            <wp:extent cx="4029075" cy="2571750"/>
            <wp:effectExtent l="0" t="0" r="9525" b="19050"/>
            <wp:docPr id="5" name="Grafie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DB7CA3" w:rsidRPr="00FD7DD1">
        <w:rPr>
          <w:rFonts w:ascii="Times New Roman" w:hAnsi="Times New Roman" w:cs="Times New Roman"/>
          <w:sz w:val="20"/>
          <w:szCs w:val="20"/>
        </w:rPr>
        <w:br/>
      </w:r>
      <w:r w:rsidR="00DB7CA3" w:rsidRPr="00F352A9">
        <w:rPr>
          <w:rFonts w:ascii="Times New Roman" w:hAnsi="Times New Roman" w:cs="Times New Roman"/>
          <w:b/>
          <w:sz w:val="16"/>
          <w:szCs w:val="16"/>
        </w:rPr>
        <w:t xml:space="preserve">Figure </w:t>
      </w:r>
      <w:r w:rsidR="00081259" w:rsidRPr="00F352A9">
        <w:rPr>
          <w:rFonts w:ascii="Times New Roman" w:hAnsi="Times New Roman" w:cs="Times New Roman"/>
          <w:b/>
          <w:sz w:val="16"/>
          <w:szCs w:val="16"/>
        </w:rPr>
        <w:t>2</w:t>
      </w:r>
      <w:r w:rsidR="00DB7CA3" w:rsidRPr="00F352A9">
        <w:rPr>
          <w:rFonts w:ascii="Times New Roman" w:hAnsi="Times New Roman" w:cs="Times New Roman"/>
          <w:b/>
          <w:sz w:val="16"/>
          <w:szCs w:val="16"/>
        </w:rPr>
        <w:t xml:space="preserve">- </w:t>
      </w:r>
      <w:r w:rsidR="00081259" w:rsidRPr="00F352A9">
        <w:rPr>
          <w:rFonts w:ascii="Times New Roman" w:hAnsi="Times New Roman" w:cs="Times New Roman"/>
          <w:b/>
          <w:sz w:val="16"/>
          <w:szCs w:val="16"/>
        </w:rPr>
        <w:t>The relative impact of Production and Transportation phase</w:t>
      </w:r>
      <w:r w:rsidR="00DB7CA3" w:rsidRPr="00F352A9">
        <w:rPr>
          <w:rFonts w:ascii="Times New Roman" w:hAnsi="Times New Roman" w:cs="Times New Roman"/>
          <w:b/>
          <w:sz w:val="16"/>
          <w:szCs w:val="16"/>
        </w:rPr>
        <w:t xml:space="preserve"> </w:t>
      </w:r>
      <w:r w:rsidR="00081259" w:rsidRPr="00F352A9">
        <w:rPr>
          <w:rFonts w:ascii="Times New Roman" w:hAnsi="Times New Roman" w:cs="Times New Roman"/>
          <w:b/>
          <w:sz w:val="16"/>
          <w:szCs w:val="16"/>
        </w:rPr>
        <w:t>on Endpoint Impacts</w:t>
      </w:r>
      <w:r w:rsidR="00F352A9" w:rsidRPr="00F352A9">
        <w:rPr>
          <w:rFonts w:ascii="Times New Roman" w:hAnsi="Times New Roman" w:cs="Times New Roman"/>
          <w:b/>
          <w:sz w:val="16"/>
          <w:szCs w:val="16"/>
        </w:rPr>
        <w:t xml:space="preserve">, </w:t>
      </w:r>
      <w:r w:rsidR="00081259" w:rsidRPr="00F352A9">
        <w:rPr>
          <w:rFonts w:ascii="Times New Roman" w:hAnsi="Times New Roman" w:cs="Times New Roman"/>
          <w:b/>
          <w:sz w:val="16"/>
          <w:szCs w:val="16"/>
        </w:rPr>
        <w:t>International Sourcing</w:t>
      </w:r>
    </w:p>
    <w:p w14:paraId="0D894D31" w14:textId="2916C274" w:rsidR="00F352A9" w:rsidRPr="00F352A9" w:rsidRDefault="00F352A9" w:rsidP="00FD7DD1">
      <w:pPr>
        <w:spacing w:line="360" w:lineRule="auto"/>
        <w:jc w:val="both"/>
        <w:rPr>
          <w:rFonts w:ascii="Times New Roman" w:hAnsi="Times New Roman" w:cs="Times New Roman"/>
          <w:noProof/>
          <w:sz w:val="20"/>
          <w:szCs w:val="20"/>
          <w:lang w:eastAsia="en-GB"/>
        </w:rPr>
      </w:pPr>
      <w:r w:rsidRPr="00FD7DD1">
        <w:rPr>
          <w:rFonts w:ascii="Times New Roman" w:hAnsi="Times New Roman" w:cs="Times New Roman"/>
          <w:noProof/>
          <w:sz w:val="20"/>
          <w:szCs w:val="20"/>
          <w:lang w:eastAsia="en-GB"/>
        </w:rPr>
        <w:t xml:space="preserve">Figure </w:t>
      </w:r>
      <w:r>
        <w:rPr>
          <w:rFonts w:ascii="Times New Roman" w:hAnsi="Times New Roman" w:cs="Times New Roman"/>
          <w:noProof/>
          <w:sz w:val="20"/>
          <w:szCs w:val="20"/>
          <w:lang w:eastAsia="en-GB"/>
        </w:rPr>
        <w:t>3</w:t>
      </w:r>
      <w:r w:rsidRPr="00FD7DD1">
        <w:rPr>
          <w:rFonts w:ascii="Times New Roman" w:hAnsi="Times New Roman" w:cs="Times New Roman"/>
          <w:noProof/>
          <w:sz w:val="20"/>
          <w:szCs w:val="20"/>
          <w:lang w:eastAsia="en-GB"/>
        </w:rPr>
        <w:t xml:space="preserve"> shows the</w:t>
      </w:r>
      <w:r>
        <w:rPr>
          <w:rFonts w:ascii="Times New Roman" w:hAnsi="Times New Roman" w:cs="Times New Roman"/>
          <w:noProof/>
          <w:sz w:val="20"/>
          <w:szCs w:val="20"/>
          <w:lang w:eastAsia="en-GB"/>
        </w:rPr>
        <w:t xml:space="preserve"> breakdown of </w:t>
      </w:r>
      <w:r w:rsidRPr="00FD7DD1">
        <w:rPr>
          <w:rFonts w:ascii="Times New Roman" w:hAnsi="Times New Roman" w:cs="Times New Roman"/>
          <w:noProof/>
          <w:sz w:val="20"/>
          <w:szCs w:val="20"/>
          <w:lang w:eastAsia="en-GB"/>
        </w:rPr>
        <w:t xml:space="preserve">environmental midpoint impacts for </w:t>
      </w:r>
      <w:r>
        <w:rPr>
          <w:rFonts w:ascii="Times New Roman" w:hAnsi="Times New Roman" w:cs="Times New Roman"/>
          <w:noProof/>
          <w:sz w:val="20"/>
          <w:szCs w:val="20"/>
          <w:lang w:eastAsia="en-GB"/>
        </w:rPr>
        <w:t xml:space="preserve">production and </w:t>
      </w:r>
      <w:r w:rsidRPr="00FD7DD1">
        <w:rPr>
          <w:rFonts w:ascii="Times New Roman" w:hAnsi="Times New Roman" w:cs="Times New Roman"/>
          <w:noProof/>
          <w:sz w:val="20"/>
          <w:szCs w:val="20"/>
          <w:lang w:eastAsia="en-GB"/>
        </w:rPr>
        <w:t xml:space="preserve">transportation of the international sourcing strategy. The main impact here is clearly climate change. The relative impact on climate change of production and transportation (Figure </w:t>
      </w:r>
      <w:r>
        <w:rPr>
          <w:rFonts w:ascii="Times New Roman" w:hAnsi="Times New Roman" w:cs="Times New Roman"/>
          <w:noProof/>
          <w:sz w:val="20"/>
          <w:szCs w:val="20"/>
          <w:lang w:eastAsia="en-GB"/>
        </w:rPr>
        <w:t>4</w:t>
      </w:r>
      <w:r w:rsidRPr="00FD7DD1">
        <w:rPr>
          <w:rFonts w:ascii="Times New Roman" w:hAnsi="Times New Roman" w:cs="Times New Roman"/>
          <w:noProof/>
          <w:sz w:val="20"/>
          <w:szCs w:val="20"/>
          <w:lang w:eastAsia="en-GB"/>
        </w:rPr>
        <w:t xml:space="preserve">) shows </w:t>
      </w:r>
      <w:r>
        <w:rPr>
          <w:rFonts w:ascii="Times New Roman" w:hAnsi="Times New Roman" w:cs="Times New Roman"/>
          <w:noProof/>
          <w:sz w:val="20"/>
          <w:szCs w:val="20"/>
          <w:lang w:eastAsia="en-GB"/>
        </w:rPr>
        <w:t>again the</w:t>
      </w:r>
      <w:r w:rsidRPr="00FD7DD1">
        <w:rPr>
          <w:rFonts w:ascii="Times New Roman" w:hAnsi="Times New Roman" w:cs="Times New Roman"/>
          <w:noProof/>
          <w:sz w:val="20"/>
          <w:szCs w:val="20"/>
          <w:lang w:eastAsia="en-GB"/>
        </w:rPr>
        <w:t xml:space="preserve"> dominance of production.</w:t>
      </w:r>
      <w:r>
        <w:rPr>
          <w:rFonts w:ascii="Times New Roman" w:hAnsi="Times New Roman" w:cs="Times New Roman"/>
          <w:noProof/>
          <w:sz w:val="20"/>
          <w:szCs w:val="20"/>
          <w:lang w:eastAsia="en-GB"/>
        </w:rPr>
        <w:tab/>
      </w:r>
    </w:p>
    <w:p w14:paraId="7DB506E1" w14:textId="4778D084" w:rsidR="00FE5C16" w:rsidRDefault="00AB772C" w:rsidP="00F352A9">
      <w:pPr>
        <w:spacing w:after="0" w:line="360" w:lineRule="auto"/>
        <w:jc w:val="center"/>
        <w:rPr>
          <w:rFonts w:ascii="Times New Roman" w:hAnsi="Times New Roman" w:cs="Times New Roman"/>
          <w:noProof/>
          <w:sz w:val="20"/>
          <w:szCs w:val="20"/>
          <w:lang w:eastAsia="en-GB"/>
        </w:rPr>
      </w:pPr>
      <w:r>
        <w:rPr>
          <w:noProof/>
          <w:lang w:val="de-DE" w:eastAsia="de-DE"/>
        </w:rPr>
        <w:drawing>
          <wp:inline distT="0" distB="0" distL="0" distR="0" wp14:anchorId="00E44235" wp14:editId="196537D3">
            <wp:extent cx="3619500" cy="2800350"/>
            <wp:effectExtent l="0" t="0" r="19050" b="19050"/>
            <wp:docPr id="6" name="Grafie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4D5E02C" w14:textId="712C3F2F" w:rsidR="00FD7DD1" w:rsidRPr="00F352A9" w:rsidRDefault="00FE5C16" w:rsidP="00F352A9">
      <w:pPr>
        <w:spacing w:line="360" w:lineRule="auto"/>
        <w:jc w:val="center"/>
        <w:rPr>
          <w:rFonts w:ascii="Times New Roman" w:eastAsiaTheme="majorEastAsia" w:hAnsi="Times New Roman" w:cs="Times New Roman"/>
          <w:b/>
          <w:bCs/>
          <w:sz w:val="16"/>
          <w:szCs w:val="16"/>
        </w:rPr>
      </w:pPr>
      <w:r w:rsidRPr="00F352A9">
        <w:rPr>
          <w:rFonts w:ascii="Times New Roman" w:hAnsi="Times New Roman" w:cs="Times New Roman"/>
          <w:b/>
          <w:sz w:val="16"/>
          <w:szCs w:val="16"/>
        </w:rPr>
        <w:t xml:space="preserve">Figure </w:t>
      </w:r>
      <w:r w:rsidR="00F352A9" w:rsidRPr="00F352A9">
        <w:rPr>
          <w:rFonts w:ascii="Times New Roman" w:hAnsi="Times New Roman" w:cs="Times New Roman"/>
          <w:b/>
          <w:sz w:val="16"/>
          <w:szCs w:val="16"/>
        </w:rPr>
        <w:t>3</w:t>
      </w:r>
      <w:r w:rsidRPr="00F352A9">
        <w:rPr>
          <w:rFonts w:ascii="Times New Roman" w:hAnsi="Times New Roman" w:cs="Times New Roman"/>
          <w:b/>
          <w:sz w:val="16"/>
          <w:szCs w:val="16"/>
        </w:rPr>
        <w:t xml:space="preserve"> – Environmental Midpoint Impacts </w:t>
      </w:r>
      <w:r w:rsidR="00CA3C86">
        <w:rPr>
          <w:rFonts w:ascii="Times New Roman" w:hAnsi="Times New Roman" w:cs="Times New Roman"/>
          <w:b/>
          <w:sz w:val="16"/>
          <w:szCs w:val="16"/>
        </w:rPr>
        <w:t>International</w:t>
      </w:r>
      <w:r w:rsidRPr="00F352A9">
        <w:rPr>
          <w:rFonts w:ascii="Times New Roman" w:hAnsi="Times New Roman" w:cs="Times New Roman"/>
          <w:b/>
          <w:sz w:val="16"/>
          <w:szCs w:val="16"/>
        </w:rPr>
        <w:t xml:space="preserve"> Sourcing (based on emissions according to  ReCiPe). </w:t>
      </w:r>
      <w:r w:rsidRPr="00F352A9">
        <w:rPr>
          <w:rFonts w:ascii="Times New Roman" w:hAnsi="Times New Roman" w:cs="Times New Roman"/>
          <w:sz w:val="16"/>
          <w:szCs w:val="16"/>
        </w:rPr>
        <w:br/>
      </w:r>
      <w:r w:rsidR="00AB772C">
        <w:rPr>
          <w:noProof/>
          <w:lang w:val="de-DE" w:eastAsia="de-DE"/>
        </w:rPr>
        <w:drawing>
          <wp:inline distT="0" distB="0" distL="0" distR="0" wp14:anchorId="482C5316" wp14:editId="0B4CBA13">
            <wp:extent cx="2638425" cy="1466850"/>
            <wp:effectExtent l="0" t="0" r="9525" b="19050"/>
            <wp:docPr id="7" name="Grafie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AB772C">
        <w:rPr>
          <w:noProof/>
          <w:lang w:eastAsia="en-GB"/>
        </w:rPr>
        <w:t xml:space="preserve"> </w:t>
      </w:r>
      <w:r w:rsidR="00FD7DD1" w:rsidRPr="00F352A9">
        <w:rPr>
          <w:rFonts w:ascii="Times New Roman" w:hAnsi="Times New Roman" w:cs="Times New Roman"/>
          <w:sz w:val="16"/>
          <w:szCs w:val="16"/>
        </w:rPr>
        <w:br/>
      </w:r>
      <w:r w:rsidR="00FD7DD1" w:rsidRPr="00F352A9">
        <w:rPr>
          <w:rFonts w:ascii="Times New Roman" w:hAnsi="Times New Roman" w:cs="Times New Roman"/>
          <w:b/>
          <w:sz w:val="16"/>
          <w:szCs w:val="16"/>
        </w:rPr>
        <w:t xml:space="preserve">Figure </w:t>
      </w:r>
      <w:r w:rsidR="00F352A9" w:rsidRPr="00F352A9">
        <w:rPr>
          <w:rFonts w:ascii="Times New Roman" w:hAnsi="Times New Roman" w:cs="Times New Roman"/>
          <w:b/>
          <w:sz w:val="16"/>
          <w:szCs w:val="16"/>
        </w:rPr>
        <w:t>4</w:t>
      </w:r>
      <w:r w:rsidR="00FD7DD1" w:rsidRPr="00F352A9">
        <w:rPr>
          <w:rFonts w:ascii="Times New Roman" w:hAnsi="Times New Roman" w:cs="Times New Roman"/>
          <w:b/>
          <w:sz w:val="16"/>
          <w:szCs w:val="16"/>
        </w:rPr>
        <w:t xml:space="preserve"> – The production and transportation relative impact on climate change (based on CO2 emissions according to ReCiPe) International Sourcing.</w:t>
      </w:r>
      <w:r w:rsidR="00FD7DD1" w:rsidRPr="00F352A9">
        <w:rPr>
          <w:rFonts w:ascii="Times New Roman" w:hAnsi="Times New Roman" w:cs="Times New Roman"/>
          <w:sz w:val="16"/>
          <w:szCs w:val="16"/>
        </w:rPr>
        <w:tab/>
      </w:r>
      <w:r w:rsidR="00FD7DD1" w:rsidRPr="00F352A9">
        <w:rPr>
          <w:rFonts w:ascii="Times New Roman" w:hAnsi="Times New Roman" w:cs="Times New Roman"/>
          <w:sz w:val="16"/>
          <w:szCs w:val="16"/>
        </w:rPr>
        <w:br/>
      </w:r>
      <w:r w:rsidR="00FD7DD1" w:rsidRPr="00F352A9">
        <w:rPr>
          <w:rFonts w:ascii="Times New Roman" w:hAnsi="Times New Roman" w:cs="Times New Roman"/>
          <w:sz w:val="16"/>
          <w:szCs w:val="16"/>
        </w:rPr>
        <w:br w:type="page"/>
      </w:r>
    </w:p>
    <w:p w14:paraId="16EE208C" w14:textId="2C70D72B" w:rsidR="00861854" w:rsidRPr="00861854" w:rsidRDefault="00FD7DD1" w:rsidP="00861854">
      <w:pPr>
        <w:pStyle w:val="berschrift1"/>
        <w:spacing w:before="240" w:after="240" w:line="360" w:lineRule="auto"/>
        <w:rPr>
          <w:rFonts w:ascii="Times New Roman" w:hAnsi="Times New Roman" w:cs="Times New Roman"/>
          <w:color w:val="auto"/>
          <w:sz w:val="20"/>
          <w:szCs w:val="20"/>
        </w:rPr>
      </w:pPr>
      <w:r w:rsidRPr="00861854">
        <w:rPr>
          <w:rFonts w:ascii="Times New Roman" w:hAnsi="Times New Roman" w:cs="Times New Roman"/>
          <w:color w:val="auto"/>
          <w:sz w:val="20"/>
          <w:szCs w:val="20"/>
        </w:rPr>
        <w:lastRenderedPageBreak/>
        <w:t>Section 2: Social LCA</w:t>
      </w:r>
    </w:p>
    <w:p w14:paraId="5A3AB579" w14:textId="77777777" w:rsidR="00FD7DD1" w:rsidRPr="00FD7DD1" w:rsidRDefault="00FD7DD1" w:rsidP="00FD7DD1">
      <w:pPr>
        <w:spacing w:line="360" w:lineRule="auto"/>
        <w:jc w:val="both"/>
        <w:rPr>
          <w:rFonts w:ascii="Times New Roman" w:hAnsi="Times New Roman" w:cs="Times New Roman"/>
          <w:b/>
          <w:sz w:val="20"/>
          <w:szCs w:val="20"/>
        </w:rPr>
      </w:pPr>
      <w:r w:rsidRPr="00FD7DD1">
        <w:rPr>
          <w:rStyle w:val="berschrift2Zchn"/>
          <w:rFonts w:ascii="Times New Roman" w:hAnsi="Times New Roman" w:cs="Times New Roman"/>
          <w:color w:val="auto"/>
          <w:sz w:val="20"/>
          <w:szCs w:val="20"/>
        </w:rPr>
        <w:t>Inventory Data</w:t>
      </w:r>
      <w:r w:rsidRPr="00FD7DD1">
        <w:rPr>
          <w:rStyle w:val="berschrift2Zchn"/>
          <w:rFonts w:ascii="Times New Roman" w:hAnsi="Times New Roman" w:cs="Times New Roman"/>
          <w:color w:val="auto"/>
          <w:sz w:val="20"/>
          <w:szCs w:val="20"/>
        </w:rPr>
        <w:tab/>
      </w:r>
      <w:r w:rsidRPr="00FD7DD1">
        <w:rPr>
          <w:rStyle w:val="berschrift2Zchn"/>
          <w:rFonts w:ascii="Times New Roman" w:hAnsi="Times New Roman" w:cs="Times New Roman"/>
          <w:color w:val="auto"/>
          <w:sz w:val="20"/>
          <w:szCs w:val="20"/>
        </w:rPr>
        <w:br/>
      </w:r>
      <w:r w:rsidRPr="00FD7DD1">
        <w:rPr>
          <w:rFonts w:ascii="Times New Roman" w:hAnsi="Times New Roman" w:cs="Times New Roman"/>
          <w:sz w:val="20"/>
          <w:szCs w:val="20"/>
        </w:rPr>
        <w:t xml:space="preserve">Data for the social life cycle assessment has been obtained via online (statistics) databases (amongst others databases of UNICEF and the International Labour Organization (ILO)), and additional company and government online resources. </w:t>
      </w:r>
      <w:r w:rsidRPr="00FD7DD1">
        <w:rPr>
          <w:rFonts w:ascii="Times New Roman" w:hAnsi="Times New Roman" w:cs="Times New Roman"/>
          <w:bCs/>
          <w:sz w:val="20"/>
          <w:szCs w:val="20"/>
        </w:rPr>
        <w:t>Indicators Social-LCA According to UNEP/SETAC (Ciroth &amp; Franze, 2011)</w:t>
      </w:r>
    </w:p>
    <w:p w14:paraId="1950D873" w14:textId="77777777" w:rsidR="00FD7DD1" w:rsidRPr="00FD7DD1" w:rsidRDefault="00FD7DD1" w:rsidP="00FD7DD1">
      <w:pPr>
        <w:spacing w:line="360" w:lineRule="auto"/>
        <w:jc w:val="both"/>
        <w:rPr>
          <w:rFonts w:ascii="Times New Roman" w:hAnsi="Times New Roman" w:cs="Times New Roman"/>
          <w:b/>
          <w:sz w:val="20"/>
          <w:szCs w:val="20"/>
        </w:rPr>
      </w:pPr>
      <w:r w:rsidRPr="00FD7DD1">
        <w:rPr>
          <w:rFonts w:ascii="Times New Roman" w:hAnsi="Times New Roman" w:cs="Times New Roman"/>
          <w:b/>
          <w:sz w:val="20"/>
          <w:szCs w:val="20"/>
        </w:rPr>
        <w:t>Stakeholder group Workers – production in India</w:t>
      </w:r>
    </w:p>
    <w:tbl>
      <w:tblPr>
        <w:tblStyle w:val="Tabellenraster"/>
        <w:tblW w:w="0" w:type="auto"/>
        <w:tblLook w:val="04A0" w:firstRow="1" w:lastRow="0" w:firstColumn="1" w:lastColumn="0" w:noHBand="0" w:noVBand="1"/>
      </w:tblPr>
      <w:tblGrid>
        <w:gridCol w:w="1668"/>
        <w:gridCol w:w="2409"/>
        <w:gridCol w:w="5211"/>
      </w:tblGrid>
      <w:tr w:rsidR="00FD7DD1" w:rsidRPr="00FD7DD1" w14:paraId="748AF467" w14:textId="77777777" w:rsidTr="00FE5C16">
        <w:tc>
          <w:tcPr>
            <w:tcW w:w="1668" w:type="dxa"/>
            <w:tcBorders>
              <w:top w:val="single" w:sz="4" w:space="0" w:color="auto"/>
              <w:left w:val="single" w:sz="4" w:space="0" w:color="auto"/>
              <w:bottom w:val="single" w:sz="4" w:space="0" w:color="auto"/>
              <w:right w:val="single" w:sz="4" w:space="0" w:color="auto"/>
            </w:tcBorders>
            <w:hideMark/>
          </w:tcPr>
          <w:p w14:paraId="4D8C600F" w14:textId="77777777" w:rsidR="00FD7DD1" w:rsidRPr="00FD7DD1" w:rsidRDefault="00FD7DD1" w:rsidP="00FD7DD1">
            <w:pPr>
              <w:spacing w:line="276" w:lineRule="auto"/>
              <w:rPr>
                <w:rFonts w:ascii="Times New Roman" w:hAnsi="Times New Roman" w:cs="Times New Roman"/>
                <w:b/>
                <w:sz w:val="20"/>
                <w:szCs w:val="20"/>
              </w:rPr>
            </w:pPr>
            <w:r w:rsidRPr="00FD7DD1">
              <w:rPr>
                <w:rFonts w:ascii="Times New Roman" w:hAnsi="Times New Roman" w:cs="Times New Roman"/>
                <w:b/>
                <w:sz w:val="20"/>
                <w:szCs w:val="20"/>
              </w:rPr>
              <w:t>Subcategory</w:t>
            </w:r>
          </w:p>
        </w:tc>
        <w:tc>
          <w:tcPr>
            <w:tcW w:w="2409" w:type="dxa"/>
            <w:tcBorders>
              <w:top w:val="single" w:sz="4" w:space="0" w:color="auto"/>
              <w:left w:val="single" w:sz="4" w:space="0" w:color="auto"/>
              <w:bottom w:val="single" w:sz="4" w:space="0" w:color="auto"/>
              <w:right w:val="single" w:sz="4" w:space="0" w:color="auto"/>
            </w:tcBorders>
            <w:hideMark/>
          </w:tcPr>
          <w:p w14:paraId="1D4E06B4" w14:textId="77777777" w:rsidR="00FD7DD1" w:rsidRPr="00FD7DD1" w:rsidRDefault="00FD7DD1" w:rsidP="00FD7DD1">
            <w:pPr>
              <w:spacing w:line="276" w:lineRule="auto"/>
              <w:rPr>
                <w:rFonts w:ascii="Times New Roman" w:hAnsi="Times New Roman" w:cs="Times New Roman"/>
                <w:b/>
                <w:sz w:val="20"/>
                <w:szCs w:val="20"/>
              </w:rPr>
            </w:pPr>
            <w:r w:rsidRPr="00FD7DD1">
              <w:rPr>
                <w:rFonts w:ascii="Times New Roman" w:hAnsi="Times New Roman" w:cs="Times New Roman"/>
                <w:b/>
                <w:sz w:val="20"/>
                <w:szCs w:val="20"/>
              </w:rPr>
              <w:t>Indicator</w:t>
            </w:r>
          </w:p>
        </w:tc>
        <w:tc>
          <w:tcPr>
            <w:tcW w:w="5211" w:type="dxa"/>
            <w:tcBorders>
              <w:top w:val="single" w:sz="4" w:space="0" w:color="auto"/>
              <w:left w:val="single" w:sz="4" w:space="0" w:color="auto"/>
              <w:bottom w:val="single" w:sz="4" w:space="0" w:color="auto"/>
              <w:right w:val="single" w:sz="4" w:space="0" w:color="auto"/>
            </w:tcBorders>
            <w:hideMark/>
          </w:tcPr>
          <w:p w14:paraId="5563E668" w14:textId="77777777" w:rsidR="00FD7DD1" w:rsidRPr="00FD7DD1" w:rsidRDefault="00FD7DD1" w:rsidP="00FD7DD1">
            <w:pPr>
              <w:spacing w:line="276" w:lineRule="auto"/>
              <w:rPr>
                <w:rFonts w:ascii="Times New Roman" w:hAnsi="Times New Roman" w:cs="Times New Roman"/>
                <w:b/>
                <w:sz w:val="20"/>
                <w:szCs w:val="20"/>
              </w:rPr>
            </w:pPr>
            <w:r w:rsidRPr="00FD7DD1">
              <w:rPr>
                <w:rFonts w:ascii="Times New Roman" w:hAnsi="Times New Roman" w:cs="Times New Roman"/>
                <w:b/>
                <w:sz w:val="20"/>
                <w:szCs w:val="20"/>
              </w:rPr>
              <w:t>Status</w:t>
            </w:r>
          </w:p>
        </w:tc>
      </w:tr>
      <w:tr w:rsidR="00FD7DD1" w:rsidRPr="00FD7DD1" w14:paraId="5C374602" w14:textId="77777777" w:rsidTr="00FE5C16">
        <w:tc>
          <w:tcPr>
            <w:tcW w:w="1668" w:type="dxa"/>
            <w:vMerge w:val="restart"/>
            <w:tcBorders>
              <w:top w:val="single" w:sz="4" w:space="0" w:color="auto"/>
              <w:left w:val="single" w:sz="4" w:space="0" w:color="auto"/>
              <w:bottom w:val="single" w:sz="4" w:space="0" w:color="auto"/>
              <w:right w:val="single" w:sz="4" w:space="0" w:color="auto"/>
            </w:tcBorders>
            <w:vAlign w:val="center"/>
            <w:hideMark/>
          </w:tcPr>
          <w:p w14:paraId="11CEFE58" w14:textId="77777777" w:rsidR="00FD7DD1" w:rsidRPr="00FD7DD1" w:rsidRDefault="00FD7DD1" w:rsidP="00FD7DD1">
            <w:pPr>
              <w:spacing w:line="276" w:lineRule="auto"/>
              <w:jc w:val="center"/>
              <w:rPr>
                <w:rFonts w:ascii="Times New Roman" w:hAnsi="Times New Roman" w:cs="Times New Roman"/>
                <w:b/>
                <w:sz w:val="20"/>
                <w:szCs w:val="20"/>
              </w:rPr>
            </w:pPr>
            <w:r w:rsidRPr="00FD7DD1">
              <w:rPr>
                <w:rFonts w:ascii="Times New Roman" w:hAnsi="Times New Roman" w:cs="Times New Roman"/>
                <w:b/>
                <w:sz w:val="20"/>
                <w:szCs w:val="20"/>
              </w:rPr>
              <w:t>Freedom of association and collective bargaining</w:t>
            </w:r>
          </w:p>
        </w:tc>
        <w:tc>
          <w:tcPr>
            <w:tcW w:w="2409" w:type="dxa"/>
            <w:tcBorders>
              <w:top w:val="single" w:sz="4" w:space="0" w:color="auto"/>
              <w:left w:val="single" w:sz="4" w:space="0" w:color="auto"/>
              <w:bottom w:val="single" w:sz="4" w:space="0" w:color="auto"/>
              <w:right w:val="single" w:sz="4" w:space="0" w:color="auto"/>
            </w:tcBorders>
            <w:hideMark/>
          </w:tcPr>
          <w:p w14:paraId="4D00313D" w14:textId="77777777" w:rsidR="00FD7DD1" w:rsidRPr="00FD7DD1" w:rsidRDefault="00FD7DD1" w:rsidP="00FD7DD1">
            <w:pPr>
              <w:spacing w:line="276" w:lineRule="auto"/>
              <w:rPr>
                <w:rFonts w:ascii="Times New Roman" w:hAnsi="Times New Roman" w:cs="Times New Roman"/>
                <w:sz w:val="20"/>
                <w:szCs w:val="20"/>
              </w:rPr>
            </w:pPr>
            <w:r w:rsidRPr="00FD7DD1">
              <w:rPr>
                <w:rFonts w:ascii="Times New Roman" w:hAnsi="Times New Roman" w:cs="Times New Roman"/>
                <w:sz w:val="20"/>
                <w:szCs w:val="20"/>
              </w:rPr>
              <w:t>Evidence of restriction freedom of association and collective bargaining in country/ sector</w:t>
            </w:r>
          </w:p>
        </w:tc>
        <w:tc>
          <w:tcPr>
            <w:tcW w:w="5211" w:type="dxa"/>
            <w:tcBorders>
              <w:top w:val="single" w:sz="4" w:space="0" w:color="auto"/>
              <w:left w:val="single" w:sz="4" w:space="0" w:color="auto"/>
              <w:bottom w:val="single" w:sz="4" w:space="0" w:color="auto"/>
              <w:right w:val="single" w:sz="4" w:space="0" w:color="auto"/>
            </w:tcBorders>
            <w:hideMark/>
          </w:tcPr>
          <w:p w14:paraId="1B6DBEA3" w14:textId="77777777" w:rsidR="00FD7DD1" w:rsidRPr="00FD7DD1" w:rsidRDefault="00FD7DD1" w:rsidP="00FD7DD1">
            <w:pPr>
              <w:spacing w:line="276" w:lineRule="auto"/>
              <w:rPr>
                <w:rFonts w:ascii="Times New Roman" w:hAnsi="Times New Roman" w:cs="Times New Roman"/>
                <w:sz w:val="20"/>
                <w:szCs w:val="20"/>
              </w:rPr>
            </w:pPr>
            <w:r w:rsidRPr="00FD7DD1">
              <w:rPr>
                <w:rFonts w:ascii="Times New Roman" w:hAnsi="Times New Roman" w:cs="Times New Roman"/>
                <w:sz w:val="20"/>
                <w:szCs w:val="20"/>
              </w:rPr>
              <w:t>India did not ratify the corresponding core conventions of the international labor organization C.87&amp;C.98.</w:t>
            </w:r>
            <w:r w:rsidRPr="00FD7DD1">
              <w:rPr>
                <w:rStyle w:val="Funotenzeichen"/>
                <w:rFonts w:ascii="Times New Roman" w:hAnsi="Times New Roman" w:cs="Times New Roman"/>
                <w:sz w:val="20"/>
                <w:szCs w:val="20"/>
              </w:rPr>
              <w:footnoteReference w:id="1"/>
            </w:r>
            <w:r w:rsidRPr="00FD7DD1">
              <w:rPr>
                <w:rFonts w:ascii="Times New Roman" w:hAnsi="Times New Roman" w:cs="Times New Roman"/>
                <w:sz w:val="20"/>
                <w:szCs w:val="20"/>
              </w:rPr>
              <w:t xml:space="preserve"> Though in the Indian Industrial Disputes Act: worker representative committees are described who secure worker-employer relations</w:t>
            </w:r>
            <w:r w:rsidRPr="00FD7DD1">
              <w:rPr>
                <w:rStyle w:val="Funotenzeichen"/>
                <w:rFonts w:ascii="Times New Roman" w:hAnsi="Times New Roman" w:cs="Times New Roman"/>
                <w:sz w:val="20"/>
                <w:szCs w:val="20"/>
              </w:rPr>
              <w:footnoteReference w:id="2"/>
            </w:r>
            <w:r w:rsidRPr="00FD7DD1">
              <w:rPr>
                <w:rFonts w:ascii="Times New Roman" w:hAnsi="Times New Roman" w:cs="Times New Roman"/>
                <w:sz w:val="20"/>
                <w:szCs w:val="20"/>
              </w:rPr>
              <w:t xml:space="preserve">  </w:t>
            </w:r>
          </w:p>
        </w:tc>
      </w:tr>
      <w:tr w:rsidR="00FD7DD1" w:rsidRPr="00FD7DD1" w14:paraId="332BC471" w14:textId="77777777" w:rsidTr="00FE5C16">
        <w:tc>
          <w:tcPr>
            <w:tcW w:w="0" w:type="auto"/>
            <w:vMerge/>
            <w:tcBorders>
              <w:top w:val="single" w:sz="4" w:space="0" w:color="auto"/>
              <w:left w:val="single" w:sz="4" w:space="0" w:color="auto"/>
              <w:bottom w:val="single" w:sz="4" w:space="0" w:color="auto"/>
              <w:right w:val="single" w:sz="4" w:space="0" w:color="auto"/>
            </w:tcBorders>
            <w:vAlign w:val="center"/>
            <w:hideMark/>
          </w:tcPr>
          <w:p w14:paraId="4F85AFEA" w14:textId="77777777" w:rsidR="00FD7DD1" w:rsidRPr="00FD7DD1" w:rsidRDefault="00FD7DD1" w:rsidP="00FD7DD1">
            <w:pPr>
              <w:spacing w:line="276" w:lineRule="auto"/>
              <w:rPr>
                <w:rFonts w:ascii="Times New Roman" w:hAnsi="Times New Roman" w:cs="Times New Roman"/>
                <w:b/>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56BA8125" w14:textId="77777777" w:rsidR="00FD7DD1" w:rsidRPr="00FD7DD1" w:rsidRDefault="00FD7DD1" w:rsidP="00FD7DD1">
            <w:pPr>
              <w:spacing w:line="276" w:lineRule="auto"/>
              <w:rPr>
                <w:rFonts w:ascii="Times New Roman" w:hAnsi="Times New Roman" w:cs="Times New Roman"/>
                <w:sz w:val="20"/>
                <w:szCs w:val="20"/>
              </w:rPr>
            </w:pPr>
            <w:r w:rsidRPr="00FD7DD1">
              <w:rPr>
                <w:rFonts w:ascii="Times New Roman" w:hAnsi="Times New Roman" w:cs="Times New Roman"/>
                <w:sz w:val="20"/>
                <w:szCs w:val="20"/>
              </w:rPr>
              <w:t>Presence of unions within the sector and description of their influence</w:t>
            </w:r>
          </w:p>
        </w:tc>
        <w:tc>
          <w:tcPr>
            <w:tcW w:w="5211" w:type="dxa"/>
            <w:tcBorders>
              <w:top w:val="single" w:sz="4" w:space="0" w:color="auto"/>
              <w:left w:val="single" w:sz="4" w:space="0" w:color="auto"/>
              <w:bottom w:val="single" w:sz="4" w:space="0" w:color="auto"/>
              <w:right w:val="single" w:sz="4" w:space="0" w:color="auto"/>
            </w:tcBorders>
            <w:hideMark/>
          </w:tcPr>
          <w:p w14:paraId="4BF939D0" w14:textId="77777777" w:rsidR="00FD7DD1" w:rsidRPr="00FD7DD1" w:rsidRDefault="00FD7DD1" w:rsidP="00FD7DD1">
            <w:pPr>
              <w:spacing w:line="276" w:lineRule="auto"/>
              <w:rPr>
                <w:rFonts w:ascii="Times New Roman" w:hAnsi="Times New Roman" w:cs="Times New Roman"/>
                <w:sz w:val="20"/>
                <w:szCs w:val="20"/>
              </w:rPr>
            </w:pPr>
            <w:r w:rsidRPr="00FD7DD1">
              <w:rPr>
                <w:rFonts w:ascii="Times New Roman" w:hAnsi="Times New Roman" w:cs="Times New Roman"/>
                <w:sz w:val="20"/>
                <w:szCs w:val="20"/>
              </w:rPr>
              <w:t>Trade unions in the Indian steel sector are quite numerous as a result of the Trade Unions Act (1926). Though they suffer from a variety of problems such as financial instability and inter-union rivalry.</w:t>
            </w:r>
            <w:r w:rsidRPr="00FD7DD1">
              <w:rPr>
                <w:rStyle w:val="Funotenzeichen"/>
                <w:rFonts w:ascii="Times New Roman" w:hAnsi="Times New Roman" w:cs="Times New Roman"/>
                <w:sz w:val="20"/>
                <w:szCs w:val="20"/>
              </w:rPr>
              <w:footnoteReference w:id="3"/>
            </w:r>
            <w:r w:rsidRPr="00FD7DD1">
              <w:rPr>
                <w:rFonts w:ascii="Times New Roman" w:hAnsi="Times New Roman" w:cs="Times New Roman"/>
                <w:sz w:val="20"/>
                <w:szCs w:val="20"/>
              </w:rPr>
              <w:t xml:space="preserve"> Some sources indicate a presence of 240 trade unions in the Indian steel industry (Singh, 2008)</w:t>
            </w:r>
            <w:r w:rsidRPr="00FD7DD1">
              <w:rPr>
                <w:rStyle w:val="Funotenzeichen"/>
                <w:rFonts w:ascii="Times New Roman" w:hAnsi="Times New Roman" w:cs="Times New Roman"/>
                <w:sz w:val="20"/>
                <w:szCs w:val="20"/>
              </w:rPr>
              <w:footnoteReference w:id="4"/>
            </w:r>
            <w:r w:rsidRPr="00FD7DD1">
              <w:rPr>
                <w:rFonts w:ascii="Times New Roman" w:hAnsi="Times New Roman" w:cs="Times New Roman"/>
                <w:sz w:val="20"/>
                <w:szCs w:val="20"/>
              </w:rPr>
              <w:t>. Steel associations across India have gathered recently (august 2015) to protest against implementation of government plans as these would drive up prices. This was also supported by steel can manufacturers.</w:t>
            </w:r>
            <w:r w:rsidRPr="00FD7DD1">
              <w:rPr>
                <w:rStyle w:val="Funotenzeichen"/>
                <w:rFonts w:ascii="Times New Roman" w:hAnsi="Times New Roman" w:cs="Times New Roman"/>
                <w:sz w:val="20"/>
                <w:szCs w:val="20"/>
              </w:rPr>
              <w:footnoteReference w:id="5"/>
            </w:r>
            <w:r w:rsidRPr="00FD7DD1">
              <w:rPr>
                <w:rFonts w:ascii="Times New Roman" w:hAnsi="Times New Roman" w:cs="Times New Roman"/>
                <w:sz w:val="20"/>
                <w:szCs w:val="20"/>
              </w:rPr>
              <w:t xml:space="preserve"> </w:t>
            </w:r>
          </w:p>
        </w:tc>
      </w:tr>
      <w:tr w:rsidR="00FD7DD1" w:rsidRPr="00FD7DD1" w14:paraId="1F97A93C" w14:textId="77777777" w:rsidTr="00FE5C16">
        <w:tc>
          <w:tcPr>
            <w:tcW w:w="1668" w:type="dxa"/>
            <w:tcBorders>
              <w:top w:val="single" w:sz="4" w:space="0" w:color="auto"/>
              <w:left w:val="single" w:sz="4" w:space="0" w:color="auto"/>
              <w:bottom w:val="single" w:sz="4" w:space="0" w:color="auto"/>
              <w:right w:val="single" w:sz="4" w:space="0" w:color="auto"/>
            </w:tcBorders>
            <w:vAlign w:val="center"/>
            <w:hideMark/>
          </w:tcPr>
          <w:p w14:paraId="311C01C3" w14:textId="77777777" w:rsidR="00FD7DD1" w:rsidRPr="00FD7DD1" w:rsidRDefault="00FD7DD1" w:rsidP="00FD7DD1">
            <w:pPr>
              <w:spacing w:line="276" w:lineRule="auto"/>
              <w:jc w:val="center"/>
              <w:rPr>
                <w:rFonts w:ascii="Times New Roman" w:hAnsi="Times New Roman" w:cs="Times New Roman"/>
                <w:b/>
                <w:sz w:val="20"/>
                <w:szCs w:val="20"/>
              </w:rPr>
            </w:pPr>
            <w:r w:rsidRPr="00FD7DD1">
              <w:rPr>
                <w:rFonts w:ascii="Times New Roman" w:hAnsi="Times New Roman" w:cs="Times New Roman"/>
                <w:b/>
                <w:sz w:val="20"/>
                <w:szCs w:val="20"/>
              </w:rPr>
              <w:t>Child labour</w:t>
            </w:r>
          </w:p>
        </w:tc>
        <w:tc>
          <w:tcPr>
            <w:tcW w:w="2409" w:type="dxa"/>
            <w:tcBorders>
              <w:top w:val="single" w:sz="4" w:space="0" w:color="auto"/>
              <w:left w:val="single" w:sz="4" w:space="0" w:color="auto"/>
              <w:bottom w:val="single" w:sz="4" w:space="0" w:color="auto"/>
              <w:right w:val="single" w:sz="4" w:space="0" w:color="auto"/>
            </w:tcBorders>
            <w:hideMark/>
          </w:tcPr>
          <w:p w14:paraId="1A7C6019" w14:textId="77777777" w:rsidR="00FD7DD1" w:rsidRPr="00FD7DD1" w:rsidRDefault="00FD7DD1" w:rsidP="00FD7DD1">
            <w:pPr>
              <w:spacing w:line="276" w:lineRule="auto"/>
              <w:rPr>
                <w:rFonts w:ascii="Times New Roman" w:hAnsi="Times New Roman" w:cs="Times New Roman"/>
                <w:sz w:val="20"/>
                <w:szCs w:val="20"/>
              </w:rPr>
            </w:pPr>
            <w:r w:rsidRPr="00FD7DD1">
              <w:rPr>
                <w:rFonts w:ascii="Times New Roman" w:hAnsi="Times New Roman" w:cs="Times New Roman"/>
                <w:sz w:val="20"/>
                <w:szCs w:val="20"/>
              </w:rPr>
              <w:t>Percentage of child labour in country/ sector</w:t>
            </w:r>
          </w:p>
        </w:tc>
        <w:tc>
          <w:tcPr>
            <w:tcW w:w="5211" w:type="dxa"/>
            <w:tcBorders>
              <w:top w:val="single" w:sz="4" w:space="0" w:color="auto"/>
              <w:left w:val="single" w:sz="4" w:space="0" w:color="auto"/>
              <w:bottom w:val="single" w:sz="4" w:space="0" w:color="auto"/>
              <w:right w:val="single" w:sz="4" w:space="0" w:color="auto"/>
            </w:tcBorders>
            <w:hideMark/>
          </w:tcPr>
          <w:p w14:paraId="307F52C9" w14:textId="77777777" w:rsidR="00FD7DD1" w:rsidRPr="00FD7DD1" w:rsidRDefault="00FD7DD1" w:rsidP="00FD7DD1">
            <w:pPr>
              <w:spacing w:line="276" w:lineRule="auto"/>
              <w:rPr>
                <w:rFonts w:ascii="Times New Roman" w:hAnsi="Times New Roman" w:cs="Times New Roman"/>
                <w:sz w:val="20"/>
                <w:szCs w:val="20"/>
              </w:rPr>
            </w:pPr>
            <w:r w:rsidRPr="00FD7DD1">
              <w:rPr>
                <w:rFonts w:ascii="Times New Roman" w:hAnsi="Times New Roman" w:cs="Times New Roman"/>
                <w:sz w:val="20"/>
                <w:szCs w:val="20"/>
              </w:rPr>
              <w:t>India did not ratify the core conventions concerning child labour C.138 and C.182 of ILO.</w:t>
            </w:r>
            <w:r w:rsidRPr="00FD7DD1">
              <w:rPr>
                <w:rStyle w:val="Funotenzeichen"/>
                <w:rFonts w:ascii="Times New Roman" w:hAnsi="Times New Roman" w:cs="Times New Roman"/>
                <w:sz w:val="20"/>
                <w:szCs w:val="20"/>
              </w:rPr>
              <w:footnoteReference w:id="6"/>
            </w:r>
            <w:r w:rsidRPr="00FD7DD1">
              <w:rPr>
                <w:rFonts w:ascii="Times New Roman" w:hAnsi="Times New Roman" w:cs="Times New Roman"/>
                <w:sz w:val="20"/>
                <w:szCs w:val="20"/>
              </w:rPr>
              <w:t xml:space="preserve"> Though India ratified the United Nations Convention on the Rights of the child. In India however, it is estimated that 14,4% of children aged 10-14 years are in the work force.</w:t>
            </w:r>
            <w:r w:rsidRPr="00FD7DD1">
              <w:rPr>
                <w:rStyle w:val="Funotenzeichen"/>
                <w:rFonts w:ascii="Times New Roman" w:hAnsi="Times New Roman" w:cs="Times New Roman"/>
                <w:sz w:val="20"/>
                <w:szCs w:val="20"/>
              </w:rPr>
              <w:footnoteReference w:id="7"/>
            </w:r>
            <w:r w:rsidRPr="00FD7DD1">
              <w:rPr>
                <w:rFonts w:ascii="Times New Roman" w:hAnsi="Times New Roman" w:cs="Times New Roman"/>
                <w:sz w:val="20"/>
                <w:szCs w:val="20"/>
              </w:rPr>
              <w:t xml:space="preserve">  At Kitchen Essentials a strict no child labour policy is enforced (Kessentials, 2015)</w:t>
            </w:r>
            <w:r w:rsidRPr="00FD7DD1">
              <w:rPr>
                <w:rStyle w:val="Funotenzeichen"/>
                <w:rFonts w:ascii="Times New Roman" w:hAnsi="Times New Roman" w:cs="Times New Roman"/>
                <w:sz w:val="20"/>
                <w:szCs w:val="20"/>
              </w:rPr>
              <w:footnoteReference w:id="8"/>
            </w:r>
            <w:r w:rsidRPr="00FD7DD1">
              <w:rPr>
                <w:rFonts w:ascii="Times New Roman" w:hAnsi="Times New Roman" w:cs="Times New Roman"/>
                <w:sz w:val="20"/>
                <w:szCs w:val="20"/>
              </w:rPr>
              <w:t>.</w:t>
            </w:r>
          </w:p>
        </w:tc>
      </w:tr>
    </w:tbl>
    <w:p w14:paraId="18442FD3" w14:textId="77777777" w:rsidR="00FD7DD1" w:rsidRPr="00FD7DD1" w:rsidRDefault="00FD7DD1" w:rsidP="00FD7DD1">
      <w:pPr>
        <w:spacing w:line="360" w:lineRule="auto"/>
        <w:rPr>
          <w:rFonts w:ascii="Times New Roman" w:hAnsi="Times New Roman" w:cs="Times New Roman"/>
          <w:sz w:val="20"/>
          <w:szCs w:val="20"/>
        </w:rPr>
      </w:pPr>
      <w:r w:rsidRPr="00FD7DD1">
        <w:rPr>
          <w:rFonts w:ascii="Times New Roman" w:hAnsi="Times New Roman" w:cs="Times New Roman"/>
          <w:sz w:val="20"/>
          <w:szCs w:val="20"/>
        </w:rPr>
        <w:br w:type="page"/>
      </w:r>
    </w:p>
    <w:tbl>
      <w:tblPr>
        <w:tblStyle w:val="Tabellenraster"/>
        <w:tblW w:w="0" w:type="auto"/>
        <w:tblLook w:val="04A0" w:firstRow="1" w:lastRow="0" w:firstColumn="1" w:lastColumn="0" w:noHBand="0" w:noVBand="1"/>
      </w:tblPr>
      <w:tblGrid>
        <w:gridCol w:w="1668"/>
        <w:gridCol w:w="2409"/>
        <w:gridCol w:w="5211"/>
      </w:tblGrid>
      <w:tr w:rsidR="00FD7DD1" w:rsidRPr="00A20C79" w14:paraId="24DF88AD" w14:textId="77777777" w:rsidTr="00FE5C16">
        <w:tc>
          <w:tcPr>
            <w:tcW w:w="1668" w:type="dxa"/>
            <w:tcBorders>
              <w:top w:val="single" w:sz="4" w:space="0" w:color="auto"/>
              <w:left w:val="single" w:sz="4" w:space="0" w:color="auto"/>
              <w:bottom w:val="single" w:sz="4" w:space="0" w:color="auto"/>
              <w:right w:val="single" w:sz="4" w:space="0" w:color="auto"/>
            </w:tcBorders>
            <w:vAlign w:val="center"/>
            <w:hideMark/>
          </w:tcPr>
          <w:p w14:paraId="0AEB8101"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lastRenderedPageBreak/>
              <w:t>Forced Labour</w:t>
            </w:r>
          </w:p>
        </w:tc>
        <w:tc>
          <w:tcPr>
            <w:tcW w:w="2409" w:type="dxa"/>
            <w:tcBorders>
              <w:top w:val="single" w:sz="4" w:space="0" w:color="auto"/>
              <w:left w:val="single" w:sz="4" w:space="0" w:color="auto"/>
              <w:bottom w:val="single" w:sz="4" w:space="0" w:color="auto"/>
              <w:right w:val="single" w:sz="4" w:space="0" w:color="auto"/>
            </w:tcBorders>
            <w:hideMark/>
          </w:tcPr>
          <w:p w14:paraId="07C0C48E"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Frequency of forced labour in country/ sector</w:t>
            </w:r>
          </w:p>
        </w:tc>
        <w:tc>
          <w:tcPr>
            <w:tcW w:w="5211" w:type="dxa"/>
            <w:tcBorders>
              <w:top w:val="single" w:sz="4" w:space="0" w:color="auto"/>
              <w:left w:val="single" w:sz="4" w:space="0" w:color="auto"/>
              <w:bottom w:val="single" w:sz="4" w:space="0" w:color="auto"/>
              <w:right w:val="single" w:sz="4" w:space="0" w:color="auto"/>
            </w:tcBorders>
            <w:hideMark/>
          </w:tcPr>
          <w:p w14:paraId="0941301D"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India ratified the ILO conventions C.29 and 105 against forced labour.</w:t>
            </w:r>
            <w:r w:rsidRPr="00A20C79">
              <w:rPr>
                <w:rStyle w:val="Funotenzeichen"/>
                <w:rFonts w:ascii="Times New Roman" w:hAnsi="Times New Roman" w:cs="Times New Roman"/>
                <w:sz w:val="20"/>
                <w:szCs w:val="20"/>
              </w:rPr>
              <w:footnoteReference w:id="9"/>
            </w:r>
            <w:r w:rsidRPr="00A20C79">
              <w:rPr>
                <w:rFonts w:ascii="Times New Roman" w:hAnsi="Times New Roman" w:cs="Times New Roman"/>
                <w:sz w:val="20"/>
                <w:szCs w:val="20"/>
              </w:rPr>
              <w:t xml:space="preserve"> However forced labour is mostly reported in agriculture and textile production.</w:t>
            </w:r>
            <w:r w:rsidRPr="00A20C79">
              <w:rPr>
                <w:rStyle w:val="Funotenzeichen"/>
                <w:rFonts w:ascii="Times New Roman" w:hAnsi="Times New Roman" w:cs="Times New Roman"/>
                <w:sz w:val="20"/>
                <w:szCs w:val="20"/>
              </w:rPr>
              <w:footnoteReference w:id="10"/>
            </w:r>
            <w:r w:rsidRPr="00A20C79">
              <w:rPr>
                <w:rFonts w:ascii="Times New Roman" w:hAnsi="Times New Roman" w:cs="Times New Roman"/>
                <w:sz w:val="20"/>
                <w:szCs w:val="20"/>
              </w:rPr>
              <w:t xml:space="preserve"> Neither the steel manufacturing sector nor Kitchen Essentials is linked to forced labour (Kessentials, 2015). </w:t>
            </w:r>
          </w:p>
        </w:tc>
      </w:tr>
      <w:tr w:rsidR="00FD7DD1" w:rsidRPr="00A20C79" w14:paraId="4FBBEF82" w14:textId="77777777" w:rsidTr="00FE5C16">
        <w:tc>
          <w:tcPr>
            <w:tcW w:w="1668" w:type="dxa"/>
            <w:vMerge w:val="restart"/>
            <w:tcBorders>
              <w:top w:val="single" w:sz="4" w:space="0" w:color="auto"/>
              <w:left w:val="single" w:sz="4" w:space="0" w:color="auto"/>
              <w:right w:val="single" w:sz="4" w:space="0" w:color="auto"/>
            </w:tcBorders>
            <w:vAlign w:val="center"/>
            <w:hideMark/>
          </w:tcPr>
          <w:p w14:paraId="2E8B1AE8"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Fair Salary</w:t>
            </w:r>
          </w:p>
        </w:tc>
        <w:tc>
          <w:tcPr>
            <w:tcW w:w="2409" w:type="dxa"/>
            <w:tcBorders>
              <w:top w:val="single" w:sz="4" w:space="0" w:color="auto"/>
              <w:left w:val="single" w:sz="4" w:space="0" w:color="auto"/>
              <w:bottom w:val="single" w:sz="4" w:space="0" w:color="auto"/>
              <w:right w:val="single" w:sz="4" w:space="0" w:color="auto"/>
            </w:tcBorders>
            <w:hideMark/>
          </w:tcPr>
          <w:p w14:paraId="299409C1"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Specification of living wage and minimum wage in the country</w:t>
            </w:r>
          </w:p>
        </w:tc>
        <w:tc>
          <w:tcPr>
            <w:tcW w:w="5211" w:type="dxa"/>
            <w:tcBorders>
              <w:top w:val="single" w:sz="4" w:space="0" w:color="auto"/>
              <w:left w:val="single" w:sz="4" w:space="0" w:color="auto"/>
              <w:bottom w:val="single" w:sz="4" w:space="0" w:color="auto"/>
              <w:right w:val="single" w:sz="4" w:space="0" w:color="auto"/>
            </w:tcBorders>
            <w:hideMark/>
          </w:tcPr>
          <w:p w14:paraId="2F46F1ED" w14:textId="10AB8EA4"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Average monthly wage in India amounts 215 US dollars (ILO, 2014).</w:t>
            </w:r>
            <w:r w:rsidRPr="00A20C79">
              <w:rPr>
                <w:rStyle w:val="Funotenzeichen"/>
                <w:rFonts w:ascii="Times New Roman" w:hAnsi="Times New Roman" w:cs="Times New Roman"/>
                <w:sz w:val="20"/>
                <w:szCs w:val="20"/>
              </w:rPr>
              <w:footnoteReference w:id="11"/>
            </w:r>
            <w:r w:rsidRPr="00A20C79">
              <w:rPr>
                <w:rFonts w:ascii="Times New Roman" w:hAnsi="Times New Roman" w:cs="Times New Roman"/>
                <w:sz w:val="20"/>
                <w:szCs w:val="20"/>
              </w:rPr>
              <w:t xml:space="preserve"> Minimum wage level is unclear as 1600 different rates are set by Central Government and different states for different industries. Compliance with minimum wages is low (ILO, 2014). </w:t>
            </w:r>
            <w:r w:rsidR="004A2526" w:rsidRPr="00A20C79">
              <w:rPr>
                <w:rFonts w:ascii="Times New Roman" w:hAnsi="Times New Roman" w:cs="Times New Roman"/>
                <w:sz w:val="20"/>
                <w:szCs w:val="20"/>
              </w:rPr>
              <w:t xml:space="preserve">Kitchen Essentials reports above sector average wages. </w:t>
            </w:r>
          </w:p>
        </w:tc>
      </w:tr>
      <w:tr w:rsidR="00FD7DD1" w:rsidRPr="00A20C79" w14:paraId="3E9EBDF6" w14:textId="77777777" w:rsidTr="00FE5C16">
        <w:tc>
          <w:tcPr>
            <w:tcW w:w="1668" w:type="dxa"/>
            <w:vMerge/>
            <w:tcBorders>
              <w:left w:val="single" w:sz="4" w:space="0" w:color="auto"/>
              <w:bottom w:val="single" w:sz="4" w:space="0" w:color="auto"/>
              <w:right w:val="single" w:sz="4" w:space="0" w:color="auto"/>
            </w:tcBorders>
            <w:vAlign w:val="center"/>
          </w:tcPr>
          <w:p w14:paraId="77E022F8" w14:textId="77777777" w:rsidR="00FD7DD1" w:rsidRPr="00A20C79" w:rsidRDefault="00FD7DD1" w:rsidP="00FD7DD1">
            <w:pPr>
              <w:spacing w:line="276" w:lineRule="auto"/>
              <w:jc w:val="center"/>
              <w:rPr>
                <w:rFonts w:ascii="Times New Roman" w:hAnsi="Times New Roman" w:cs="Times New Roman"/>
                <w:b/>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6CAA6EA4"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Wage level of the worker with lowest income and description of payment performance of the sector</w:t>
            </w:r>
          </w:p>
        </w:tc>
        <w:tc>
          <w:tcPr>
            <w:tcW w:w="5211" w:type="dxa"/>
            <w:tcBorders>
              <w:top w:val="single" w:sz="4" w:space="0" w:color="auto"/>
              <w:left w:val="single" w:sz="4" w:space="0" w:color="auto"/>
              <w:bottom w:val="single" w:sz="4" w:space="0" w:color="auto"/>
              <w:right w:val="single" w:sz="4" w:space="0" w:color="auto"/>
            </w:tcBorders>
            <w:hideMark/>
          </w:tcPr>
          <w:p w14:paraId="61636ECE"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Data not available</w:t>
            </w:r>
          </w:p>
        </w:tc>
      </w:tr>
      <w:tr w:rsidR="00FD7DD1" w:rsidRPr="00A20C79" w14:paraId="44770415" w14:textId="77777777" w:rsidTr="00FE5C16">
        <w:tc>
          <w:tcPr>
            <w:tcW w:w="1668" w:type="dxa"/>
            <w:vMerge w:val="restart"/>
            <w:tcBorders>
              <w:top w:val="single" w:sz="4" w:space="0" w:color="auto"/>
              <w:left w:val="single" w:sz="4" w:space="0" w:color="auto"/>
              <w:bottom w:val="single" w:sz="4" w:space="0" w:color="auto"/>
              <w:right w:val="single" w:sz="4" w:space="0" w:color="auto"/>
            </w:tcBorders>
            <w:vAlign w:val="center"/>
            <w:hideMark/>
          </w:tcPr>
          <w:p w14:paraId="6AEA5A22" w14:textId="3315BEA6" w:rsidR="00FD7DD1" w:rsidRPr="00A20C79" w:rsidRDefault="00FD7DD1" w:rsidP="00D746B5">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 xml:space="preserve">Working </w:t>
            </w:r>
            <w:r w:rsidR="00D746B5" w:rsidRPr="00A20C79">
              <w:rPr>
                <w:rFonts w:ascii="Times New Roman" w:hAnsi="Times New Roman" w:cs="Times New Roman"/>
                <w:b/>
                <w:sz w:val="20"/>
                <w:szCs w:val="20"/>
              </w:rPr>
              <w:t>hours</w:t>
            </w:r>
          </w:p>
        </w:tc>
        <w:tc>
          <w:tcPr>
            <w:tcW w:w="2409" w:type="dxa"/>
            <w:tcBorders>
              <w:top w:val="single" w:sz="4" w:space="0" w:color="auto"/>
              <w:left w:val="single" w:sz="4" w:space="0" w:color="auto"/>
              <w:bottom w:val="single" w:sz="4" w:space="0" w:color="auto"/>
              <w:right w:val="single" w:sz="4" w:space="0" w:color="auto"/>
            </w:tcBorders>
            <w:hideMark/>
          </w:tcPr>
          <w:p w14:paraId="3B90CD67"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Hours work per employee and month in average</w:t>
            </w:r>
          </w:p>
        </w:tc>
        <w:tc>
          <w:tcPr>
            <w:tcW w:w="5211" w:type="dxa"/>
            <w:tcBorders>
              <w:top w:val="single" w:sz="4" w:space="0" w:color="auto"/>
              <w:left w:val="single" w:sz="4" w:space="0" w:color="auto"/>
              <w:bottom w:val="single" w:sz="4" w:space="0" w:color="auto"/>
              <w:right w:val="single" w:sz="4" w:space="0" w:color="auto"/>
            </w:tcBorders>
            <w:hideMark/>
          </w:tcPr>
          <w:p w14:paraId="3D24B66B"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Normal hours are limited to 9 hours per day or 48 hours in a week.</w:t>
            </w:r>
            <w:r w:rsidRPr="00A20C79">
              <w:rPr>
                <w:rStyle w:val="Funotenzeichen"/>
                <w:rFonts w:ascii="Times New Roman" w:hAnsi="Times New Roman" w:cs="Times New Roman"/>
                <w:sz w:val="20"/>
                <w:szCs w:val="20"/>
              </w:rPr>
              <w:footnoteReference w:id="12"/>
            </w:r>
            <w:r w:rsidRPr="00A20C79">
              <w:rPr>
                <w:rFonts w:ascii="Times New Roman" w:hAnsi="Times New Roman" w:cs="Times New Roman"/>
                <w:sz w:val="20"/>
                <w:szCs w:val="20"/>
              </w:rPr>
              <w:t xml:space="preserve"> No data is available on Kitchen Essentials specifically. </w:t>
            </w:r>
          </w:p>
        </w:tc>
      </w:tr>
      <w:tr w:rsidR="00FD7DD1" w:rsidRPr="00A20C79" w14:paraId="12CAF8F7" w14:textId="77777777" w:rsidTr="00FE5C16">
        <w:tc>
          <w:tcPr>
            <w:tcW w:w="0" w:type="auto"/>
            <w:vMerge/>
            <w:tcBorders>
              <w:top w:val="single" w:sz="4" w:space="0" w:color="auto"/>
              <w:left w:val="single" w:sz="4" w:space="0" w:color="auto"/>
              <w:bottom w:val="single" w:sz="4" w:space="0" w:color="auto"/>
              <w:right w:val="single" w:sz="4" w:space="0" w:color="auto"/>
            </w:tcBorders>
            <w:vAlign w:val="center"/>
            <w:hideMark/>
          </w:tcPr>
          <w:p w14:paraId="24E471F9" w14:textId="77777777" w:rsidR="00FD7DD1" w:rsidRPr="00A20C79" w:rsidRDefault="00FD7DD1" w:rsidP="00FD7DD1">
            <w:pPr>
              <w:spacing w:line="276" w:lineRule="auto"/>
              <w:rPr>
                <w:rFonts w:ascii="Times New Roman" w:hAnsi="Times New Roman" w:cs="Times New Roman"/>
                <w:b/>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6AF516DA"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Number of days without work per week</w:t>
            </w:r>
          </w:p>
        </w:tc>
        <w:tc>
          <w:tcPr>
            <w:tcW w:w="5211" w:type="dxa"/>
            <w:tcBorders>
              <w:top w:val="single" w:sz="4" w:space="0" w:color="auto"/>
              <w:left w:val="single" w:sz="4" w:space="0" w:color="auto"/>
              <w:bottom w:val="single" w:sz="4" w:space="0" w:color="auto"/>
              <w:right w:val="single" w:sz="4" w:space="0" w:color="auto"/>
            </w:tcBorders>
            <w:hideMark/>
          </w:tcPr>
          <w:p w14:paraId="577A8847"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Data not available</w:t>
            </w:r>
          </w:p>
        </w:tc>
      </w:tr>
      <w:tr w:rsidR="00FD7DD1" w:rsidRPr="00A20C79" w14:paraId="7DB70327" w14:textId="77777777" w:rsidTr="00FE5C16">
        <w:tc>
          <w:tcPr>
            <w:tcW w:w="0" w:type="auto"/>
            <w:vMerge/>
            <w:tcBorders>
              <w:top w:val="single" w:sz="4" w:space="0" w:color="auto"/>
              <w:left w:val="single" w:sz="4" w:space="0" w:color="auto"/>
              <w:bottom w:val="single" w:sz="4" w:space="0" w:color="auto"/>
              <w:right w:val="single" w:sz="4" w:space="0" w:color="auto"/>
            </w:tcBorders>
            <w:vAlign w:val="center"/>
            <w:hideMark/>
          </w:tcPr>
          <w:p w14:paraId="0FBDE829" w14:textId="77777777" w:rsidR="00FD7DD1" w:rsidRPr="00A20C79" w:rsidRDefault="00FD7DD1" w:rsidP="00FD7DD1">
            <w:pPr>
              <w:spacing w:line="276" w:lineRule="auto"/>
              <w:rPr>
                <w:rFonts w:ascii="Times New Roman" w:hAnsi="Times New Roman" w:cs="Times New Roman"/>
                <w:b/>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03802ADD"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Description of how overtime is handled</w:t>
            </w:r>
          </w:p>
        </w:tc>
        <w:tc>
          <w:tcPr>
            <w:tcW w:w="5211" w:type="dxa"/>
            <w:tcBorders>
              <w:top w:val="single" w:sz="4" w:space="0" w:color="auto"/>
              <w:left w:val="single" w:sz="4" w:space="0" w:color="auto"/>
              <w:bottom w:val="single" w:sz="4" w:space="0" w:color="auto"/>
              <w:right w:val="single" w:sz="4" w:space="0" w:color="auto"/>
            </w:tcBorders>
            <w:hideMark/>
          </w:tcPr>
          <w:p w14:paraId="66F91C13"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Data not available</w:t>
            </w:r>
          </w:p>
        </w:tc>
      </w:tr>
      <w:tr w:rsidR="00FD7DD1" w:rsidRPr="00A20C79" w14:paraId="725A5704" w14:textId="77777777" w:rsidTr="00FE5C16">
        <w:tc>
          <w:tcPr>
            <w:tcW w:w="1668" w:type="dxa"/>
            <w:vMerge w:val="restart"/>
            <w:tcBorders>
              <w:top w:val="single" w:sz="4" w:space="0" w:color="auto"/>
              <w:left w:val="single" w:sz="4" w:space="0" w:color="auto"/>
              <w:bottom w:val="single" w:sz="4" w:space="0" w:color="auto"/>
              <w:right w:val="single" w:sz="4" w:space="0" w:color="auto"/>
            </w:tcBorders>
            <w:vAlign w:val="center"/>
            <w:hideMark/>
          </w:tcPr>
          <w:p w14:paraId="7100F1D7"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Discrimination</w:t>
            </w:r>
          </w:p>
        </w:tc>
        <w:tc>
          <w:tcPr>
            <w:tcW w:w="2409" w:type="dxa"/>
            <w:tcBorders>
              <w:top w:val="single" w:sz="4" w:space="0" w:color="auto"/>
              <w:left w:val="single" w:sz="4" w:space="0" w:color="auto"/>
              <w:bottom w:val="single" w:sz="4" w:space="0" w:color="auto"/>
              <w:right w:val="single" w:sz="4" w:space="0" w:color="auto"/>
            </w:tcBorders>
            <w:hideMark/>
          </w:tcPr>
          <w:p w14:paraId="4C4ABCEA"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Percentage of women in the labour force in the sector</w:t>
            </w:r>
          </w:p>
        </w:tc>
        <w:tc>
          <w:tcPr>
            <w:tcW w:w="5211" w:type="dxa"/>
            <w:tcBorders>
              <w:top w:val="single" w:sz="4" w:space="0" w:color="auto"/>
              <w:left w:val="single" w:sz="4" w:space="0" w:color="auto"/>
              <w:bottom w:val="single" w:sz="4" w:space="0" w:color="auto"/>
              <w:right w:val="single" w:sz="4" w:space="0" w:color="auto"/>
            </w:tcBorders>
            <w:hideMark/>
          </w:tcPr>
          <w:p w14:paraId="6A3E47EE"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25,8% (ILOStat)</w:t>
            </w:r>
            <w:r w:rsidRPr="00A20C79">
              <w:rPr>
                <w:rStyle w:val="Funotenzeichen"/>
                <w:rFonts w:ascii="Times New Roman" w:hAnsi="Times New Roman" w:cs="Times New Roman"/>
                <w:sz w:val="20"/>
                <w:szCs w:val="20"/>
              </w:rPr>
              <w:footnoteReference w:id="13"/>
            </w:r>
          </w:p>
        </w:tc>
      </w:tr>
      <w:tr w:rsidR="00FD7DD1" w:rsidRPr="00A20C79" w14:paraId="33141876" w14:textId="77777777" w:rsidTr="00FE5C16">
        <w:tc>
          <w:tcPr>
            <w:tcW w:w="0" w:type="auto"/>
            <w:vMerge/>
            <w:tcBorders>
              <w:top w:val="single" w:sz="4" w:space="0" w:color="auto"/>
              <w:left w:val="single" w:sz="4" w:space="0" w:color="auto"/>
              <w:bottom w:val="single" w:sz="4" w:space="0" w:color="auto"/>
              <w:right w:val="single" w:sz="4" w:space="0" w:color="auto"/>
            </w:tcBorders>
            <w:vAlign w:val="center"/>
            <w:hideMark/>
          </w:tcPr>
          <w:p w14:paraId="0EC92154" w14:textId="77777777" w:rsidR="00FD7DD1" w:rsidRPr="00A20C79" w:rsidRDefault="00FD7DD1" w:rsidP="00FD7DD1">
            <w:pPr>
              <w:spacing w:line="276" w:lineRule="auto"/>
              <w:rPr>
                <w:rFonts w:ascii="Times New Roman" w:hAnsi="Times New Roman" w:cs="Times New Roman"/>
                <w:b/>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55104425"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Country gender index ranking</w:t>
            </w:r>
          </w:p>
        </w:tc>
        <w:tc>
          <w:tcPr>
            <w:tcW w:w="5211" w:type="dxa"/>
            <w:tcBorders>
              <w:top w:val="single" w:sz="4" w:space="0" w:color="auto"/>
              <w:left w:val="single" w:sz="4" w:space="0" w:color="auto"/>
              <w:bottom w:val="single" w:sz="4" w:space="0" w:color="auto"/>
              <w:right w:val="single" w:sz="4" w:space="0" w:color="auto"/>
            </w:tcBorders>
            <w:hideMark/>
          </w:tcPr>
          <w:p w14:paraId="6C1314DB"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Rank 80 of 109 (Genderindex)</w:t>
            </w:r>
            <w:r w:rsidRPr="00A20C79">
              <w:rPr>
                <w:rStyle w:val="Funotenzeichen"/>
                <w:rFonts w:ascii="Times New Roman" w:hAnsi="Times New Roman" w:cs="Times New Roman"/>
                <w:sz w:val="20"/>
                <w:szCs w:val="20"/>
              </w:rPr>
              <w:footnoteReference w:id="14"/>
            </w:r>
          </w:p>
        </w:tc>
      </w:tr>
      <w:tr w:rsidR="00FD7DD1" w:rsidRPr="00A20C79" w14:paraId="3C462162" w14:textId="77777777" w:rsidTr="00FE5C16">
        <w:tc>
          <w:tcPr>
            <w:tcW w:w="0" w:type="auto"/>
            <w:vMerge/>
            <w:tcBorders>
              <w:top w:val="single" w:sz="4" w:space="0" w:color="auto"/>
              <w:left w:val="single" w:sz="4" w:space="0" w:color="auto"/>
              <w:bottom w:val="single" w:sz="4" w:space="0" w:color="auto"/>
              <w:right w:val="single" w:sz="4" w:space="0" w:color="auto"/>
            </w:tcBorders>
            <w:vAlign w:val="center"/>
            <w:hideMark/>
          </w:tcPr>
          <w:p w14:paraId="24FB26EF" w14:textId="77777777" w:rsidR="00FD7DD1" w:rsidRPr="00A20C79" w:rsidRDefault="00FD7DD1" w:rsidP="00FD7DD1">
            <w:pPr>
              <w:spacing w:line="276" w:lineRule="auto"/>
              <w:rPr>
                <w:rFonts w:ascii="Times New Roman" w:hAnsi="Times New Roman" w:cs="Times New Roman"/>
                <w:b/>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52115DEA"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Occurrence of discrimination in the country/ sector</w:t>
            </w:r>
          </w:p>
        </w:tc>
        <w:tc>
          <w:tcPr>
            <w:tcW w:w="5211" w:type="dxa"/>
            <w:tcBorders>
              <w:top w:val="single" w:sz="4" w:space="0" w:color="auto"/>
              <w:left w:val="single" w:sz="4" w:space="0" w:color="auto"/>
              <w:bottom w:val="single" w:sz="4" w:space="0" w:color="auto"/>
              <w:right w:val="single" w:sz="4" w:space="0" w:color="auto"/>
            </w:tcBorders>
            <w:hideMark/>
          </w:tcPr>
          <w:p w14:paraId="7F4CB198" w14:textId="05497C9D" w:rsidR="00FD7DD1" w:rsidRPr="00A20C79" w:rsidRDefault="00FD7DD1" w:rsidP="007519DF">
            <w:pPr>
              <w:spacing w:line="276" w:lineRule="auto"/>
              <w:rPr>
                <w:rFonts w:ascii="Times New Roman" w:hAnsi="Times New Roman" w:cs="Times New Roman"/>
                <w:sz w:val="20"/>
                <w:szCs w:val="20"/>
              </w:rPr>
            </w:pPr>
            <w:r w:rsidRPr="00A20C79">
              <w:rPr>
                <w:rFonts w:ascii="Times New Roman" w:hAnsi="Times New Roman" w:cs="Times New Roman"/>
                <w:sz w:val="20"/>
                <w:szCs w:val="20"/>
              </w:rPr>
              <w:t xml:space="preserve">Women are less likely to hold wage jobs and they get paid less (ILO, 2014). Genderindex (2014) observes a high level of discrimination in India. </w:t>
            </w:r>
            <w:r w:rsidR="004A2526" w:rsidRPr="00A20C79">
              <w:rPr>
                <w:rFonts w:ascii="Times New Roman" w:hAnsi="Times New Roman" w:cs="Times New Roman"/>
                <w:sz w:val="20"/>
                <w:szCs w:val="20"/>
              </w:rPr>
              <w:t xml:space="preserve">At Kitchen Essentials gender </w:t>
            </w:r>
            <w:r w:rsidR="00D746B5" w:rsidRPr="00A20C79">
              <w:rPr>
                <w:rFonts w:ascii="Times New Roman" w:hAnsi="Times New Roman" w:cs="Times New Roman"/>
                <w:sz w:val="20"/>
                <w:szCs w:val="20"/>
              </w:rPr>
              <w:t xml:space="preserve">and ethnic background </w:t>
            </w:r>
            <w:r w:rsidR="007519DF" w:rsidRPr="00A20C79">
              <w:rPr>
                <w:rFonts w:ascii="Times New Roman" w:hAnsi="Times New Roman" w:cs="Times New Roman"/>
                <w:sz w:val="20"/>
                <w:szCs w:val="20"/>
              </w:rPr>
              <w:t>are sometimes criteria</w:t>
            </w:r>
            <w:r w:rsidR="004A2526" w:rsidRPr="00A20C79">
              <w:rPr>
                <w:rFonts w:ascii="Times New Roman" w:hAnsi="Times New Roman" w:cs="Times New Roman"/>
                <w:sz w:val="20"/>
                <w:szCs w:val="20"/>
              </w:rPr>
              <w:t xml:space="preserve"> for hiring. </w:t>
            </w:r>
          </w:p>
        </w:tc>
      </w:tr>
      <w:tr w:rsidR="00FD7DD1" w:rsidRPr="00A20C79" w14:paraId="65F3F9B4" w14:textId="77777777" w:rsidTr="00FE5C16">
        <w:tc>
          <w:tcPr>
            <w:tcW w:w="0" w:type="auto"/>
            <w:vMerge/>
            <w:tcBorders>
              <w:top w:val="single" w:sz="4" w:space="0" w:color="auto"/>
              <w:left w:val="single" w:sz="4" w:space="0" w:color="auto"/>
              <w:bottom w:val="single" w:sz="4" w:space="0" w:color="auto"/>
              <w:right w:val="single" w:sz="4" w:space="0" w:color="auto"/>
            </w:tcBorders>
            <w:vAlign w:val="center"/>
            <w:hideMark/>
          </w:tcPr>
          <w:p w14:paraId="697B8E88" w14:textId="77777777" w:rsidR="00FD7DD1" w:rsidRPr="00A20C79" w:rsidRDefault="00FD7DD1" w:rsidP="00FD7DD1">
            <w:pPr>
              <w:spacing w:line="276" w:lineRule="auto"/>
              <w:rPr>
                <w:rFonts w:ascii="Times New Roman" w:hAnsi="Times New Roman" w:cs="Times New Roman"/>
                <w:b/>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4417E0C1"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Ratio of salary  of women to wages of men in sector</w:t>
            </w:r>
          </w:p>
        </w:tc>
        <w:tc>
          <w:tcPr>
            <w:tcW w:w="5211" w:type="dxa"/>
            <w:tcBorders>
              <w:top w:val="single" w:sz="4" w:space="0" w:color="auto"/>
              <w:left w:val="single" w:sz="4" w:space="0" w:color="auto"/>
              <w:bottom w:val="single" w:sz="4" w:space="0" w:color="auto"/>
              <w:right w:val="single" w:sz="4" w:space="0" w:color="auto"/>
            </w:tcBorders>
            <w:hideMark/>
          </w:tcPr>
          <w:p w14:paraId="631634C9" w14:textId="703CD55E"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32,6% (ILOStat)</w:t>
            </w:r>
            <w:r w:rsidR="004A2526" w:rsidRPr="00A20C79">
              <w:rPr>
                <w:rFonts w:ascii="Times New Roman" w:hAnsi="Times New Roman" w:cs="Times New Roman"/>
                <w:sz w:val="20"/>
                <w:szCs w:val="20"/>
              </w:rPr>
              <w:t>.</w:t>
            </w:r>
          </w:p>
        </w:tc>
      </w:tr>
      <w:tr w:rsidR="00FD7DD1" w:rsidRPr="00A20C79" w14:paraId="1BAC0760" w14:textId="77777777" w:rsidTr="00FE5C16">
        <w:tc>
          <w:tcPr>
            <w:tcW w:w="1668" w:type="dxa"/>
            <w:vMerge w:val="restart"/>
            <w:tcBorders>
              <w:top w:val="single" w:sz="4" w:space="0" w:color="auto"/>
              <w:left w:val="single" w:sz="4" w:space="0" w:color="auto"/>
              <w:bottom w:val="single" w:sz="4" w:space="0" w:color="auto"/>
              <w:right w:val="single" w:sz="4" w:space="0" w:color="auto"/>
            </w:tcBorders>
            <w:vAlign w:val="center"/>
            <w:hideMark/>
          </w:tcPr>
          <w:p w14:paraId="5BBF63CD"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Health and safety</w:t>
            </w:r>
          </w:p>
        </w:tc>
        <w:tc>
          <w:tcPr>
            <w:tcW w:w="2409" w:type="dxa"/>
            <w:tcBorders>
              <w:top w:val="single" w:sz="4" w:space="0" w:color="auto"/>
              <w:left w:val="single" w:sz="4" w:space="0" w:color="auto"/>
              <w:bottom w:val="single" w:sz="4" w:space="0" w:color="auto"/>
              <w:right w:val="single" w:sz="4" w:space="0" w:color="auto"/>
            </w:tcBorders>
            <w:hideMark/>
          </w:tcPr>
          <w:p w14:paraId="5864A183"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Description of potential main origins of danger</w:t>
            </w:r>
          </w:p>
        </w:tc>
        <w:tc>
          <w:tcPr>
            <w:tcW w:w="5211" w:type="dxa"/>
            <w:tcBorders>
              <w:top w:val="single" w:sz="4" w:space="0" w:color="auto"/>
              <w:left w:val="single" w:sz="4" w:space="0" w:color="auto"/>
              <w:bottom w:val="single" w:sz="4" w:space="0" w:color="auto"/>
              <w:right w:val="single" w:sz="4" w:space="0" w:color="auto"/>
            </w:tcBorders>
            <w:hideMark/>
          </w:tcPr>
          <w:p w14:paraId="279509F7" w14:textId="6F3E5472"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No data available</w:t>
            </w:r>
            <w:r w:rsidR="007519DF" w:rsidRPr="00A20C79">
              <w:rPr>
                <w:rFonts w:ascii="Times New Roman" w:hAnsi="Times New Roman" w:cs="Times New Roman"/>
                <w:sz w:val="20"/>
                <w:szCs w:val="20"/>
              </w:rPr>
              <w:t>.</w:t>
            </w:r>
          </w:p>
        </w:tc>
      </w:tr>
      <w:tr w:rsidR="00FD7DD1" w:rsidRPr="00A20C79" w14:paraId="5EF3E305" w14:textId="77777777" w:rsidTr="00FE5C16">
        <w:tc>
          <w:tcPr>
            <w:tcW w:w="0" w:type="auto"/>
            <w:vMerge/>
            <w:tcBorders>
              <w:top w:val="single" w:sz="4" w:space="0" w:color="auto"/>
              <w:left w:val="single" w:sz="4" w:space="0" w:color="auto"/>
              <w:bottom w:val="single" w:sz="4" w:space="0" w:color="auto"/>
              <w:right w:val="single" w:sz="4" w:space="0" w:color="auto"/>
            </w:tcBorders>
            <w:vAlign w:val="center"/>
            <w:hideMark/>
          </w:tcPr>
          <w:p w14:paraId="31A39BA8" w14:textId="77777777" w:rsidR="00FD7DD1" w:rsidRPr="00A20C79" w:rsidRDefault="00FD7DD1" w:rsidP="00FD7DD1">
            <w:pPr>
              <w:spacing w:line="276" w:lineRule="auto"/>
              <w:rPr>
                <w:rFonts w:ascii="Times New Roman" w:hAnsi="Times New Roman" w:cs="Times New Roman"/>
                <w:b/>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6C975532"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Accident rate of the country/ sector</w:t>
            </w:r>
          </w:p>
        </w:tc>
        <w:tc>
          <w:tcPr>
            <w:tcW w:w="5211" w:type="dxa"/>
            <w:tcBorders>
              <w:top w:val="single" w:sz="4" w:space="0" w:color="auto"/>
              <w:left w:val="single" w:sz="4" w:space="0" w:color="auto"/>
              <w:bottom w:val="single" w:sz="4" w:space="0" w:color="auto"/>
              <w:right w:val="single" w:sz="4" w:space="0" w:color="auto"/>
            </w:tcBorders>
            <w:hideMark/>
          </w:tcPr>
          <w:p w14:paraId="04AC3EDA" w14:textId="12672261"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 xml:space="preserve">No </w:t>
            </w:r>
            <w:r w:rsidR="004A2526" w:rsidRPr="00A20C79">
              <w:rPr>
                <w:rFonts w:ascii="Times New Roman" w:hAnsi="Times New Roman" w:cs="Times New Roman"/>
                <w:sz w:val="20"/>
                <w:szCs w:val="20"/>
              </w:rPr>
              <w:t xml:space="preserve">sector </w:t>
            </w:r>
            <w:r w:rsidRPr="00A20C79">
              <w:rPr>
                <w:rFonts w:ascii="Times New Roman" w:hAnsi="Times New Roman" w:cs="Times New Roman"/>
                <w:sz w:val="20"/>
                <w:szCs w:val="20"/>
              </w:rPr>
              <w:t>data available</w:t>
            </w:r>
            <w:r w:rsidR="004A2526" w:rsidRPr="00A20C79">
              <w:rPr>
                <w:rFonts w:ascii="Times New Roman" w:hAnsi="Times New Roman" w:cs="Times New Roman"/>
                <w:sz w:val="20"/>
                <w:szCs w:val="20"/>
              </w:rPr>
              <w:t xml:space="preserve">. Kitchen Essentials reports no accidents. </w:t>
            </w:r>
          </w:p>
        </w:tc>
      </w:tr>
      <w:tr w:rsidR="00FD7DD1" w:rsidRPr="00A20C79" w14:paraId="4020B127" w14:textId="77777777" w:rsidTr="00FE5C16">
        <w:tc>
          <w:tcPr>
            <w:tcW w:w="1668" w:type="dxa"/>
            <w:tcBorders>
              <w:top w:val="single" w:sz="4" w:space="0" w:color="auto"/>
              <w:left w:val="single" w:sz="4" w:space="0" w:color="auto"/>
              <w:bottom w:val="single" w:sz="4" w:space="0" w:color="auto"/>
              <w:right w:val="single" w:sz="4" w:space="0" w:color="auto"/>
            </w:tcBorders>
            <w:vAlign w:val="center"/>
            <w:hideMark/>
          </w:tcPr>
          <w:p w14:paraId="4D592F00"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Social benefits/ Social security</w:t>
            </w:r>
          </w:p>
        </w:tc>
        <w:tc>
          <w:tcPr>
            <w:tcW w:w="2409" w:type="dxa"/>
            <w:tcBorders>
              <w:top w:val="single" w:sz="4" w:space="0" w:color="auto"/>
              <w:left w:val="single" w:sz="4" w:space="0" w:color="auto"/>
              <w:bottom w:val="single" w:sz="4" w:space="0" w:color="auto"/>
              <w:right w:val="single" w:sz="4" w:space="0" w:color="auto"/>
            </w:tcBorders>
            <w:hideMark/>
          </w:tcPr>
          <w:p w14:paraId="716CFA53"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Social security expenditures of the country/ sector</w:t>
            </w:r>
          </w:p>
        </w:tc>
        <w:tc>
          <w:tcPr>
            <w:tcW w:w="5211" w:type="dxa"/>
            <w:tcBorders>
              <w:top w:val="single" w:sz="4" w:space="0" w:color="auto"/>
              <w:left w:val="single" w:sz="4" w:space="0" w:color="auto"/>
              <w:bottom w:val="single" w:sz="4" w:space="0" w:color="auto"/>
              <w:right w:val="single" w:sz="4" w:space="0" w:color="auto"/>
            </w:tcBorders>
            <w:hideMark/>
          </w:tcPr>
          <w:p w14:paraId="7CCC2E7F"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 xml:space="preserve">2,6% of GDP (2010) was spend on public social protection expenditures (ILOStat). </w:t>
            </w:r>
          </w:p>
        </w:tc>
      </w:tr>
    </w:tbl>
    <w:p w14:paraId="4138F81D" w14:textId="77777777" w:rsidR="00FD7DD1" w:rsidRPr="00A20C79" w:rsidRDefault="00FD7DD1" w:rsidP="00FD7DD1">
      <w:pPr>
        <w:spacing w:line="360" w:lineRule="auto"/>
        <w:rPr>
          <w:rFonts w:ascii="Times New Roman" w:hAnsi="Times New Roman" w:cs="Times New Roman"/>
          <w:b/>
          <w:sz w:val="20"/>
          <w:szCs w:val="20"/>
        </w:rPr>
      </w:pPr>
      <w:r w:rsidRPr="00A20C79">
        <w:rPr>
          <w:rFonts w:ascii="Times New Roman" w:hAnsi="Times New Roman" w:cs="Times New Roman"/>
          <w:sz w:val="20"/>
          <w:szCs w:val="20"/>
        </w:rPr>
        <w:br/>
      </w:r>
    </w:p>
    <w:p w14:paraId="4B093181" w14:textId="77777777" w:rsidR="00FD7DD1" w:rsidRPr="00A20C79" w:rsidRDefault="00FD7DD1" w:rsidP="00FD7DD1">
      <w:pPr>
        <w:spacing w:line="360" w:lineRule="auto"/>
        <w:rPr>
          <w:rFonts w:ascii="Times New Roman" w:hAnsi="Times New Roman" w:cs="Times New Roman"/>
          <w:b/>
          <w:sz w:val="20"/>
          <w:szCs w:val="20"/>
        </w:rPr>
      </w:pPr>
      <w:r w:rsidRPr="00A20C79">
        <w:rPr>
          <w:rFonts w:ascii="Times New Roman" w:hAnsi="Times New Roman" w:cs="Times New Roman"/>
          <w:b/>
          <w:sz w:val="20"/>
          <w:szCs w:val="20"/>
        </w:rPr>
        <w:lastRenderedPageBreak/>
        <w:t>Stakeholder group Local community – production in India</w:t>
      </w:r>
    </w:p>
    <w:tbl>
      <w:tblPr>
        <w:tblStyle w:val="Tabellenraster"/>
        <w:tblW w:w="0" w:type="auto"/>
        <w:tblLook w:val="04A0" w:firstRow="1" w:lastRow="0" w:firstColumn="1" w:lastColumn="0" w:noHBand="0" w:noVBand="1"/>
      </w:tblPr>
      <w:tblGrid>
        <w:gridCol w:w="1668"/>
        <w:gridCol w:w="2409"/>
        <w:gridCol w:w="5211"/>
      </w:tblGrid>
      <w:tr w:rsidR="00FD7DD1" w:rsidRPr="00A20C79" w14:paraId="322A8162" w14:textId="77777777" w:rsidTr="00FE5C16">
        <w:tc>
          <w:tcPr>
            <w:tcW w:w="1668" w:type="dxa"/>
            <w:tcBorders>
              <w:top w:val="single" w:sz="4" w:space="0" w:color="auto"/>
              <w:left w:val="single" w:sz="4" w:space="0" w:color="auto"/>
              <w:bottom w:val="single" w:sz="4" w:space="0" w:color="auto"/>
              <w:right w:val="single" w:sz="4" w:space="0" w:color="auto"/>
            </w:tcBorders>
            <w:hideMark/>
          </w:tcPr>
          <w:p w14:paraId="3ABCF3FC" w14:textId="77777777" w:rsidR="00FD7DD1" w:rsidRPr="00A20C79" w:rsidRDefault="00FD7DD1" w:rsidP="00FD7DD1">
            <w:pPr>
              <w:spacing w:line="276" w:lineRule="auto"/>
              <w:rPr>
                <w:rFonts w:ascii="Times New Roman" w:hAnsi="Times New Roman" w:cs="Times New Roman"/>
                <w:b/>
                <w:sz w:val="20"/>
                <w:szCs w:val="20"/>
              </w:rPr>
            </w:pPr>
            <w:r w:rsidRPr="00A20C79">
              <w:rPr>
                <w:rFonts w:ascii="Times New Roman" w:hAnsi="Times New Roman" w:cs="Times New Roman"/>
                <w:b/>
                <w:sz w:val="20"/>
                <w:szCs w:val="20"/>
              </w:rPr>
              <w:t>Subcategory</w:t>
            </w:r>
          </w:p>
        </w:tc>
        <w:tc>
          <w:tcPr>
            <w:tcW w:w="2409" w:type="dxa"/>
            <w:tcBorders>
              <w:top w:val="single" w:sz="4" w:space="0" w:color="auto"/>
              <w:left w:val="single" w:sz="4" w:space="0" w:color="auto"/>
              <w:bottom w:val="single" w:sz="4" w:space="0" w:color="auto"/>
              <w:right w:val="single" w:sz="4" w:space="0" w:color="auto"/>
            </w:tcBorders>
            <w:hideMark/>
          </w:tcPr>
          <w:p w14:paraId="7DE8E761" w14:textId="77777777" w:rsidR="00FD7DD1" w:rsidRPr="00A20C79" w:rsidRDefault="00FD7DD1" w:rsidP="00FD7DD1">
            <w:pPr>
              <w:spacing w:line="276" w:lineRule="auto"/>
              <w:rPr>
                <w:rFonts w:ascii="Times New Roman" w:hAnsi="Times New Roman" w:cs="Times New Roman"/>
                <w:b/>
                <w:sz w:val="20"/>
                <w:szCs w:val="20"/>
              </w:rPr>
            </w:pPr>
            <w:r w:rsidRPr="00A20C79">
              <w:rPr>
                <w:rFonts w:ascii="Times New Roman" w:hAnsi="Times New Roman" w:cs="Times New Roman"/>
                <w:b/>
                <w:sz w:val="20"/>
                <w:szCs w:val="20"/>
              </w:rPr>
              <w:t>Indicator</w:t>
            </w:r>
          </w:p>
        </w:tc>
        <w:tc>
          <w:tcPr>
            <w:tcW w:w="5211" w:type="dxa"/>
            <w:tcBorders>
              <w:top w:val="single" w:sz="4" w:space="0" w:color="auto"/>
              <w:left w:val="single" w:sz="4" w:space="0" w:color="auto"/>
              <w:bottom w:val="single" w:sz="4" w:space="0" w:color="auto"/>
              <w:right w:val="single" w:sz="4" w:space="0" w:color="auto"/>
            </w:tcBorders>
            <w:hideMark/>
          </w:tcPr>
          <w:p w14:paraId="6B017676" w14:textId="77777777" w:rsidR="00FD7DD1" w:rsidRPr="00A20C79" w:rsidRDefault="00FD7DD1" w:rsidP="00FD7DD1">
            <w:pPr>
              <w:spacing w:line="276" w:lineRule="auto"/>
              <w:rPr>
                <w:rFonts w:ascii="Times New Roman" w:hAnsi="Times New Roman" w:cs="Times New Roman"/>
                <w:b/>
                <w:sz w:val="20"/>
                <w:szCs w:val="20"/>
              </w:rPr>
            </w:pPr>
            <w:r w:rsidRPr="00A20C79">
              <w:rPr>
                <w:rFonts w:ascii="Times New Roman" w:hAnsi="Times New Roman" w:cs="Times New Roman"/>
                <w:b/>
                <w:sz w:val="20"/>
                <w:szCs w:val="20"/>
              </w:rPr>
              <w:t>Status</w:t>
            </w:r>
          </w:p>
        </w:tc>
      </w:tr>
      <w:tr w:rsidR="00FD7DD1" w:rsidRPr="00A20C79" w14:paraId="085CCB09" w14:textId="77777777" w:rsidTr="00FE5C16">
        <w:tc>
          <w:tcPr>
            <w:tcW w:w="1668" w:type="dxa"/>
            <w:vMerge w:val="restart"/>
            <w:tcBorders>
              <w:top w:val="single" w:sz="4" w:space="0" w:color="auto"/>
              <w:left w:val="single" w:sz="4" w:space="0" w:color="auto"/>
              <w:bottom w:val="single" w:sz="4" w:space="0" w:color="auto"/>
              <w:right w:val="single" w:sz="4" w:space="0" w:color="auto"/>
            </w:tcBorders>
            <w:vAlign w:val="center"/>
            <w:hideMark/>
          </w:tcPr>
          <w:p w14:paraId="23B25176"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Access to material resources</w:t>
            </w:r>
          </w:p>
        </w:tc>
        <w:tc>
          <w:tcPr>
            <w:tcW w:w="2409" w:type="dxa"/>
            <w:tcBorders>
              <w:top w:val="single" w:sz="4" w:space="0" w:color="auto"/>
              <w:left w:val="single" w:sz="4" w:space="0" w:color="auto"/>
              <w:bottom w:val="single" w:sz="4" w:space="0" w:color="auto"/>
              <w:right w:val="single" w:sz="4" w:space="0" w:color="auto"/>
            </w:tcBorders>
            <w:hideMark/>
          </w:tcPr>
          <w:p w14:paraId="0AEBF2F0"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Extraction of material sources and level industrial water use</w:t>
            </w:r>
          </w:p>
        </w:tc>
        <w:tc>
          <w:tcPr>
            <w:tcW w:w="5211" w:type="dxa"/>
            <w:tcBorders>
              <w:top w:val="single" w:sz="4" w:space="0" w:color="auto"/>
              <w:left w:val="single" w:sz="4" w:space="0" w:color="auto"/>
              <w:bottom w:val="single" w:sz="4" w:space="0" w:color="auto"/>
              <w:right w:val="single" w:sz="4" w:space="0" w:color="auto"/>
            </w:tcBorders>
            <w:hideMark/>
          </w:tcPr>
          <w:p w14:paraId="18D39737"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India is the world 4</w:t>
            </w:r>
            <w:r w:rsidRPr="00A20C79">
              <w:rPr>
                <w:rFonts w:ascii="Times New Roman" w:hAnsi="Times New Roman" w:cs="Times New Roman"/>
                <w:sz w:val="20"/>
                <w:szCs w:val="20"/>
                <w:vertAlign w:val="superscript"/>
              </w:rPr>
              <w:t>th</w:t>
            </w:r>
            <w:r w:rsidRPr="00A20C79">
              <w:rPr>
                <w:rFonts w:ascii="Times New Roman" w:hAnsi="Times New Roman" w:cs="Times New Roman"/>
                <w:sz w:val="20"/>
                <w:szCs w:val="20"/>
              </w:rPr>
              <w:t xml:space="preserve"> largest steel producer. For steel production iron, chrome, nickel and carbon are required.</w:t>
            </w:r>
            <w:r w:rsidRPr="00A20C79">
              <w:rPr>
                <w:rStyle w:val="Funotenzeichen"/>
                <w:rFonts w:ascii="Times New Roman" w:hAnsi="Times New Roman" w:cs="Times New Roman"/>
                <w:sz w:val="20"/>
                <w:szCs w:val="20"/>
              </w:rPr>
              <w:footnoteReference w:id="15"/>
            </w:r>
            <w:r w:rsidRPr="00A20C79">
              <w:rPr>
                <w:rFonts w:ascii="Times New Roman" w:hAnsi="Times New Roman" w:cs="Times New Roman"/>
                <w:sz w:val="20"/>
                <w:szCs w:val="20"/>
              </w:rPr>
              <w:t xml:space="preserve"> </w:t>
            </w:r>
          </w:p>
        </w:tc>
      </w:tr>
      <w:tr w:rsidR="00FD7DD1" w:rsidRPr="00A20C79" w14:paraId="0D9010F4" w14:textId="77777777" w:rsidTr="00FE5C16">
        <w:tc>
          <w:tcPr>
            <w:tcW w:w="0" w:type="auto"/>
            <w:vMerge/>
            <w:tcBorders>
              <w:top w:val="single" w:sz="4" w:space="0" w:color="auto"/>
              <w:left w:val="single" w:sz="4" w:space="0" w:color="auto"/>
              <w:bottom w:val="single" w:sz="4" w:space="0" w:color="auto"/>
              <w:right w:val="single" w:sz="4" w:space="0" w:color="auto"/>
            </w:tcBorders>
            <w:vAlign w:val="center"/>
            <w:hideMark/>
          </w:tcPr>
          <w:p w14:paraId="6AE5D8A1" w14:textId="77777777" w:rsidR="00FD7DD1" w:rsidRPr="00A20C79" w:rsidRDefault="00FD7DD1" w:rsidP="00FD7DD1">
            <w:pPr>
              <w:spacing w:line="276" w:lineRule="auto"/>
              <w:rPr>
                <w:rFonts w:ascii="Times New Roman" w:hAnsi="Times New Roman" w:cs="Times New Roman"/>
                <w:b/>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0EB499D1"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Percent of population with access to improved sanitation facilities</w:t>
            </w:r>
          </w:p>
        </w:tc>
        <w:tc>
          <w:tcPr>
            <w:tcW w:w="5211" w:type="dxa"/>
            <w:tcBorders>
              <w:top w:val="single" w:sz="4" w:space="0" w:color="auto"/>
              <w:left w:val="single" w:sz="4" w:space="0" w:color="auto"/>
              <w:bottom w:val="single" w:sz="4" w:space="0" w:color="auto"/>
              <w:right w:val="single" w:sz="4" w:space="0" w:color="auto"/>
            </w:tcBorders>
            <w:hideMark/>
          </w:tcPr>
          <w:p w14:paraId="417DAE2F"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 xml:space="preserve">35,1% (Unicef, 2015) </w:t>
            </w:r>
            <w:r w:rsidRPr="00A20C79">
              <w:rPr>
                <w:rStyle w:val="Funotenzeichen"/>
                <w:rFonts w:ascii="Times New Roman" w:hAnsi="Times New Roman" w:cs="Times New Roman"/>
                <w:sz w:val="20"/>
                <w:szCs w:val="20"/>
              </w:rPr>
              <w:footnoteReference w:id="16"/>
            </w:r>
          </w:p>
        </w:tc>
      </w:tr>
      <w:tr w:rsidR="00FD7DD1" w:rsidRPr="00A20C79" w14:paraId="7E7E89A8" w14:textId="77777777" w:rsidTr="00FE5C16">
        <w:tc>
          <w:tcPr>
            <w:tcW w:w="0" w:type="auto"/>
            <w:vMerge/>
            <w:tcBorders>
              <w:top w:val="single" w:sz="4" w:space="0" w:color="auto"/>
              <w:left w:val="single" w:sz="4" w:space="0" w:color="auto"/>
              <w:bottom w:val="single" w:sz="4" w:space="0" w:color="auto"/>
              <w:right w:val="single" w:sz="4" w:space="0" w:color="auto"/>
            </w:tcBorders>
            <w:vAlign w:val="center"/>
            <w:hideMark/>
          </w:tcPr>
          <w:p w14:paraId="6AE705E1" w14:textId="77777777" w:rsidR="00FD7DD1" w:rsidRPr="00A20C79" w:rsidRDefault="00FD7DD1" w:rsidP="00FD7DD1">
            <w:pPr>
              <w:spacing w:line="276" w:lineRule="auto"/>
              <w:rPr>
                <w:rFonts w:ascii="Times New Roman" w:hAnsi="Times New Roman" w:cs="Times New Roman"/>
                <w:b/>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3BD96D25"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Existence of projects to improve community infrastructure</w:t>
            </w:r>
          </w:p>
        </w:tc>
        <w:tc>
          <w:tcPr>
            <w:tcW w:w="5211" w:type="dxa"/>
            <w:tcBorders>
              <w:top w:val="single" w:sz="4" w:space="0" w:color="auto"/>
              <w:left w:val="single" w:sz="4" w:space="0" w:color="auto"/>
              <w:bottom w:val="single" w:sz="4" w:space="0" w:color="auto"/>
              <w:right w:val="single" w:sz="4" w:space="0" w:color="auto"/>
            </w:tcBorders>
            <w:hideMark/>
          </w:tcPr>
          <w:p w14:paraId="1F3CE734"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The Ministry of Steel proposes in its report to improve infrastructures as mining activities and raw material transport rely heavily on the present inadequate infrastructure. The timespan of the plans covers 2012-2017.</w:t>
            </w:r>
            <w:r w:rsidRPr="00A20C79">
              <w:rPr>
                <w:rStyle w:val="Funotenzeichen"/>
                <w:rFonts w:ascii="Times New Roman" w:hAnsi="Times New Roman" w:cs="Times New Roman"/>
                <w:sz w:val="20"/>
                <w:szCs w:val="20"/>
              </w:rPr>
              <w:footnoteReference w:id="17"/>
            </w:r>
          </w:p>
        </w:tc>
      </w:tr>
      <w:tr w:rsidR="00FD7DD1" w:rsidRPr="00A20C79" w14:paraId="03BE285F" w14:textId="77777777" w:rsidTr="00FE5C16">
        <w:tc>
          <w:tcPr>
            <w:tcW w:w="0" w:type="auto"/>
            <w:vMerge/>
            <w:tcBorders>
              <w:top w:val="single" w:sz="4" w:space="0" w:color="auto"/>
              <w:left w:val="single" w:sz="4" w:space="0" w:color="auto"/>
              <w:bottom w:val="single" w:sz="4" w:space="0" w:color="auto"/>
              <w:right w:val="single" w:sz="4" w:space="0" w:color="auto"/>
            </w:tcBorders>
            <w:vAlign w:val="center"/>
            <w:hideMark/>
          </w:tcPr>
          <w:p w14:paraId="5773F514" w14:textId="77777777" w:rsidR="00FD7DD1" w:rsidRPr="00A20C79" w:rsidRDefault="00FD7DD1" w:rsidP="00FD7DD1">
            <w:pPr>
              <w:spacing w:line="276" w:lineRule="auto"/>
              <w:rPr>
                <w:rFonts w:ascii="Times New Roman" w:hAnsi="Times New Roman" w:cs="Times New Roman"/>
                <w:b/>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168DF4A2"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Presence of certified environmental management systems</w:t>
            </w:r>
          </w:p>
        </w:tc>
        <w:tc>
          <w:tcPr>
            <w:tcW w:w="5211" w:type="dxa"/>
            <w:tcBorders>
              <w:top w:val="single" w:sz="4" w:space="0" w:color="auto"/>
              <w:left w:val="single" w:sz="4" w:space="0" w:color="auto"/>
              <w:bottom w:val="single" w:sz="4" w:space="0" w:color="auto"/>
              <w:right w:val="single" w:sz="4" w:space="0" w:color="auto"/>
            </w:tcBorders>
            <w:hideMark/>
          </w:tcPr>
          <w:p w14:paraId="5EEEA1B3" w14:textId="08057447" w:rsidR="00FD7DD1" w:rsidRPr="00A20C79" w:rsidRDefault="004A2526"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 xml:space="preserve">Kitchen Essentials reports to be ISO 14000 and ISO 14001 certified. </w:t>
            </w:r>
          </w:p>
        </w:tc>
      </w:tr>
      <w:tr w:rsidR="00FD7DD1" w:rsidRPr="00A20C79" w14:paraId="279BFB90" w14:textId="77777777" w:rsidTr="00FE5C16">
        <w:tc>
          <w:tcPr>
            <w:tcW w:w="0" w:type="auto"/>
            <w:vMerge/>
            <w:tcBorders>
              <w:top w:val="single" w:sz="4" w:space="0" w:color="auto"/>
              <w:left w:val="single" w:sz="4" w:space="0" w:color="auto"/>
              <w:bottom w:val="single" w:sz="4" w:space="0" w:color="auto"/>
              <w:right w:val="single" w:sz="4" w:space="0" w:color="auto"/>
            </w:tcBorders>
            <w:vAlign w:val="center"/>
            <w:hideMark/>
          </w:tcPr>
          <w:p w14:paraId="311F7DE8" w14:textId="77777777" w:rsidR="00FD7DD1" w:rsidRPr="00A20C79" w:rsidRDefault="00FD7DD1" w:rsidP="00FD7DD1">
            <w:pPr>
              <w:spacing w:line="276" w:lineRule="auto"/>
              <w:rPr>
                <w:rFonts w:ascii="Times New Roman" w:hAnsi="Times New Roman" w:cs="Times New Roman"/>
                <w:b/>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202E0C5E"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Description of (potential) material resource conflicts</w:t>
            </w:r>
          </w:p>
        </w:tc>
        <w:tc>
          <w:tcPr>
            <w:tcW w:w="5211" w:type="dxa"/>
            <w:tcBorders>
              <w:top w:val="single" w:sz="4" w:space="0" w:color="auto"/>
              <w:left w:val="single" w:sz="4" w:space="0" w:color="auto"/>
              <w:bottom w:val="single" w:sz="4" w:space="0" w:color="auto"/>
              <w:right w:val="single" w:sz="4" w:space="0" w:color="auto"/>
            </w:tcBorders>
            <w:hideMark/>
          </w:tcPr>
          <w:p w14:paraId="219D38E2"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In the Eastern part of India, where a lot of the mineral mines  are situated Maoist militants extort money from mining companies (National Geographic, 2015).</w:t>
            </w:r>
            <w:r w:rsidRPr="00A20C79">
              <w:rPr>
                <w:rStyle w:val="Funotenzeichen"/>
                <w:rFonts w:ascii="Times New Roman" w:hAnsi="Times New Roman" w:cs="Times New Roman"/>
                <w:sz w:val="20"/>
                <w:szCs w:val="20"/>
              </w:rPr>
              <w:footnoteReference w:id="18"/>
            </w:r>
          </w:p>
        </w:tc>
      </w:tr>
      <w:tr w:rsidR="00FD7DD1" w:rsidRPr="00A20C79" w14:paraId="44E27516" w14:textId="77777777" w:rsidTr="00FE5C16">
        <w:tc>
          <w:tcPr>
            <w:tcW w:w="1668" w:type="dxa"/>
            <w:vMerge w:val="restart"/>
            <w:tcBorders>
              <w:top w:val="single" w:sz="4" w:space="0" w:color="auto"/>
              <w:left w:val="single" w:sz="4" w:space="0" w:color="auto"/>
              <w:bottom w:val="single" w:sz="4" w:space="0" w:color="auto"/>
              <w:right w:val="single" w:sz="4" w:space="0" w:color="auto"/>
            </w:tcBorders>
            <w:vAlign w:val="center"/>
            <w:hideMark/>
          </w:tcPr>
          <w:p w14:paraId="260E8567"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Access to immaterial resources</w:t>
            </w:r>
          </w:p>
        </w:tc>
        <w:tc>
          <w:tcPr>
            <w:tcW w:w="2409" w:type="dxa"/>
            <w:tcBorders>
              <w:top w:val="single" w:sz="4" w:space="0" w:color="auto"/>
              <w:left w:val="single" w:sz="4" w:space="0" w:color="auto"/>
              <w:bottom w:val="single" w:sz="4" w:space="0" w:color="auto"/>
              <w:right w:val="single" w:sz="4" w:space="0" w:color="auto"/>
            </w:tcBorders>
            <w:hideMark/>
          </w:tcPr>
          <w:p w14:paraId="16207BD7"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Freedom of expression in country/ sector</w:t>
            </w:r>
          </w:p>
        </w:tc>
        <w:tc>
          <w:tcPr>
            <w:tcW w:w="5211" w:type="dxa"/>
            <w:tcBorders>
              <w:top w:val="single" w:sz="4" w:space="0" w:color="auto"/>
              <w:left w:val="single" w:sz="4" w:space="0" w:color="auto"/>
              <w:bottom w:val="single" w:sz="4" w:space="0" w:color="auto"/>
              <w:right w:val="single" w:sz="4" w:space="0" w:color="auto"/>
            </w:tcBorders>
            <w:hideMark/>
          </w:tcPr>
          <w:p w14:paraId="773B9C27"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India is marked as a partly free press country (Dunham, 2015).</w:t>
            </w:r>
            <w:r w:rsidRPr="00A20C79">
              <w:rPr>
                <w:rStyle w:val="Funotenzeichen"/>
                <w:rFonts w:ascii="Times New Roman" w:hAnsi="Times New Roman" w:cs="Times New Roman"/>
                <w:sz w:val="20"/>
                <w:szCs w:val="20"/>
              </w:rPr>
              <w:footnoteReference w:id="19"/>
            </w:r>
            <w:r w:rsidRPr="00A20C79">
              <w:rPr>
                <w:rFonts w:ascii="Times New Roman" w:hAnsi="Times New Roman" w:cs="Times New Roman"/>
                <w:sz w:val="20"/>
                <w:szCs w:val="20"/>
              </w:rPr>
              <w:t xml:space="preserve"> In lead up to the elections quite some cases of censored journalists were reported. As there are a lot of trade unions in the sector, it can be assumed that the sector respects freedom of expression. </w:t>
            </w:r>
          </w:p>
        </w:tc>
      </w:tr>
      <w:tr w:rsidR="00FD7DD1" w:rsidRPr="00A20C79" w14:paraId="5F054A2F" w14:textId="77777777" w:rsidTr="00FE5C16">
        <w:tc>
          <w:tcPr>
            <w:tcW w:w="0" w:type="auto"/>
            <w:vMerge/>
            <w:tcBorders>
              <w:top w:val="single" w:sz="4" w:space="0" w:color="auto"/>
              <w:left w:val="single" w:sz="4" w:space="0" w:color="auto"/>
              <w:bottom w:val="single" w:sz="4" w:space="0" w:color="auto"/>
              <w:right w:val="single" w:sz="4" w:space="0" w:color="auto"/>
            </w:tcBorders>
            <w:vAlign w:val="center"/>
            <w:hideMark/>
          </w:tcPr>
          <w:p w14:paraId="3EB29CA4" w14:textId="77777777" w:rsidR="00FD7DD1" w:rsidRPr="00A20C79" w:rsidRDefault="00FD7DD1" w:rsidP="00FD7DD1">
            <w:pPr>
              <w:spacing w:line="276" w:lineRule="auto"/>
              <w:rPr>
                <w:rFonts w:ascii="Times New Roman" w:hAnsi="Times New Roman" w:cs="Times New Roman"/>
                <w:b/>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65301CA3"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Annual arrests connected to protest of sector actions</w:t>
            </w:r>
          </w:p>
        </w:tc>
        <w:tc>
          <w:tcPr>
            <w:tcW w:w="5211" w:type="dxa"/>
            <w:tcBorders>
              <w:top w:val="single" w:sz="4" w:space="0" w:color="auto"/>
              <w:left w:val="single" w:sz="4" w:space="0" w:color="auto"/>
              <w:bottom w:val="single" w:sz="4" w:space="0" w:color="auto"/>
              <w:right w:val="single" w:sz="4" w:space="0" w:color="auto"/>
            </w:tcBorders>
            <w:hideMark/>
          </w:tcPr>
          <w:p w14:paraId="01C789FC"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 xml:space="preserve">No information on sector-related arrests available. </w:t>
            </w:r>
          </w:p>
        </w:tc>
      </w:tr>
      <w:tr w:rsidR="00FD7DD1" w:rsidRPr="00A20C79" w14:paraId="7C6FC82C" w14:textId="77777777" w:rsidTr="00FE5C16">
        <w:tc>
          <w:tcPr>
            <w:tcW w:w="0" w:type="auto"/>
            <w:vMerge/>
            <w:tcBorders>
              <w:top w:val="single" w:sz="4" w:space="0" w:color="auto"/>
              <w:left w:val="single" w:sz="4" w:space="0" w:color="auto"/>
              <w:bottom w:val="single" w:sz="4" w:space="0" w:color="auto"/>
              <w:right w:val="single" w:sz="4" w:space="0" w:color="auto"/>
            </w:tcBorders>
            <w:vAlign w:val="center"/>
            <w:hideMark/>
          </w:tcPr>
          <w:p w14:paraId="68FBCB69" w14:textId="77777777" w:rsidR="00FD7DD1" w:rsidRPr="00A20C79" w:rsidRDefault="00FD7DD1" w:rsidP="00FD7DD1">
            <w:pPr>
              <w:spacing w:line="276" w:lineRule="auto"/>
              <w:rPr>
                <w:rFonts w:ascii="Times New Roman" w:hAnsi="Times New Roman" w:cs="Times New Roman"/>
                <w:b/>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1EB75FED"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Presence of community</w:t>
            </w:r>
          </w:p>
          <w:p w14:paraId="7BE7C655"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education initiatives and</w:t>
            </w:r>
          </w:p>
          <w:p w14:paraId="05B0B6C6"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community service programmes</w:t>
            </w:r>
          </w:p>
        </w:tc>
        <w:tc>
          <w:tcPr>
            <w:tcW w:w="5211" w:type="dxa"/>
            <w:tcBorders>
              <w:top w:val="single" w:sz="4" w:space="0" w:color="auto"/>
              <w:left w:val="single" w:sz="4" w:space="0" w:color="auto"/>
              <w:bottom w:val="single" w:sz="4" w:space="0" w:color="auto"/>
              <w:right w:val="single" w:sz="4" w:space="0" w:color="auto"/>
            </w:tcBorders>
            <w:hideMark/>
          </w:tcPr>
          <w:p w14:paraId="67608233"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Some large steel producers have community service projects (Economic Times, 2014)</w:t>
            </w:r>
            <w:r w:rsidRPr="00A20C79">
              <w:rPr>
                <w:rStyle w:val="Funotenzeichen"/>
                <w:rFonts w:ascii="Times New Roman" w:hAnsi="Times New Roman" w:cs="Times New Roman"/>
                <w:sz w:val="20"/>
                <w:szCs w:val="20"/>
              </w:rPr>
              <w:footnoteReference w:id="20"/>
            </w:r>
            <w:r w:rsidRPr="00A20C79">
              <w:rPr>
                <w:rFonts w:ascii="Times New Roman" w:hAnsi="Times New Roman" w:cs="Times New Roman"/>
                <w:sz w:val="20"/>
                <w:szCs w:val="20"/>
              </w:rPr>
              <w:t xml:space="preserve">. However, no evidence can be found whether this is also the case in the steel pot manufacturing industry and at Kitchen Essentials specifically. </w:t>
            </w:r>
          </w:p>
        </w:tc>
      </w:tr>
      <w:tr w:rsidR="00FD7DD1" w:rsidRPr="00A20C79" w14:paraId="79A8217D" w14:textId="77777777" w:rsidTr="00FE5C16">
        <w:tc>
          <w:tcPr>
            <w:tcW w:w="1668" w:type="dxa"/>
            <w:vMerge w:val="restart"/>
            <w:tcBorders>
              <w:top w:val="single" w:sz="4" w:space="0" w:color="auto"/>
              <w:left w:val="single" w:sz="4" w:space="0" w:color="auto"/>
              <w:bottom w:val="single" w:sz="4" w:space="0" w:color="auto"/>
              <w:right w:val="single" w:sz="4" w:space="0" w:color="auto"/>
            </w:tcBorders>
            <w:vAlign w:val="center"/>
            <w:hideMark/>
          </w:tcPr>
          <w:p w14:paraId="675F4488"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Delocalisation</w:t>
            </w:r>
          </w:p>
          <w:p w14:paraId="4CD4FBAF"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and migration</w:t>
            </w:r>
          </w:p>
        </w:tc>
        <w:tc>
          <w:tcPr>
            <w:tcW w:w="2409" w:type="dxa"/>
            <w:tcBorders>
              <w:top w:val="single" w:sz="4" w:space="0" w:color="auto"/>
              <w:left w:val="single" w:sz="4" w:space="0" w:color="auto"/>
              <w:bottom w:val="single" w:sz="4" w:space="0" w:color="auto"/>
              <w:right w:val="single" w:sz="4" w:space="0" w:color="auto"/>
            </w:tcBorders>
            <w:hideMark/>
          </w:tcPr>
          <w:p w14:paraId="21C84018"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Migration rate of the country</w:t>
            </w:r>
          </w:p>
        </w:tc>
        <w:tc>
          <w:tcPr>
            <w:tcW w:w="5211" w:type="dxa"/>
            <w:tcBorders>
              <w:top w:val="single" w:sz="4" w:space="0" w:color="auto"/>
              <w:left w:val="single" w:sz="4" w:space="0" w:color="auto"/>
              <w:bottom w:val="single" w:sz="4" w:space="0" w:color="auto"/>
              <w:right w:val="single" w:sz="4" w:space="0" w:color="auto"/>
            </w:tcBorders>
            <w:hideMark/>
          </w:tcPr>
          <w:p w14:paraId="1A4F9231"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India has a slightly negative migration rate of -0,2 migrants/1000 inhabitants (IMO, 2015).</w:t>
            </w:r>
            <w:r w:rsidRPr="00A20C79">
              <w:rPr>
                <w:rStyle w:val="Funotenzeichen"/>
                <w:rFonts w:ascii="Times New Roman" w:hAnsi="Times New Roman" w:cs="Times New Roman"/>
                <w:sz w:val="20"/>
                <w:szCs w:val="20"/>
              </w:rPr>
              <w:footnoteReference w:id="21"/>
            </w:r>
          </w:p>
        </w:tc>
      </w:tr>
      <w:tr w:rsidR="00FD7DD1" w:rsidRPr="00FD7DD1" w14:paraId="2543DC99" w14:textId="77777777" w:rsidTr="00FE5C16">
        <w:tc>
          <w:tcPr>
            <w:tcW w:w="0" w:type="auto"/>
            <w:vMerge/>
            <w:tcBorders>
              <w:top w:val="single" w:sz="4" w:space="0" w:color="auto"/>
              <w:left w:val="single" w:sz="4" w:space="0" w:color="auto"/>
              <w:bottom w:val="single" w:sz="4" w:space="0" w:color="auto"/>
              <w:right w:val="single" w:sz="4" w:space="0" w:color="auto"/>
            </w:tcBorders>
            <w:vAlign w:val="center"/>
            <w:hideMark/>
          </w:tcPr>
          <w:p w14:paraId="4219A163" w14:textId="77777777" w:rsidR="00FD7DD1" w:rsidRPr="00A20C79" w:rsidRDefault="00FD7DD1" w:rsidP="00FD7DD1">
            <w:pPr>
              <w:spacing w:line="276" w:lineRule="auto"/>
              <w:rPr>
                <w:rFonts w:ascii="Times New Roman" w:hAnsi="Times New Roman" w:cs="Times New Roman"/>
                <w:b/>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6C5118DF"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Number of individuals who</w:t>
            </w:r>
          </w:p>
          <w:p w14:paraId="7E340EE8"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resettle that can be attributed</w:t>
            </w:r>
          </w:p>
          <w:p w14:paraId="2E2CC9B3"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to the sector</w:t>
            </w:r>
          </w:p>
        </w:tc>
        <w:tc>
          <w:tcPr>
            <w:tcW w:w="5211" w:type="dxa"/>
            <w:tcBorders>
              <w:top w:val="single" w:sz="4" w:space="0" w:color="auto"/>
              <w:left w:val="single" w:sz="4" w:space="0" w:color="auto"/>
              <w:bottom w:val="single" w:sz="4" w:space="0" w:color="auto"/>
              <w:right w:val="single" w:sz="4" w:space="0" w:color="auto"/>
            </w:tcBorders>
            <w:hideMark/>
          </w:tcPr>
          <w:p w14:paraId="0742B5C4" w14:textId="77777777" w:rsidR="00FD7DD1" w:rsidRPr="00FD7DD1"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India knows quite a lot of forced migration.</w:t>
            </w:r>
            <w:r w:rsidRPr="00A20C79">
              <w:rPr>
                <w:rStyle w:val="Funotenzeichen"/>
                <w:rFonts w:ascii="Times New Roman" w:hAnsi="Times New Roman" w:cs="Times New Roman"/>
                <w:sz w:val="20"/>
                <w:szCs w:val="20"/>
              </w:rPr>
              <w:footnoteReference w:id="22"/>
            </w:r>
            <w:r w:rsidRPr="00A20C79">
              <w:rPr>
                <w:rFonts w:ascii="Times New Roman" w:hAnsi="Times New Roman" w:cs="Times New Roman"/>
                <w:sz w:val="20"/>
                <w:szCs w:val="20"/>
              </w:rPr>
              <w:t xml:space="preserve"> However, this is not directly attributable to the steel pot manufacturing sector.</w:t>
            </w:r>
            <w:r w:rsidRPr="00FD7DD1">
              <w:rPr>
                <w:rFonts w:ascii="Times New Roman" w:hAnsi="Times New Roman" w:cs="Times New Roman"/>
                <w:sz w:val="20"/>
                <w:szCs w:val="20"/>
              </w:rPr>
              <w:t xml:space="preserve"> </w:t>
            </w:r>
          </w:p>
        </w:tc>
      </w:tr>
    </w:tbl>
    <w:p w14:paraId="37729C7E" w14:textId="77777777" w:rsidR="00FD7DD1" w:rsidRPr="00FD7DD1" w:rsidRDefault="00FD7DD1" w:rsidP="00FD7DD1">
      <w:pPr>
        <w:spacing w:line="360" w:lineRule="auto"/>
        <w:rPr>
          <w:rFonts w:ascii="Times New Roman" w:hAnsi="Times New Roman" w:cs="Times New Roman"/>
          <w:sz w:val="20"/>
          <w:szCs w:val="20"/>
        </w:rPr>
      </w:pPr>
      <w:r w:rsidRPr="00FD7DD1">
        <w:rPr>
          <w:rFonts w:ascii="Times New Roman" w:hAnsi="Times New Roman" w:cs="Times New Roman"/>
          <w:sz w:val="20"/>
          <w:szCs w:val="20"/>
        </w:rPr>
        <w:br w:type="page"/>
      </w:r>
    </w:p>
    <w:tbl>
      <w:tblPr>
        <w:tblStyle w:val="Tabellenraster"/>
        <w:tblW w:w="0" w:type="auto"/>
        <w:tblLook w:val="04A0" w:firstRow="1" w:lastRow="0" w:firstColumn="1" w:lastColumn="0" w:noHBand="0" w:noVBand="1"/>
      </w:tblPr>
      <w:tblGrid>
        <w:gridCol w:w="1668"/>
        <w:gridCol w:w="2409"/>
        <w:gridCol w:w="5211"/>
      </w:tblGrid>
      <w:tr w:rsidR="00FD7DD1" w:rsidRPr="00A20C79" w14:paraId="14FA86CC" w14:textId="77777777" w:rsidTr="00FE5C16">
        <w:tc>
          <w:tcPr>
            <w:tcW w:w="1668" w:type="dxa"/>
            <w:tcBorders>
              <w:top w:val="single" w:sz="4" w:space="0" w:color="auto"/>
              <w:left w:val="single" w:sz="4" w:space="0" w:color="auto"/>
              <w:bottom w:val="single" w:sz="4" w:space="0" w:color="auto"/>
              <w:right w:val="single" w:sz="4" w:space="0" w:color="auto"/>
            </w:tcBorders>
            <w:vAlign w:val="center"/>
            <w:hideMark/>
          </w:tcPr>
          <w:p w14:paraId="42EA6F7B"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lastRenderedPageBreak/>
              <w:t>Cultural heritage</w:t>
            </w:r>
          </w:p>
        </w:tc>
        <w:tc>
          <w:tcPr>
            <w:tcW w:w="2409" w:type="dxa"/>
            <w:tcBorders>
              <w:top w:val="single" w:sz="4" w:space="0" w:color="auto"/>
              <w:left w:val="single" w:sz="4" w:space="0" w:color="auto"/>
              <w:bottom w:val="single" w:sz="4" w:space="0" w:color="auto"/>
              <w:right w:val="single" w:sz="4" w:space="0" w:color="auto"/>
            </w:tcBorders>
            <w:hideMark/>
          </w:tcPr>
          <w:p w14:paraId="36C39621"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Respect of the sector regarding</w:t>
            </w:r>
          </w:p>
          <w:p w14:paraId="08633EAB"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local cultural heritage</w:t>
            </w:r>
          </w:p>
          <w:p w14:paraId="6267CEF5"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including language,</w:t>
            </w:r>
          </w:p>
          <w:p w14:paraId="437B669E"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social and religious practices.</w:t>
            </w:r>
          </w:p>
        </w:tc>
        <w:tc>
          <w:tcPr>
            <w:tcW w:w="5211" w:type="dxa"/>
            <w:tcBorders>
              <w:top w:val="single" w:sz="4" w:space="0" w:color="auto"/>
              <w:left w:val="single" w:sz="4" w:space="0" w:color="auto"/>
              <w:bottom w:val="single" w:sz="4" w:space="0" w:color="auto"/>
              <w:right w:val="single" w:sz="4" w:space="0" w:color="auto"/>
            </w:tcBorders>
            <w:hideMark/>
          </w:tcPr>
          <w:p w14:paraId="701C9E87" w14:textId="592061B3" w:rsidR="00FD7DD1" w:rsidRPr="00A20C79" w:rsidRDefault="00FD7DD1" w:rsidP="004A2526">
            <w:pPr>
              <w:spacing w:line="276" w:lineRule="auto"/>
              <w:rPr>
                <w:rFonts w:ascii="Times New Roman" w:hAnsi="Times New Roman" w:cs="Times New Roman"/>
                <w:sz w:val="20"/>
                <w:szCs w:val="20"/>
              </w:rPr>
            </w:pPr>
            <w:r w:rsidRPr="00A20C79">
              <w:rPr>
                <w:rFonts w:ascii="Times New Roman" w:hAnsi="Times New Roman" w:cs="Times New Roman"/>
                <w:sz w:val="20"/>
                <w:szCs w:val="20"/>
              </w:rPr>
              <w:t>Some large steel producers preserve and promote cultural heritage.</w:t>
            </w:r>
            <w:r w:rsidRPr="00A20C79">
              <w:rPr>
                <w:rStyle w:val="Funotenzeichen"/>
                <w:rFonts w:ascii="Times New Roman" w:hAnsi="Times New Roman" w:cs="Times New Roman"/>
                <w:sz w:val="20"/>
                <w:szCs w:val="20"/>
              </w:rPr>
              <w:footnoteReference w:id="23"/>
            </w:r>
            <w:r w:rsidRPr="00A20C79">
              <w:rPr>
                <w:rFonts w:ascii="Times New Roman" w:hAnsi="Times New Roman" w:cs="Times New Roman"/>
                <w:sz w:val="20"/>
                <w:szCs w:val="20"/>
              </w:rPr>
              <w:t xml:space="preserve"> </w:t>
            </w:r>
            <w:r w:rsidR="004A2526" w:rsidRPr="00A20C79">
              <w:rPr>
                <w:rFonts w:ascii="Times New Roman" w:hAnsi="Times New Roman" w:cs="Times New Roman"/>
                <w:sz w:val="20"/>
                <w:szCs w:val="20"/>
              </w:rPr>
              <w:t xml:space="preserve">Kitchen Essentials stated that it engages in structural projects to </w:t>
            </w:r>
            <w:r w:rsidR="00693C5C" w:rsidRPr="00A20C79">
              <w:rPr>
                <w:rFonts w:ascii="Times New Roman" w:hAnsi="Times New Roman" w:cs="Times New Roman"/>
                <w:sz w:val="20"/>
                <w:szCs w:val="20"/>
              </w:rPr>
              <w:t>respect cultural heritage.</w:t>
            </w:r>
          </w:p>
        </w:tc>
      </w:tr>
      <w:tr w:rsidR="00FD7DD1" w:rsidRPr="00A20C79" w14:paraId="5ED65036" w14:textId="77777777" w:rsidTr="00FE5C16">
        <w:tc>
          <w:tcPr>
            <w:tcW w:w="1668" w:type="dxa"/>
            <w:vMerge w:val="restart"/>
            <w:tcBorders>
              <w:top w:val="single" w:sz="4" w:space="0" w:color="auto"/>
              <w:left w:val="single" w:sz="4" w:space="0" w:color="auto"/>
              <w:bottom w:val="single" w:sz="4" w:space="0" w:color="auto"/>
              <w:right w:val="single" w:sz="4" w:space="0" w:color="auto"/>
            </w:tcBorders>
            <w:vAlign w:val="center"/>
          </w:tcPr>
          <w:p w14:paraId="6A120D5C"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Respect of</w:t>
            </w:r>
          </w:p>
          <w:p w14:paraId="519766AD"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Indigenous</w:t>
            </w:r>
          </w:p>
          <w:p w14:paraId="384AD609"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rights</w:t>
            </w:r>
          </w:p>
          <w:p w14:paraId="2A01F348" w14:textId="77777777" w:rsidR="00FD7DD1" w:rsidRPr="00A20C79" w:rsidRDefault="00FD7DD1" w:rsidP="00FD7DD1">
            <w:pPr>
              <w:spacing w:line="276" w:lineRule="auto"/>
              <w:jc w:val="center"/>
              <w:rPr>
                <w:rFonts w:ascii="Times New Roman" w:hAnsi="Times New Roman" w:cs="Times New Roman"/>
                <w:b/>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27DEED18"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Human rights issues faced</w:t>
            </w:r>
          </w:p>
          <w:p w14:paraId="2E3A86B0"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by indigenous people in the</w:t>
            </w:r>
          </w:p>
          <w:p w14:paraId="164DE708"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country</w:t>
            </w:r>
          </w:p>
        </w:tc>
        <w:tc>
          <w:tcPr>
            <w:tcW w:w="5211" w:type="dxa"/>
            <w:tcBorders>
              <w:top w:val="single" w:sz="4" w:space="0" w:color="auto"/>
              <w:left w:val="single" w:sz="4" w:space="0" w:color="auto"/>
              <w:bottom w:val="single" w:sz="4" w:space="0" w:color="auto"/>
              <w:right w:val="single" w:sz="4" w:space="0" w:color="auto"/>
            </w:tcBorders>
            <w:hideMark/>
          </w:tcPr>
          <w:p w14:paraId="45A4D042"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India did not ratified the ILO convention C.169 on the protection of indigenous people.  India has several laws which recognize indigenous peoples’ rights to land and self-governance. However, these have certain shortcomings.</w:t>
            </w:r>
            <w:r w:rsidRPr="00A20C79">
              <w:rPr>
                <w:rStyle w:val="Funotenzeichen"/>
                <w:rFonts w:ascii="Times New Roman" w:hAnsi="Times New Roman" w:cs="Times New Roman"/>
                <w:sz w:val="20"/>
                <w:szCs w:val="20"/>
              </w:rPr>
              <w:footnoteReference w:id="24"/>
            </w:r>
          </w:p>
        </w:tc>
      </w:tr>
      <w:tr w:rsidR="00FD7DD1" w:rsidRPr="00A20C79" w14:paraId="0CBDD894" w14:textId="77777777" w:rsidTr="00FE5C16">
        <w:tc>
          <w:tcPr>
            <w:tcW w:w="0" w:type="auto"/>
            <w:vMerge/>
            <w:tcBorders>
              <w:top w:val="single" w:sz="4" w:space="0" w:color="auto"/>
              <w:left w:val="single" w:sz="4" w:space="0" w:color="auto"/>
              <w:bottom w:val="single" w:sz="4" w:space="0" w:color="auto"/>
              <w:right w:val="single" w:sz="4" w:space="0" w:color="auto"/>
            </w:tcBorders>
            <w:vAlign w:val="center"/>
            <w:hideMark/>
          </w:tcPr>
          <w:p w14:paraId="5ED01875" w14:textId="77777777" w:rsidR="00FD7DD1" w:rsidRPr="00A20C79" w:rsidRDefault="00FD7DD1" w:rsidP="00FD7DD1">
            <w:pPr>
              <w:spacing w:line="276" w:lineRule="auto"/>
              <w:rPr>
                <w:rFonts w:ascii="Times New Roman" w:hAnsi="Times New Roman" w:cs="Times New Roman"/>
                <w:b/>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70472F78"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Respect of the sector regarding</w:t>
            </w:r>
          </w:p>
          <w:p w14:paraId="75F50F2B"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indigenous rights</w:t>
            </w:r>
          </w:p>
        </w:tc>
        <w:tc>
          <w:tcPr>
            <w:tcW w:w="5211" w:type="dxa"/>
            <w:tcBorders>
              <w:top w:val="single" w:sz="4" w:space="0" w:color="auto"/>
              <w:left w:val="single" w:sz="4" w:space="0" w:color="auto"/>
              <w:bottom w:val="single" w:sz="4" w:space="0" w:color="auto"/>
              <w:right w:val="single" w:sz="4" w:space="0" w:color="auto"/>
            </w:tcBorders>
            <w:hideMark/>
          </w:tcPr>
          <w:p w14:paraId="5553D922"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The largest concentrations of indigenous peoples are found in the seven states of north-east India, and the so-called ‘central tribal belt’ stretching from Rajasthan to West Bengal. Neither the Kitchen Essentials plant nor the major iron ore mines are located in that area</w:t>
            </w:r>
            <w:r w:rsidRPr="00A20C79">
              <w:rPr>
                <w:rStyle w:val="Funotenzeichen"/>
                <w:rFonts w:ascii="Times New Roman" w:hAnsi="Times New Roman" w:cs="Times New Roman"/>
                <w:sz w:val="20"/>
                <w:szCs w:val="20"/>
              </w:rPr>
              <w:footnoteReference w:id="25"/>
            </w:r>
            <w:r w:rsidRPr="00A20C79">
              <w:rPr>
                <w:rFonts w:ascii="Times New Roman" w:hAnsi="Times New Roman" w:cs="Times New Roman"/>
                <w:sz w:val="20"/>
                <w:szCs w:val="20"/>
              </w:rPr>
              <w:t xml:space="preserve">, so it seems no indigenous communities are affected by steel pot manufacturing activities. </w:t>
            </w:r>
          </w:p>
        </w:tc>
      </w:tr>
      <w:tr w:rsidR="00FD7DD1" w:rsidRPr="00A20C79" w14:paraId="6DB41966" w14:textId="77777777" w:rsidTr="00FE5C16">
        <w:tc>
          <w:tcPr>
            <w:tcW w:w="1668" w:type="dxa"/>
            <w:vMerge w:val="restart"/>
            <w:tcBorders>
              <w:top w:val="single" w:sz="4" w:space="0" w:color="auto"/>
              <w:left w:val="single" w:sz="4" w:space="0" w:color="auto"/>
              <w:bottom w:val="single" w:sz="4" w:space="0" w:color="auto"/>
              <w:right w:val="single" w:sz="4" w:space="0" w:color="auto"/>
            </w:tcBorders>
            <w:vAlign w:val="center"/>
            <w:hideMark/>
          </w:tcPr>
          <w:p w14:paraId="6A2A5677"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Safe and</w:t>
            </w:r>
          </w:p>
          <w:p w14:paraId="754415FA"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healthy living</w:t>
            </w:r>
          </w:p>
          <w:p w14:paraId="500C1699"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conditions</w:t>
            </w:r>
          </w:p>
        </w:tc>
        <w:tc>
          <w:tcPr>
            <w:tcW w:w="2409" w:type="dxa"/>
            <w:tcBorders>
              <w:top w:val="single" w:sz="4" w:space="0" w:color="auto"/>
              <w:left w:val="single" w:sz="4" w:space="0" w:color="auto"/>
              <w:bottom w:val="single" w:sz="4" w:space="0" w:color="auto"/>
              <w:right w:val="single" w:sz="4" w:space="0" w:color="auto"/>
            </w:tcBorders>
            <w:hideMark/>
          </w:tcPr>
          <w:p w14:paraId="7ACBD24E"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Burden of disease in the</w:t>
            </w:r>
          </w:p>
          <w:p w14:paraId="784FFBA9"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Country</w:t>
            </w:r>
          </w:p>
        </w:tc>
        <w:tc>
          <w:tcPr>
            <w:tcW w:w="5211" w:type="dxa"/>
            <w:tcBorders>
              <w:top w:val="single" w:sz="4" w:space="0" w:color="auto"/>
              <w:left w:val="single" w:sz="4" w:space="0" w:color="auto"/>
              <w:bottom w:val="single" w:sz="4" w:space="0" w:color="auto"/>
              <w:right w:val="single" w:sz="4" w:space="0" w:color="auto"/>
            </w:tcBorders>
            <w:hideMark/>
          </w:tcPr>
          <w:p w14:paraId="2F767004"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Life expectancy at birth amounts 66 years (WHO, 2013).</w:t>
            </w:r>
            <w:r w:rsidRPr="00A20C79">
              <w:rPr>
                <w:rStyle w:val="Funotenzeichen"/>
                <w:rFonts w:ascii="Times New Roman" w:hAnsi="Times New Roman" w:cs="Times New Roman"/>
                <w:sz w:val="20"/>
                <w:szCs w:val="20"/>
              </w:rPr>
              <w:footnoteReference w:id="26"/>
            </w:r>
            <w:r w:rsidRPr="00A20C79">
              <w:rPr>
                <w:rFonts w:ascii="Times New Roman" w:hAnsi="Times New Roman" w:cs="Times New Roman"/>
                <w:sz w:val="20"/>
                <w:szCs w:val="20"/>
              </w:rPr>
              <w:t xml:space="preserve"> Tuberculosis is one of the leading causes of mortality in India. The estimated incidence is the highest in the Northern provinces.</w:t>
            </w:r>
            <w:r w:rsidRPr="00A20C79">
              <w:rPr>
                <w:rStyle w:val="Funotenzeichen"/>
                <w:rFonts w:ascii="Times New Roman" w:hAnsi="Times New Roman" w:cs="Times New Roman"/>
                <w:sz w:val="20"/>
                <w:szCs w:val="20"/>
              </w:rPr>
              <w:footnoteReference w:id="27"/>
            </w:r>
            <w:r w:rsidRPr="00A20C79">
              <w:rPr>
                <w:rFonts w:ascii="Times New Roman" w:hAnsi="Times New Roman" w:cs="Times New Roman"/>
                <w:sz w:val="20"/>
                <w:szCs w:val="20"/>
              </w:rPr>
              <w:t xml:space="preserve"> </w:t>
            </w:r>
          </w:p>
        </w:tc>
      </w:tr>
      <w:tr w:rsidR="00FD7DD1" w:rsidRPr="00A20C79" w14:paraId="75D29398" w14:textId="77777777" w:rsidTr="00FE5C16">
        <w:tc>
          <w:tcPr>
            <w:tcW w:w="0" w:type="auto"/>
            <w:vMerge/>
            <w:tcBorders>
              <w:top w:val="single" w:sz="4" w:space="0" w:color="auto"/>
              <w:left w:val="single" w:sz="4" w:space="0" w:color="auto"/>
              <w:bottom w:val="single" w:sz="4" w:space="0" w:color="auto"/>
              <w:right w:val="single" w:sz="4" w:space="0" w:color="auto"/>
            </w:tcBorders>
            <w:vAlign w:val="center"/>
            <w:hideMark/>
          </w:tcPr>
          <w:p w14:paraId="313F56FD" w14:textId="77777777" w:rsidR="00FD7DD1" w:rsidRPr="00A20C79" w:rsidRDefault="00FD7DD1" w:rsidP="00FD7DD1">
            <w:pPr>
              <w:spacing w:line="276" w:lineRule="auto"/>
              <w:rPr>
                <w:rFonts w:ascii="Times New Roman" w:hAnsi="Times New Roman" w:cs="Times New Roman"/>
                <w:b/>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65F90857"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Pollution level of the country</w:t>
            </w:r>
          </w:p>
          <w:p w14:paraId="1DC1E90B"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and contribution of the</w:t>
            </w:r>
          </w:p>
          <w:p w14:paraId="33161301"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sector to the environmental</w:t>
            </w:r>
          </w:p>
          <w:p w14:paraId="70E3D631"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load</w:t>
            </w:r>
          </w:p>
        </w:tc>
        <w:tc>
          <w:tcPr>
            <w:tcW w:w="5211" w:type="dxa"/>
            <w:tcBorders>
              <w:top w:val="single" w:sz="4" w:space="0" w:color="auto"/>
              <w:left w:val="single" w:sz="4" w:space="0" w:color="auto"/>
              <w:bottom w:val="single" w:sz="4" w:space="0" w:color="auto"/>
              <w:right w:val="single" w:sz="4" w:space="0" w:color="auto"/>
            </w:tcBorders>
            <w:hideMark/>
          </w:tcPr>
          <w:p w14:paraId="6F9D04EB"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 xml:space="preserve">India is the world’s third largest polluter of greenhouse gas emissions. Furthermore, 13 out of world’s top twenty polluted cities is located in India. Industries rank third as contributors to Indian air pollution. </w:t>
            </w:r>
            <w:r w:rsidRPr="00A20C79">
              <w:rPr>
                <w:rStyle w:val="Funotenzeichen"/>
                <w:rFonts w:ascii="Times New Roman" w:hAnsi="Times New Roman" w:cs="Times New Roman"/>
                <w:sz w:val="20"/>
                <w:szCs w:val="20"/>
              </w:rPr>
              <w:footnoteReference w:id="28"/>
            </w:r>
            <w:r w:rsidRPr="00A20C79">
              <w:rPr>
                <w:rFonts w:ascii="Times New Roman" w:hAnsi="Times New Roman" w:cs="Times New Roman"/>
                <w:sz w:val="20"/>
                <w:szCs w:val="20"/>
              </w:rPr>
              <w:t xml:space="preserve"> Furthermore, steel making will emit 800 million tonne CO2 annually by 2030. Where total CO2 emission of India is around 1,8 billion tonnes today (Kanchan, 2013).</w:t>
            </w:r>
            <w:r w:rsidRPr="00A20C79">
              <w:rPr>
                <w:rStyle w:val="Funotenzeichen"/>
                <w:rFonts w:ascii="Times New Roman" w:hAnsi="Times New Roman" w:cs="Times New Roman"/>
                <w:sz w:val="20"/>
                <w:szCs w:val="20"/>
              </w:rPr>
              <w:footnoteReference w:id="29"/>
            </w:r>
            <w:r w:rsidRPr="00A20C79">
              <w:rPr>
                <w:rFonts w:ascii="Times New Roman" w:hAnsi="Times New Roman" w:cs="Times New Roman"/>
                <w:sz w:val="20"/>
                <w:szCs w:val="20"/>
              </w:rPr>
              <w:t xml:space="preserve"> </w:t>
            </w:r>
          </w:p>
        </w:tc>
      </w:tr>
      <w:tr w:rsidR="00FD7DD1" w:rsidRPr="00A20C79" w14:paraId="40C00ABA" w14:textId="77777777" w:rsidTr="00FE5C16">
        <w:tc>
          <w:tcPr>
            <w:tcW w:w="1668" w:type="dxa"/>
            <w:vMerge w:val="restart"/>
            <w:tcBorders>
              <w:top w:val="single" w:sz="4" w:space="0" w:color="auto"/>
              <w:left w:val="single" w:sz="4" w:space="0" w:color="auto"/>
              <w:bottom w:val="single" w:sz="4" w:space="0" w:color="auto"/>
              <w:right w:val="single" w:sz="4" w:space="0" w:color="auto"/>
            </w:tcBorders>
            <w:vAlign w:val="center"/>
            <w:hideMark/>
          </w:tcPr>
          <w:p w14:paraId="2A752189"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Secure living conditions</w:t>
            </w:r>
          </w:p>
        </w:tc>
        <w:tc>
          <w:tcPr>
            <w:tcW w:w="2409" w:type="dxa"/>
            <w:tcBorders>
              <w:top w:val="single" w:sz="4" w:space="0" w:color="auto"/>
              <w:left w:val="single" w:sz="4" w:space="0" w:color="auto"/>
              <w:bottom w:val="single" w:sz="4" w:space="0" w:color="auto"/>
              <w:right w:val="single" w:sz="4" w:space="0" w:color="auto"/>
            </w:tcBorders>
            <w:hideMark/>
          </w:tcPr>
          <w:p w14:paraId="6A944D39"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Crime rate</w:t>
            </w:r>
          </w:p>
        </w:tc>
        <w:tc>
          <w:tcPr>
            <w:tcW w:w="5211" w:type="dxa"/>
            <w:tcBorders>
              <w:top w:val="single" w:sz="4" w:space="0" w:color="auto"/>
              <w:left w:val="single" w:sz="4" w:space="0" w:color="auto"/>
              <w:bottom w:val="single" w:sz="4" w:space="0" w:color="auto"/>
              <w:right w:val="single" w:sz="4" w:space="0" w:color="auto"/>
            </w:tcBorders>
            <w:hideMark/>
          </w:tcPr>
          <w:p w14:paraId="56637659"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India ranks 67 of 120 compared to other countries.</w:t>
            </w:r>
          </w:p>
        </w:tc>
      </w:tr>
      <w:tr w:rsidR="00FD7DD1" w:rsidRPr="00A20C79" w14:paraId="5939A370" w14:textId="77777777" w:rsidTr="00FE5C16">
        <w:tc>
          <w:tcPr>
            <w:tcW w:w="0" w:type="auto"/>
            <w:vMerge/>
            <w:tcBorders>
              <w:top w:val="single" w:sz="4" w:space="0" w:color="auto"/>
              <w:left w:val="single" w:sz="4" w:space="0" w:color="auto"/>
              <w:bottom w:val="single" w:sz="4" w:space="0" w:color="auto"/>
              <w:right w:val="single" w:sz="4" w:space="0" w:color="auto"/>
            </w:tcBorders>
            <w:vAlign w:val="center"/>
            <w:hideMark/>
          </w:tcPr>
          <w:p w14:paraId="2268459B" w14:textId="77777777" w:rsidR="00FD7DD1" w:rsidRPr="00A20C79" w:rsidRDefault="00FD7DD1" w:rsidP="00FD7DD1">
            <w:pPr>
              <w:spacing w:line="276" w:lineRule="auto"/>
              <w:rPr>
                <w:rFonts w:ascii="Times New Roman" w:hAnsi="Times New Roman" w:cs="Times New Roman"/>
                <w:b/>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15432274"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Management policies related</w:t>
            </w:r>
          </w:p>
          <w:p w14:paraId="4B8D7922"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to private security</w:t>
            </w:r>
          </w:p>
          <w:p w14:paraId="0D6CE1A6"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personnel</w:t>
            </w:r>
          </w:p>
        </w:tc>
        <w:tc>
          <w:tcPr>
            <w:tcW w:w="5211" w:type="dxa"/>
            <w:tcBorders>
              <w:top w:val="single" w:sz="4" w:space="0" w:color="auto"/>
              <w:left w:val="single" w:sz="4" w:space="0" w:color="auto"/>
              <w:bottom w:val="single" w:sz="4" w:space="0" w:color="auto"/>
              <w:right w:val="single" w:sz="4" w:space="0" w:color="auto"/>
            </w:tcBorders>
            <w:hideMark/>
          </w:tcPr>
          <w:p w14:paraId="25195E0B"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No information available.</w:t>
            </w:r>
          </w:p>
        </w:tc>
      </w:tr>
      <w:tr w:rsidR="00FD7DD1" w:rsidRPr="00A20C79" w14:paraId="4E2F4731" w14:textId="77777777" w:rsidTr="00FE5C16">
        <w:tc>
          <w:tcPr>
            <w:tcW w:w="1668" w:type="dxa"/>
            <w:vMerge w:val="restart"/>
            <w:tcBorders>
              <w:top w:val="single" w:sz="4" w:space="0" w:color="auto"/>
              <w:left w:val="single" w:sz="4" w:space="0" w:color="auto"/>
              <w:bottom w:val="single" w:sz="4" w:space="0" w:color="auto"/>
              <w:right w:val="single" w:sz="4" w:space="0" w:color="auto"/>
            </w:tcBorders>
            <w:vAlign w:val="center"/>
            <w:hideMark/>
          </w:tcPr>
          <w:p w14:paraId="133FD88E"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Local Employment</w:t>
            </w:r>
          </w:p>
        </w:tc>
        <w:tc>
          <w:tcPr>
            <w:tcW w:w="2409" w:type="dxa"/>
            <w:tcBorders>
              <w:top w:val="single" w:sz="4" w:space="0" w:color="auto"/>
              <w:left w:val="single" w:sz="4" w:space="0" w:color="auto"/>
              <w:bottom w:val="single" w:sz="4" w:space="0" w:color="auto"/>
              <w:right w:val="single" w:sz="4" w:space="0" w:color="auto"/>
            </w:tcBorders>
            <w:hideMark/>
          </w:tcPr>
          <w:p w14:paraId="13638366"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Percentage of unemployment</w:t>
            </w:r>
          </w:p>
          <w:p w14:paraId="6BB4A24A"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in the country</w:t>
            </w:r>
          </w:p>
        </w:tc>
        <w:tc>
          <w:tcPr>
            <w:tcW w:w="5211" w:type="dxa"/>
            <w:tcBorders>
              <w:top w:val="single" w:sz="4" w:space="0" w:color="auto"/>
              <w:left w:val="single" w:sz="4" w:space="0" w:color="auto"/>
              <w:bottom w:val="single" w:sz="4" w:space="0" w:color="auto"/>
              <w:right w:val="single" w:sz="4" w:space="0" w:color="auto"/>
            </w:tcBorders>
            <w:hideMark/>
          </w:tcPr>
          <w:p w14:paraId="0BC2E09B"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 xml:space="preserve">Unemployment rate (2014) amounts 4,9%. </w:t>
            </w:r>
            <w:r w:rsidRPr="00A20C79">
              <w:rPr>
                <w:rStyle w:val="Funotenzeichen"/>
                <w:rFonts w:ascii="Times New Roman" w:hAnsi="Times New Roman" w:cs="Times New Roman"/>
                <w:sz w:val="20"/>
                <w:szCs w:val="20"/>
              </w:rPr>
              <w:footnoteReference w:id="30"/>
            </w:r>
          </w:p>
        </w:tc>
      </w:tr>
      <w:tr w:rsidR="00FD7DD1" w:rsidRPr="00A20C79" w14:paraId="00BD9453" w14:textId="77777777" w:rsidTr="00FE5C16">
        <w:tc>
          <w:tcPr>
            <w:tcW w:w="0" w:type="auto"/>
            <w:vMerge/>
            <w:tcBorders>
              <w:top w:val="single" w:sz="4" w:space="0" w:color="auto"/>
              <w:left w:val="single" w:sz="4" w:space="0" w:color="auto"/>
              <w:bottom w:val="single" w:sz="4" w:space="0" w:color="auto"/>
              <w:right w:val="single" w:sz="4" w:space="0" w:color="auto"/>
            </w:tcBorders>
            <w:vAlign w:val="center"/>
            <w:hideMark/>
          </w:tcPr>
          <w:p w14:paraId="06CAF513" w14:textId="77777777" w:rsidR="00FD7DD1" w:rsidRPr="00A20C79" w:rsidRDefault="00FD7DD1" w:rsidP="00FD7DD1">
            <w:pPr>
              <w:spacing w:line="276" w:lineRule="auto"/>
              <w:rPr>
                <w:rFonts w:ascii="Times New Roman" w:hAnsi="Times New Roman" w:cs="Times New Roman"/>
                <w:b/>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33289E50"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Percentage of work force</w:t>
            </w:r>
          </w:p>
          <w:p w14:paraId="384E36AF"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hired locally</w:t>
            </w:r>
          </w:p>
        </w:tc>
        <w:tc>
          <w:tcPr>
            <w:tcW w:w="5211" w:type="dxa"/>
            <w:tcBorders>
              <w:top w:val="single" w:sz="4" w:space="0" w:color="auto"/>
              <w:left w:val="single" w:sz="4" w:space="0" w:color="auto"/>
              <w:bottom w:val="single" w:sz="4" w:space="0" w:color="auto"/>
              <w:right w:val="single" w:sz="4" w:space="0" w:color="auto"/>
            </w:tcBorders>
            <w:hideMark/>
          </w:tcPr>
          <w:p w14:paraId="2B94A653" w14:textId="1C7C4315" w:rsidR="00FD7DD1" w:rsidRPr="00A20C79" w:rsidRDefault="00693C5C"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80-100% of the workforce is hired locally at Kitchen Essentials</w:t>
            </w:r>
          </w:p>
        </w:tc>
      </w:tr>
      <w:tr w:rsidR="00FD7DD1" w:rsidRPr="00A20C79" w14:paraId="51E4F25C" w14:textId="77777777" w:rsidTr="00FE5C16">
        <w:tc>
          <w:tcPr>
            <w:tcW w:w="1668" w:type="dxa"/>
            <w:tcBorders>
              <w:top w:val="single" w:sz="4" w:space="0" w:color="auto"/>
              <w:left w:val="single" w:sz="4" w:space="0" w:color="auto"/>
              <w:bottom w:val="single" w:sz="4" w:space="0" w:color="auto"/>
              <w:right w:val="single" w:sz="4" w:space="0" w:color="auto"/>
            </w:tcBorders>
            <w:vAlign w:val="center"/>
            <w:hideMark/>
          </w:tcPr>
          <w:p w14:paraId="03EFE349"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Community Engagement</w:t>
            </w:r>
          </w:p>
        </w:tc>
        <w:tc>
          <w:tcPr>
            <w:tcW w:w="2409" w:type="dxa"/>
            <w:tcBorders>
              <w:top w:val="single" w:sz="4" w:space="0" w:color="auto"/>
              <w:left w:val="single" w:sz="4" w:space="0" w:color="auto"/>
              <w:bottom w:val="single" w:sz="4" w:space="0" w:color="auto"/>
              <w:right w:val="single" w:sz="4" w:space="0" w:color="auto"/>
            </w:tcBorders>
            <w:hideMark/>
          </w:tcPr>
          <w:p w14:paraId="24EF24AA"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Description of community</w:t>
            </w:r>
          </w:p>
          <w:p w14:paraId="055E5520"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engagement in sector</w:t>
            </w:r>
          </w:p>
        </w:tc>
        <w:tc>
          <w:tcPr>
            <w:tcW w:w="5211" w:type="dxa"/>
            <w:tcBorders>
              <w:top w:val="single" w:sz="4" w:space="0" w:color="auto"/>
              <w:left w:val="single" w:sz="4" w:space="0" w:color="auto"/>
              <w:bottom w:val="single" w:sz="4" w:space="0" w:color="auto"/>
              <w:right w:val="single" w:sz="4" w:space="0" w:color="auto"/>
            </w:tcBorders>
            <w:hideMark/>
          </w:tcPr>
          <w:p w14:paraId="0EF46C21"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 xml:space="preserve">No information available. </w:t>
            </w:r>
          </w:p>
        </w:tc>
      </w:tr>
    </w:tbl>
    <w:p w14:paraId="573296BD" w14:textId="77777777" w:rsidR="00FD7DD1" w:rsidRPr="00A20C79" w:rsidRDefault="00FD7DD1" w:rsidP="00FD7DD1">
      <w:pPr>
        <w:spacing w:line="360" w:lineRule="auto"/>
        <w:rPr>
          <w:rFonts w:ascii="Times New Roman" w:hAnsi="Times New Roman" w:cs="Times New Roman"/>
          <w:b/>
          <w:sz w:val="20"/>
          <w:szCs w:val="20"/>
        </w:rPr>
      </w:pPr>
    </w:p>
    <w:p w14:paraId="4ACDB49D" w14:textId="77777777" w:rsidR="00FD7DD1" w:rsidRPr="00A20C79" w:rsidRDefault="00FD7DD1" w:rsidP="00FD7DD1">
      <w:r w:rsidRPr="00A20C79">
        <w:br w:type="page"/>
      </w:r>
    </w:p>
    <w:p w14:paraId="5096D0B6" w14:textId="77777777" w:rsidR="00FD7DD1" w:rsidRPr="00A20C79" w:rsidRDefault="00FD7DD1" w:rsidP="00FD7DD1">
      <w:pPr>
        <w:spacing w:line="360" w:lineRule="auto"/>
        <w:rPr>
          <w:rFonts w:ascii="Times New Roman" w:hAnsi="Times New Roman" w:cs="Times New Roman"/>
          <w:b/>
          <w:sz w:val="20"/>
          <w:szCs w:val="20"/>
        </w:rPr>
      </w:pPr>
      <w:r w:rsidRPr="00A20C79">
        <w:rPr>
          <w:rFonts w:ascii="Times New Roman" w:hAnsi="Times New Roman" w:cs="Times New Roman"/>
          <w:b/>
          <w:sz w:val="20"/>
          <w:szCs w:val="20"/>
        </w:rPr>
        <w:lastRenderedPageBreak/>
        <w:t>Stakeholder group Society – Production in India</w:t>
      </w:r>
    </w:p>
    <w:tbl>
      <w:tblPr>
        <w:tblStyle w:val="Tabellenraster"/>
        <w:tblW w:w="0" w:type="auto"/>
        <w:tblLook w:val="04A0" w:firstRow="1" w:lastRow="0" w:firstColumn="1" w:lastColumn="0" w:noHBand="0" w:noVBand="1"/>
      </w:tblPr>
      <w:tblGrid>
        <w:gridCol w:w="1668"/>
        <w:gridCol w:w="2409"/>
        <w:gridCol w:w="5211"/>
      </w:tblGrid>
      <w:tr w:rsidR="00FD7DD1" w:rsidRPr="00A20C79" w14:paraId="10E2039A" w14:textId="77777777" w:rsidTr="00FE5C16">
        <w:tc>
          <w:tcPr>
            <w:tcW w:w="1668" w:type="dxa"/>
            <w:vMerge w:val="restart"/>
            <w:tcBorders>
              <w:top w:val="single" w:sz="4" w:space="0" w:color="auto"/>
              <w:left w:val="single" w:sz="4" w:space="0" w:color="auto"/>
              <w:bottom w:val="single" w:sz="4" w:space="0" w:color="auto"/>
              <w:right w:val="single" w:sz="4" w:space="0" w:color="auto"/>
            </w:tcBorders>
            <w:vAlign w:val="center"/>
            <w:hideMark/>
          </w:tcPr>
          <w:p w14:paraId="44D1C29D"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Public commitment to sustainable issues</w:t>
            </w:r>
          </w:p>
        </w:tc>
        <w:tc>
          <w:tcPr>
            <w:tcW w:w="2409" w:type="dxa"/>
            <w:tcBorders>
              <w:top w:val="single" w:sz="4" w:space="0" w:color="auto"/>
              <w:left w:val="single" w:sz="4" w:space="0" w:color="auto"/>
              <w:bottom w:val="single" w:sz="4" w:space="0" w:color="auto"/>
              <w:right w:val="single" w:sz="4" w:space="0" w:color="auto"/>
            </w:tcBorders>
            <w:hideMark/>
          </w:tcPr>
          <w:p w14:paraId="3E23DB79"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Presence of publicly available promises or agreements on sustainable issues</w:t>
            </w:r>
          </w:p>
          <w:p w14:paraId="00A79404"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and complaints to the non-fulfilment of these commitments</w:t>
            </w:r>
          </w:p>
        </w:tc>
        <w:tc>
          <w:tcPr>
            <w:tcW w:w="5211" w:type="dxa"/>
            <w:tcBorders>
              <w:top w:val="single" w:sz="4" w:space="0" w:color="auto"/>
              <w:left w:val="single" w:sz="4" w:space="0" w:color="auto"/>
              <w:bottom w:val="single" w:sz="4" w:space="0" w:color="auto"/>
              <w:right w:val="single" w:sz="4" w:space="0" w:color="auto"/>
            </w:tcBorders>
            <w:hideMark/>
          </w:tcPr>
          <w:p w14:paraId="37E615E0"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 xml:space="preserve">No information available. </w:t>
            </w:r>
          </w:p>
        </w:tc>
      </w:tr>
      <w:tr w:rsidR="00FD7DD1" w:rsidRPr="00A20C79" w14:paraId="342C5124" w14:textId="77777777" w:rsidTr="00FE5C16">
        <w:tc>
          <w:tcPr>
            <w:tcW w:w="0" w:type="auto"/>
            <w:vMerge/>
            <w:tcBorders>
              <w:top w:val="single" w:sz="4" w:space="0" w:color="auto"/>
              <w:left w:val="single" w:sz="4" w:space="0" w:color="auto"/>
              <w:bottom w:val="single" w:sz="4" w:space="0" w:color="auto"/>
              <w:right w:val="single" w:sz="4" w:space="0" w:color="auto"/>
            </w:tcBorders>
            <w:vAlign w:val="center"/>
            <w:hideMark/>
          </w:tcPr>
          <w:p w14:paraId="49B0E5FD" w14:textId="77777777" w:rsidR="00FD7DD1" w:rsidRPr="00A20C79" w:rsidRDefault="00FD7DD1" w:rsidP="00FD7DD1">
            <w:pPr>
              <w:spacing w:line="276" w:lineRule="auto"/>
              <w:rPr>
                <w:rFonts w:ascii="Times New Roman" w:hAnsi="Times New Roman" w:cs="Times New Roman"/>
                <w:b/>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2273F9D9"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Implementation/signing of</w:t>
            </w:r>
          </w:p>
          <w:p w14:paraId="5644B2A0"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principles or codes of conducts</w:t>
            </w:r>
          </w:p>
        </w:tc>
        <w:tc>
          <w:tcPr>
            <w:tcW w:w="5211" w:type="dxa"/>
            <w:tcBorders>
              <w:top w:val="single" w:sz="4" w:space="0" w:color="auto"/>
              <w:left w:val="single" w:sz="4" w:space="0" w:color="auto"/>
              <w:bottom w:val="single" w:sz="4" w:space="0" w:color="auto"/>
              <w:right w:val="single" w:sz="4" w:space="0" w:color="auto"/>
            </w:tcBorders>
            <w:hideMark/>
          </w:tcPr>
          <w:p w14:paraId="24859831" w14:textId="0E18E806" w:rsidR="00FD7DD1" w:rsidRPr="00A20C79" w:rsidRDefault="00C86456" w:rsidP="00015FD8">
            <w:pPr>
              <w:spacing w:line="276" w:lineRule="auto"/>
              <w:rPr>
                <w:rFonts w:ascii="Times New Roman" w:hAnsi="Times New Roman" w:cs="Times New Roman"/>
                <w:sz w:val="20"/>
                <w:szCs w:val="20"/>
              </w:rPr>
            </w:pPr>
            <w:r w:rsidRPr="00A20C79">
              <w:rPr>
                <w:rFonts w:ascii="Times New Roman" w:hAnsi="Times New Roman" w:cs="Times New Roman"/>
                <w:sz w:val="20"/>
                <w:szCs w:val="20"/>
              </w:rPr>
              <w:t>Signs</w:t>
            </w:r>
            <w:r w:rsidR="00FD7DD1" w:rsidRPr="00A20C79">
              <w:rPr>
                <w:rFonts w:ascii="Times New Roman" w:hAnsi="Times New Roman" w:cs="Times New Roman"/>
                <w:sz w:val="20"/>
                <w:szCs w:val="20"/>
              </w:rPr>
              <w:t xml:space="preserve"> </w:t>
            </w:r>
            <w:r w:rsidRPr="00A20C79">
              <w:rPr>
                <w:rFonts w:ascii="Times New Roman" w:hAnsi="Times New Roman" w:cs="Times New Roman"/>
                <w:sz w:val="20"/>
                <w:szCs w:val="20"/>
              </w:rPr>
              <w:t>of good work ethics are present, though those are not specified.</w:t>
            </w:r>
            <w:r w:rsidR="00FD7DD1" w:rsidRPr="00A20C79">
              <w:rPr>
                <w:rStyle w:val="Funotenzeichen"/>
                <w:rFonts w:ascii="Times New Roman" w:hAnsi="Times New Roman" w:cs="Times New Roman"/>
                <w:sz w:val="20"/>
                <w:szCs w:val="20"/>
              </w:rPr>
              <w:footnoteReference w:id="31"/>
            </w:r>
            <w:r w:rsidRPr="00A20C79">
              <w:rPr>
                <w:rFonts w:ascii="Times New Roman" w:hAnsi="Times New Roman" w:cs="Times New Roman"/>
                <w:sz w:val="20"/>
                <w:szCs w:val="20"/>
              </w:rPr>
              <w:t xml:space="preserve"> Kitchen Essentials </w:t>
            </w:r>
            <w:r w:rsidR="00015FD8" w:rsidRPr="00A20C79">
              <w:rPr>
                <w:rFonts w:ascii="Times New Roman" w:hAnsi="Times New Roman" w:cs="Times New Roman"/>
                <w:sz w:val="20"/>
                <w:szCs w:val="20"/>
              </w:rPr>
              <w:t>did not sign</w:t>
            </w:r>
            <w:r w:rsidRPr="00A20C79">
              <w:rPr>
                <w:rFonts w:ascii="Times New Roman" w:hAnsi="Times New Roman" w:cs="Times New Roman"/>
                <w:sz w:val="20"/>
                <w:szCs w:val="20"/>
              </w:rPr>
              <w:t xml:space="preserve"> codes of conduct apart from agreements with the UNHCR.</w:t>
            </w:r>
          </w:p>
        </w:tc>
      </w:tr>
      <w:tr w:rsidR="00FD7DD1" w:rsidRPr="00A20C79" w14:paraId="3EE6BB6D" w14:textId="77777777" w:rsidTr="00FE5C16">
        <w:tc>
          <w:tcPr>
            <w:tcW w:w="1668" w:type="dxa"/>
            <w:tcBorders>
              <w:top w:val="single" w:sz="4" w:space="0" w:color="auto"/>
              <w:left w:val="single" w:sz="4" w:space="0" w:color="auto"/>
              <w:bottom w:val="single" w:sz="4" w:space="0" w:color="auto"/>
              <w:right w:val="single" w:sz="4" w:space="0" w:color="auto"/>
            </w:tcBorders>
            <w:vAlign w:val="center"/>
            <w:hideMark/>
          </w:tcPr>
          <w:p w14:paraId="2331948B"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Contribution to economic development</w:t>
            </w:r>
          </w:p>
        </w:tc>
        <w:tc>
          <w:tcPr>
            <w:tcW w:w="2409" w:type="dxa"/>
            <w:tcBorders>
              <w:top w:val="single" w:sz="4" w:space="0" w:color="auto"/>
              <w:left w:val="single" w:sz="4" w:space="0" w:color="auto"/>
              <w:bottom w:val="single" w:sz="4" w:space="0" w:color="auto"/>
              <w:right w:val="single" w:sz="4" w:space="0" w:color="auto"/>
            </w:tcBorders>
            <w:hideMark/>
          </w:tcPr>
          <w:p w14:paraId="401C5065"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Economic situation of the country and relevance of the considered sector for</w:t>
            </w:r>
          </w:p>
          <w:p w14:paraId="1944F980"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the economy</w:t>
            </w:r>
          </w:p>
        </w:tc>
        <w:tc>
          <w:tcPr>
            <w:tcW w:w="5211" w:type="dxa"/>
            <w:tcBorders>
              <w:top w:val="single" w:sz="4" w:space="0" w:color="auto"/>
              <w:left w:val="single" w:sz="4" w:space="0" w:color="auto"/>
              <w:bottom w:val="single" w:sz="4" w:space="0" w:color="auto"/>
              <w:right w:val="single" w:sz="4" w:space="0" w:color="auto"/>
            </w:tcBorders>
            <w:hideMark/>
          </w:tcPr>
          <w:p w14:paraId="06246FEE"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India has an GDP growth of 3,2%.</w:t>
            </w:r>
            <w:r w:rsidRPr="00A20C79">
              <w:rPr>
                <w:rStyle w:val="Funotenzeichen"/>
                <w:rFonts w:ascii="Times New Roman" w:hAnsi="Times New Roman" w:cs="Times New Roman"/>
                <w:sz w:val="20"/>
                <w:szCs w:val="20"/>
              </w:rPr>
              <w:footnoteReference w:id="32"/>
            </w:r>
            <w:r w:rsidRPr="00A20C79">
              <w:rPr>
                <w:rFonts w:ascii="Times New Roman" w:hAnsi="Times New Roman" w:cs="Times New Roman"/>
                <w:sz w:val="20"/>
                <w:szCs w:val="20"/>
              </w:rPr>
              <w:t xml:space="preserve"> India is developing in an open market economy. Especially the service sector is growing, amongst others because the well-educated English speaking population is growing. India is the worlds’ fourth largest steel producer and thus the sector is important for the Indian economy.</w:t>
            </w:r>
            <w:r w:rsidRPr="00A20C79">
              <w:rPr>
                <w:rStyle w:val="Funotenzeichen"/>
                <w:rFonts w:ascii="Times New Roman" w:hAnsi="Times New Roman" w:cs="Times New Roman"/>
                <w:sz w:val="20"/>
                <w:szCs w:val="20"/>
              </w:rPr>
              <w:footnoteReference w:id="33"/>
            </w:r>
            <w:r w:rsidRPr="00A20C79">
              <w:rPr>
                <w:rFonts w:ascii="Times New Roman" w:hAnsi="Times New Roman" w:cs="Times New Roman"/>
                <w:sz w:val="20"/>
                <w:szCs w:val="20"/>
              </w:rPr>
              <w:t xml:space="preserve"> No data available on the contribution of steel pot manufacturing sector. </w:t>
            </w:r>
          </w:p>
        </w:tc>
      </w:tr>
      <w:tr w:rsidR="00FD7DD1" w:rsidRPr="00A20C79" w14:paraId="3C26654F" w14:textId="77777777" w:rsidTr="00FE5C16">
        <w:tc>
          <w:tcPr>
            <w:tcW w:w="1668" w:type="dxa"/>
            <w:vMerge w:val="restart"/>
            <w:tcBorders>
              <w:top w:val="single" w:sz="4" w:space="0" w:color="auto"/>
              <w:left w:val="single" w:sz="4" w:space="0" w:color="auto"/>
              <w:bottom w:val="single" w:sz="4" w:space="0" w:color="auto"/>
              <w:right w:val="single" w:sz="4" w:space="0" w:color="auto"/>
            </w:tcBorders>
            <w:vAlign w:val="center"/>
            <w:hideMark/>
          </w:tcPr>
          <w:p w14:paraId="34B126C1"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Prevention and</w:t>
            </w:r>
          </w:p>
          <w:p w14:paraId="0B289202"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mitigation of</w:t>
            </w:r>
          </w:p>
          <w:p w14:paraId="2E760CAD"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conflicts</w:t>
            </w:r>
          </w:p>
        </w:tc>
        <w:tc>
          <w:tcPr>
            <w:tcW w:w="2409" w:type="dxa"/>
            <w:tcBorders>
              <w:top w:val="single" w:sz="4" w:space="0" w:color="auto"/>
              <w:left w:val="single" w:sz="4" w:space="0" w:color="auto"/>
              <w:bottom w:val="single" w:sz="4" w:space="0" w:color="auto"/>
              <w:right w:val="single" w:sz="4" w:space="0" w:color="auto"/>
            </w:tcBorders>
            <w:hideMark/>
          </w:tcPr>
          <w:p w14:paraId="01D11A4D"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Presence of conflicts in the country</w:t>
            </w:r>
          </w:p>
        </w:tc>
        <w:tc>
          <w:tcPr>
            <w:tcW w:w="5211" w:type="dxa"/>
            <w:tcBorders>
              <w:top w:val="single" w:sz="4" w:space="0" w:color="auto"/>
              <w:left w:val="single" w:sz="4" w:space="0" w:color="auto"/>
              <w:bottom w:val="single" w:sz="4" w:space="0" w:color="auto"/>
              <w:right w:val="single" w:sz="4" w:space="0" w:color="auto"/>
            </w:tcBorders>
            <w:hideMark/>
          </w:tcPr>
          <w:p w14:paraId="4DEA9A18"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Over the past five decades conflicts have been reported in the North with Pakistan.</w:t>
            </w:r>
            <w:r w:rsidRPr="00A20C79">
              <w:rPr>
                <w:rStyle w:val="Funotenzeichen"/>
                <w:rFonts w:ascii="Times New Roman" w:hAnsi="Times New Roman" w:cs="Times New Roman"/>
                <w:sz w:val="20"/>
                <w:szCs w:val="20"/>
              </w:rPr>
              <w:footnoteReference w:id="34"/>
            </w:r>
            <w:r w:rsidRPr="00A20C79">
              <w:rPr>
                <w:rFonts w:ascii="Times New Roman" w:hAnsi="Times New Roman" w:cs="Times New Roman"/>
                <w:sz w:val="20"/>
                <w:szCs w:val="20"/>
              </w:rPr>
              <w:t xml:space="preserve"> In the eastern part Maoist militants terrorize mineral mining companies. Furthermore, in India a lot of religious conflicts occur.</w:t>
            </w:r>
            <w:r w:rsidRPr="00A20C79">
              <w:rPr>
                <w:rStyle w:val="Funotenzeichen"/>
                <w:rFonts w:ascii="Times New Roman" w:hAnsi="Times New Roman" w:cs="Times New Roman"/>
                <w:sz w:val="20"/>
                <w:szCs w:val="20"/>
              </w:rPr>
              <w:footnoteReference w:id="35"/>
            </w:r>
            <w:r w:rsidRPr="00A20C79">
              <w:rPr>
                <w:rFonts w:ascii="Times New Roman" w:hAnsi="Times New Roman" w:cs="Times New Roman"/>
                <w:sz w:val="20"/>
                <w:szCs w:val="20"/>
              </w:rPr>
              <w:t xml:space="preserve"> Lastly, land is one of India’s scarcest resources. Consequently land acquisition conflicts occur.</w:t>
            </w:r>
            <w:r w:rsidRPr="00A20C79">
              <w:rPr>
                <w:rStyle w:val="Funotenzeichen"/>
                <w:rFonts w:ascii="Times New Roman" w:hAnsi="Times New Roman" w:cs="Times New Roman"/>
                <w:sz w:val="20"/>
                <w:szCs w:val="20"/>
              </w:rPr>
              <w:footnoteReference w:id="36"/>
            </w:r>
          </w:p>
        </w:tc>
      </w:tr>
      <w:tr w:rsidR="00FD7DD1" w:rsidRPr="00A20C79" w14:paraId="264E8863" w14:textId="77777777" w:rsidTr="00FE5C16">
        <w:tc>
          <w:tcPr>
            <w:tcW w:w="0" w:type="auto"/>
            <w:vMerge/>
            <w:tcBorders>
              <w:top w:val="single" w:sz="4" w:space="0" w:color="auto"/>
              <w:left w:val="single" w:sz="4" w:space="0" w:color="auto"/>
              <w:bottom w:val="single" w:sz="4" w:space="0" w:color="auto"/>
              <w:right w:val="single" w:sz="4" w:space="0" w:color="auto"/>
            </w:tcBorders>
            <w:vAlign w:val="center"/>
            <w:hideMark/>
          </w:tcPr>
          <w:p w14:paraId="28096955" w14:textId="77777777" w:rsidR="00FD7DD1" w:rsidRPr="00A20C79" w:rsidRDefault="00FD7DD1" w:rsidP="00FD7DD1">
            <w:pPr>
              <w:spacing w:line="276" w:lineRule="auto"/>
              <w:rPr>
                <w:rFonts w:ascii="Times New Roman" w:hAnsi="Times New Roman" w:cs="Times New Roman"/>
                <w:b/>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0C1AAF5C"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Risk of conflicts with regard to the sector and measures to reduce the risk</w:t>
            </w:r>
          </w:p>
        </w:tc>
        <w:tc>
          <w:tcPr>
            <w:tcW w:w="5211" w:type="dxa"/>
            <w:tcBorders>
              <w:top w:val="single" w:sz="4" w:space="0" w:color="auto"/>
              <w:left w:val="single" w:sz="4" w:space="0" w:color="auto"/>
              <w:bottom w:val="single" w:sz="4" w:space="0" w:color="auto"/>
              <w:right w:val="single" w:sz="4" w:space="0" w:color="auto"/>
            </w:tcBorders>
            <w:hideMark/>
          </w:tcPr>
          <w:p w14:paraId="76C608DA"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 xml:space="preserve">Land use conflicts are a risk for the mining sector. So it is an indirect risk for the steel pot manufacturing sector. </w:t>
            </w:r>
          </w:p>
        </w:tc>
      </w:tr>
      <w:tr w:rsidR="00FD7DD1" w:rsidRPr="00A20C79" w14:paraId="7055F680" w14:textId="77777777" w:rsidTr="00FE5C16">
        <w:tc>
          <w:tcPr>
            <w:tcW w:w="1668" w:type="dxa"/>
            <w:vMerge w:val="restart"/>
            <w:tcBorders>
              <w:top w:val="single" w:sz="4" w:space="0" w:color="auto"/>
              <w:left w:val="single" w:sz="4" w:space="0" w:color="auto"/>
              <w:bottom w:val="single" w:sz="4" w:space="0" w:color="auto"/>
              <w:right w:val="single" w:sz="4" w:space="0" w:color="auto"/>
            </w:tcBorders>
            <w:vAlign w:val="center"/>
            <w:hideMark/>
          </w:tcPr>
          <w:p w14:paraId="2DD2F4BD"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Technology</w:t>
            </w:r>
          </w:p>
          <w:p w14:paraId="1103C809" w14:textId="77777777" w:rsidR="00FD7DD1" w:rsidRPr="00A20C79" w:rsidRDefault="00FD7DD1" w:rsidP="00FD7DD1">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Development</w:t>
            </w:r>
          </w:p>
        </w:tc>
        <w:tc>
          <w:tcPr>
            <w:tcW w:w="2409" w:type="dxa"/>
            <w:tcBorders>
              <w:top w:val="single" w:sz="4" w:space="0" w:color="auto"/>
              <w:left w:val="single" w:sz="4" w:space="0" w:color="auto"/>
              <w:bottom w:val="single" w:sz="4" w:space="0" w:color="auto"/>
              <w:right w:val="single" w:sz="4" w:space="0" w:color="auto"/>
            </w:tcBorders>
            <w:hideMark/>
          </w:tcPr>
          <w:p w14:paraId="591DBEC9"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Sector efforts in technology</w:t>
            </w:r>
          </w:p>
          <w:p w14:paraId="652D03BA"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development regarding eco friendliness</w:t>
            </w:r>
          </w:p>
        </w:tc>
        <w:tc>
          <w:tcPr>
            <w:tcW w:w="5211" w:type="dxa"/>
            <w:tcBorders>
              <w:top w:val="single" w:sz="4" w:space="0" w:color="auto"/>
              <w:left w:val="single" w:sz="4" w:space="0" w:color="auto"/>
              <w:bottom w:val="single" w:sz="4" w:space="0" w:color="auto"/>
              <w:right w:val="single" w:sz="4" w:space="0" w:color="auto"/>
            </w:tcBorders>
            <w:hideMark/>
          </w:tcPr>
          <w:p w14:paraId="0AF4E731"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The Indian governments promotes R&amp;D in the steel mining and manufacturing sector.</w:t>
            </w:r>
            <w:r w:rsidRPr="00A20C79">
              <w:rPr>
                <w:rStyle w:val="Funotenzeichen"/>
                <w:rFonts w:ascii="Times New Roman" w:hAnsi="Times New Roman" w:cs="Times New Roman"/>
                <w:sz w:val="20"/>
                <w:szCs w:val="20"/>
              </w:rPr>
              <w:footnoteReference w:id="37"/>
            </w:r>
            <w:r w:rsidRPr="00A20C79">
              <w:rPr>
                <w:rFonts w:ascii="Times New Roman" w:hAnsi="Times New Roman" w:cs="Times New Roman"/>
                <w:sz w:val="20"/>
                <w:szCs w:val="20"/>
              </w:rPr>
              <w:t xml:space="preserve"> However, no data available on R&amp;D efforts in steel pot manufacturing. </w:t>
            </w:r>
          </w:p>
        </w:tc>
      </w:tr>
      <w:tr w:rsidR="00FD7DD1" w:rsidRPr="00A20C79" w14:paraId="458E31A8" w14:textId="77777777" w:rsidTr="00FE5C16">
        <w:tc>
          <w:tcPr>
            <w:tcW w:w="0" w:type="auto"/>
            <w:vMerge/>
            <w:tcBorders>
              <w:top w:val="single" w:sz="4" w:space="0" w:color="auto"/>
              <w:left w:val="single" w:sz="4" w:space="0" w:color="auto"/>
              <w:bottom w:val="single" w:sz="4" w:space="0" w:color="auto"/>
              <w:right w:val="single" w:sz="4" w:space="0" w:color="auto"/>
            </w:tcBorders>
            <w:vAlign w:val="center"/>
            <w:hideMark/>
          </w:tcPr>
          <w:p w14:paraId="2CDE7314" w14:textId="77777777" w:rsidR="00FD7DD1" w:rsidRPr="00A20C79" w:rsidRDefault="00FD7DD1" w:rsidP="00FD7DD1">
            <w:pPr>
              <w:spacing w:line="276" w:lineRule="auto"/>
              <w:rPr>
                <w:rFonts w:ascii="Times New Roman" w:hAnsi="Times New Roman" w:cs="Times New Roman"/>
                <w:b/>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6CF1935D"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Investments in technology</w:t>
            </w:r>
          </w:p>
          <w:p w14:paraId="0AAF5378" w14:textId="77777777" w:rsidR="00FD7DD1" w:rsidRPr="00A20C79" w:rsidRDefault="00FD7DD1"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development</w:t>
            </w:r>
          </w:p>
        </w:tc>
        <w:tc>
          <w:tcPr>
            <w:tcW w:w="5211" w:type="dxa"/>
            <w:tcBorders>
              <w:top w:val="single" w:sz="4" w:space="0" w:color="auto"/>
              <w:left w:val="single" w:sz="4" w:space="0" w:color="auto"/>
              <w:bottom w:val="single" w:sz="4" w:space="0" w:color="auto"/>
              <w:right w:val="single" w:sz="4" w:space="0" w:color="auto"/>
            </w:tcBorders>
            <w:hideMark/>
          </w:tcPr>
          <w:p w14:paraId="0321DFAA" w14:textId="70EFD124" w:rsidR="00FD7DD1" w:rsidRPr="00A20C79" w:rsidRDefault="00693C5C" w:rsidP="00FD7DD1">
            <w:pPr>
              <w:spacing w:line="276" w:lineRule="auto"/>
              <w:rPr>
                <w:rFonts w:ascii="Times New Roman" w:hAnsi="Times New Roman" w:cs="Times New Roman"/>
                <w:sz w:val="20"/>
                <w:szCs w:val="20"/>
              </w:rPr>
            </w:pPr>
            <w:r w:rsidRPr="00A20C79">
              <w:rPr>
                <w:rFonts w:ascii="Times New Roman" w:hAnsi="Times New Roman" w:cs="Times New Roman"/>
                <w:sz w:val="20"/>
                <w:szCs w:val="20"/>
              </w:rPr>
              <w:t>Kitchen Essentials reported to engage in above average investments in technology development compared to the sector.</w:t>
            </w:r>
          </w:p>
        </w:tc>
      </w:tr>
      <w:tr w:rsidR="00861854" w:rsidRPr="00FD7DD1" w14:paraId="62BFC239" w14:textId="77777777" w:rsidTr="00861854">
        <w:tc>
          <w:tcPr>
            <w:tcW w:w="1668" w:type="dxa"/>
            <w:hideMark/>
          </w:tcPr>
          <w:p w14:paraId="06EE709E" w14:textId="77777777" w:rsidR="00861854" w:rsidRPr="00A20C79" w:rsidRDefault="00861854" w:rsidP="00861854">
            <w:pPr>
              <w:spacing w:line="276" w:lineRule="auto"/>
              <w:jc w:val="center"/>
              <w:rPr>
                <w:rFonts w:ascii="Times New Roman" w:hAnsi="Times New Roman" w:cs="Times New Roman"/>
                <w:b/>
                <w:sz w:val="20"/>
                <w:szCs w:val="20"/>
              </w:rPr>
            </w:pPr>
            <w:r w:rsidRPr="00A20C79">
              <w:rPr>
                <w:rFonts w:ascii="Times New Roman" w:hAnsi="Times New Roman" w:cs="Times New Roman"/>
                <w:b/>
                <w:sz w:val="20"/>
                <w:szCs w:val="20"/>
              </w:rPr>
              <w:t>Corruption</w:t>
            </w:r>
          </w:p>
        </w:tc>
        <w:tc>
          <w:tcPr>
            <w:tcW w:w="2409" w:type="dxa"/>
            <w:hideMark/>
          </w:tcPr>
          <w:p w14:paraId="0463179F" w14:textId="77777777" w:rsidR="00861854" w:rsidRPr="00A20C79" w:rsidRDefault="00861854" w:rsidP="00861854">
            <w:pPr>
              <w:spacing w:line="276" w:lineRule="auto"/>
              <w:rPr>
                <w:rFonts w:ascii="Times New Roman" w:hAnsi="Times New Roman" w:cs="Times New Roman"/>
                <w:sz w:val="20"/>
                <w:szCs w:val="20"/>
              </w:rPr>
            </w:pPr>
            <w:r w:rsidRPr="00A20C79">
              <w:rPr>
                <w:rFonts w:ascii="Times New Roman" w:hAnsi="Times New Roman" w:cs="Times New Roman"/>
                <w:sz w:val="20"/>
                <w:szCs w:val="20"/>
              </w:rPr>
              <w:t>Risk of corruption in country</w:t>
            </w:r>
          </w:p>
          <w:p w14:paraId="688DE768" w14:textId="77777777" w:rsidR="00861854" w:rsidRPr="00A20C79" w:rsidRDefault="00861854" w:rsidP="00861854">
            <w:pPr>
              <w:spacing w:line="276" w:lineRule="auto"/>
              <w:rPr>
                <w:rFonts w:ascii="Times New Roman" w:hAnsi="Times New Roman" w:cs="Times New Roman"/>
                <w:sz w:val="20"/>
                <w:szCs w:val="20"/>
              </w:rPr>
            </w:pPr>
            <w:r w:rsidRPr="00A20C79">
              <w:rPr>
                <w:rFonts w:ascii="Times New Roman" w:hAnsi="Times New Roman" w:cs="Times New Roman"/>
                <w:sz w:val="20"/>
                <w:szCs w:val="20"/>
              </w:rPr>
              <w:t>/sector</w:t>
            </w:r>
          </w:p>
        </w:tc>
        <w:tc>
          <w:tcPr>
            <w:tcW w:w="5211" w:type="dxa"/>
            <w:hideMark/>
          </w:tcPr>
          <w:p w14:paraId="26F366E9" w14:textId="77777777" w:rsidR="00861854" w:rsidRPr="00FD7DD1" w:rsidRDefault="00861854" w:rsidP="00861854">
            <w:pPr>
              <w:spacing w:line="276" w:lineRule="auto"/>
              <w:rPr>
                <w:rFonts w:ascii="Times New Roman" w:hAnsi="Times New Roman" w:cs="Times New Roman"/>
                <w:sz w:val="20"/>
                <w:szCs w:val="20"/>
              </w:rPr>
            </w:pPr>
            <w:r w:rsidRPr="00A20C79">
              <w:rPr>
                <w:rFonts w:ascii="Times New Roman" w:hAnsi="Times New Roman" w:cs="Times New Roman"/>
                <w:sz w:val="20"/>
                <w:szCs w:val="20"/>
              </w:rPr>
              <w:t>EY indicates that the metals and mining industry is one of the most vulnerable sectors for corruption.</w:t>
            </w:r>
            <w:r w:rsidRPr="00A20C79">
              <w:rPr>
                <w:rStyle w:val="Funotenzeichen"/>
                <w:rFonts w:ascii="Times New Roman" w:hAnsi="Times New Roman" w:cs="Times New Roman"/>
                <w:sz w:val="20"/>
                <w:szCs w:val="20"/>
              </w:rPr>
              <w:footnoteReference w:id="38"/>
            </w:r>
            <w:r w:rsidRPr="00A20C79">
              <w:rPr>
                <w:rFonts w:ascii="Times New Roman" w:hAnsi="Times New Roman" w:cs="Times New Roman"/>
                <w:sz w:val="20"/>
                <w:szCs w:val="20"/>
              </w:rPr>
              <w:t xml:space="preserve"> Manufacturing and retail and consumer goods is seen as least corrupt. India ranks 67 out of 149 in the world corruption ranking.</w:t>
            </w:r>
            <w:r w:rsidRPr="00A20C79">
              <w:rPr>
                <w:rStyle w:val="Funotenzeichen"/>
                <w:rFonts w:ascii="Times New Roman" w:hAnsi="Times New Roman" w:cs="Times New Roman"/>
                <w:sz w:val="20"/>
                <w:szCs w:val="20"/>
              </w:rPr>
              <w:footnoteReference w:id="39"/>
            </w:r>
          </w:p>
        </w:tc>
      </w:tr>
    </w:tbl>
    <w:p w14:paraId="5F337AB7" w14:textId="7BC87AEF" w:rsidR="00FD7DD1" w:rsidRPr="00FD7DD1" w:rsidRDefault="00FD7DD1" w:rsidP="00FD7DD1">
      <w:pPr>
        <w:spacing w:line="360" w:lineRule="auto"/>
        <w:rPr>
          <w:rFonts w:ascii="Times New Roman" w:hAnsi="Times New Roman" w:cs="Times New Roman"/>
          <w:sz w:val="20"/>
          <w:szCs w:val="20"/>
        </w:rPr>
      </w:pPr>
      <w:r w:rsidRPr="00FD7DD1">
        <w:rPr>
          <w:rFonts w:ascii="Times New Roman" w:hAnsi="Times New Roman" w:cs="Times New Roman"/>
          <w:sz w:val="20"/>
          <w:szCs w:val="20"/>
        </w:rPr>
        <w:br w:type="page"/>
      </w:r>
    </w:p>
    <w:p w14:paraId="54F7AE6C" w14:textId="77777777" w:rsidR="00FD7DD1" w:rsidRPr="00FD7DD1" w:rsidRDefault="00FD7DD1" w:rsidP="00FD7DD1">
      <w:pPr>
        <w:spacing w:line="360" w:lineRule="auto"/>
        <w:jc w:val="both"/>
        <w:rPr>
          <w:rFonts w:ascii="Times New Roman" w:hAnsi="Times New Roman" w:cs="Times New Roman"/>
          <w:sz w:val="20"/>
          <w:szCs w:val="20"/>
        </w:rPr>
      </w:pPr>
      <w:r w:rsidRPr="00FD7DD1">
        <w:rPr>
          <w:rStyle w:val="berschrift2Zchn"/>
          <w:rFonts w:ascii="Times New Roman" w:hAnsi="Times New Roman" w:cs="Times New Roman"/>
          <w:color w:val="auto"/>
          <w:sz w:val="20"/>
          <w:szCs w:val="20"/>
        </w:rPr>
        <w:lastRenderedPageBreak/>
        <w:t>Impact Assessment</w:t>
      </w:r>
    </w:p>
    <w:p w14:paraId="0E0C4944" w14:textId="00E3E45E" w:rsidR="00861854" w:rsidRDefault="00FD7DD1" w:rsidP="00861854">
      <w:pPr>
        <w:spacing w:line="360" w:lineRule="auto"/>
        <w:jc w:val="both"/>
        <w:rPr>
          <w:rFonts w:ascii="Times New Roman" w:hAnsi="Times New Roman" w:cs="Times New Roman"/>
          <w:sz w:val="20"/>
          <w:szCs w:val="20"/>
        </w:rPr>
      </w:pPr>
      <w:r w:rsidRPr="00FD7DD1">
        <w:rPr>
          <w:rFonts w:ascii="Times New Roman" w:hAnsi="Times New Roman" w:cs="Times New Roman"/>
          <w:sz w:val="20"/>
          <w:szCs w:val="20"/>
        </w:rPr>
        <w:t xml:space="preserve">An overview of the social impacts is displayed in Table 4. The performance assessment is listed in the PA column. The colours are assigned to the subcategories based on the inventory data </w:t>
      </w:r>
      <w:r w:rsidR="00861854">
        <w:rPr>
          <w:rFonts w:ascii="Times New Roman" w:hAnsi="Times New Roman" w:cs="Times New Roman"/>
          <w:sz w:val="20"/>
          <w:szCs w:val="20"/>
        </w:rPr>
        <w:t xml:space="preserve">(see above) </w:t>
      </w:r>
      <w:r w:rsidRPr="00FD7DD1">
        <w:rPr>
          <w:rFonts w:ascii="Times New Roman" w:hAnsi="Times New Roman" w:cs="Times New Roman"/>
          <w:sz w:val="20"/>
          <w:szCs w:val="20"/>
        </w:rPr>
        <w:t xml:space="preserve">and the rating scale (see Table 3). Subsequently it is distinguished if impacts on the impact categories (see Table 2) are rather high (+) or rather low (-), this is context dependent. Then the overall impact can be rated using the same rating scale (see Table </w:t>
      </w:r>
      <w:r w:rsidR="00861854">
        <w:rPr>
          <w:rFonts w:ascii="Times New Roman" w:hAnsi="Times New Roman" w:cs="Times New Roman"/>
          <w:sz w:val="20"/>
          <w:szCs w:val="20"/>
        </w:rPr>
        <w:t>3</w:t>
      </w:r>
      <w:r w:rsidRPr="00FD7DD1">
        <w:rPr>
          <w:rFonts w:ascii="Times New Roman" w:hAnsi="Times New Roman" w:cs="Times New Roman"/>
          <w:sz w:val="20"/>
          <w:szCs w:val="20"/>
        </w:rPr>
        <w:t xml:space="preserve">. Lastly, the averages can be calculated. </w:t>
      </w:r>
      <w:r w:rsidR="00C244CE" w:rsidRPr="00C244CE">
        <w:rPr>
          <w:rFonts w:ascii="Times New Roman" w:hAnsi="Times New Roman" w:cs="Times New Roman"/>
          <w:sz w:val="20"/>
          <w:szCs w:val="20"/>
        </w:rPr>
        <w:t>The rules of Ciroth and Franze (2011) were adopted for calculating the average scores</w:t>
      </w:r>
      <w:r w:rsidRPr="00FD7DD1">
        <w:rPr>
          <w:rFonts w:ascii="Times New Roman" w:hAnsi="Times New Roman" w:cs="Times New Roman"/>
          <w:sz w:val="20"/>
          <w:szCs w:val="20"/>
        </w:rPr>
        <w:t>. If at least one subcategory is assessed with a ‘6’, the amount cannot be higher than a ‘5’; if at least one subcategory is assessed with a ‘5’, the amount cannot be higher than a ‘4’. The resulting amount is the average of the calculated amoun</w:t>
      </w:r>
      <w:r w:rsidR="00861854">
        <w:rPr>
          <w:rFonts w:ascii="Times New Roman" w:hAnsi="Times New Roman" w:cs="Times New Roman"/>
          <w:sz w:val="20"/>
          <w:szCs w:val="20"/>
        </w:rPr>
        <w:t xml:space="preserve">ts of the stakeholder groups. </w:t>
      </w:r>
      <w:r w:rsidR="00861854">
        <w:rPr>
          <w:rFonts w:ascii="Times New Roman" w:hAnsi="Times New Roman" w:cs="Times New Roman"/>
          <w:sz w:val="20"/>
          <w:szCs w:val="20"/>
        </w:rPr>
        <w:tab/>
      </w:r>
    </w:p>
    <w:p w14:paraId="3CEB4D4F" w14:textId="6141D5CA" w:rsidR="00FD7DD1" w:rsidRPr="00FD7DD1" w:rsidRDefault="00C23D60" w:rsidP="00861854">
      <w:pPr>
        <w:spacing w:line="360" w:lineRule="auto"/>
        <w:jc w:val="both"/>
        <w:rPr>
          <w:rFonts w:ascii="Times New Roman" w:hAnsi="Times New Roman" w:cs="Times New Roman"/>
          <w:sz w:val="20"/>
          <w:szCs w:val="20"/>
        </w:rPr>
      </w:pPr>
      <w:r>
        <w:rPr>
          <w:rFonts w:ascii="Times New Roman" w:hAnsi="Times New Roman" w:cs="Times New Roman"/>
          <w:sz w:val="20"/>
          <w:szCs w:val="20"/>
        </w:rPr>
        <w:t>To illustrate the process</w:t>
      </w:r>
      <w:r w:rsidR="00FD7DD1" w:rsidRPr="00FD7DD1">
        <w:rPr>
          <w:rFonts w:ascii="Times New Roman" w:hAnsi="Times New Roman" w:cs="Times New Roman"/>
          <w:sz w:val="20"/>
          <w:szCs w:val="20"/>
        </w:rPr>
        <w:t xml:space="preserve">, </w:t>
      </w:r>
      <w:r>
        <w:rPr>
          <w:rFonts w:ascii="Times New Roman" w:hAnsi="Times New Roman" w:cs="Times New Roman"/>
          <w:sz w:val="20"/>
          <w:szCs w:val="20"/>
        </w:rPr>
        <w:t>we describe the steps of</w:t>
      </w:r>
      <w:r w:rsidR="00FD7DD1" w:rsidRPr="00FD7DD1">
        <w:rPr>
          <w:rFonts w:ascii="Times New Roman" w:hAnsi="Times New Roman" w:cs="Times New Roman"/>
          <w:sz w:val="20"/>
          <w:szCs w:val="20"/>
        </w:rPr>
        <w:t xml:space="preserve"> the</w:t>
      </w:r>
      <w:r w:rsidR="00861854">
        <w:rPr>
          <w:rFonts w:ascii="Times New Roman" w:hAnsi="Times New Roman" w:cs="Times New Roman"/>
          <w:sz w:val="20"/>
          <w:szCs w:val="20"/>
        </w:rPr>
        <w:t xml:space="preserve"> impact</w:t>
      </w:r>
      <w:r w:rsidR="00FD7DD1" w:rsidRPr="00FD7DD1">
        <w:rPr>
          <w:rFonts w:ascii="Times New Roman" w:hAnsi="Times New Roman" w:cs="Times New Roman"/>
          <w:sz w:val="20"/>
          <w:szCs w:val="20"/>
        </w:rPr>
        <w:t xml:space="preserve"> assessment for the stakeholder group workers and the subcategories ‘freedom of association’ and ‘discrimination’</w:t>
      </w:r>
      <w:r w:rsidR="00861854">
        <w:rPr>
          <w:rFonts w:ascii="Times New Roman" w:hAnsi="Times New Roman" w:cs="Times New Roman"/>
          <w:sz w:val="20"/>
          <w:szCs w:val="20"/>
        </w:rPr>
        <w:t xml:space="preserve">, using the inventory data </w:t>
      </w:r>
      <w:r w:rsidR="00FD7DD1" w:rsidRPr="00FD7DD1">
        <w:rPr>
          <w:rFonts w:ascii="Times New Roman" w:hAnsi="Times New Roman" w:cs="Times New Roman"/>
          <w:sz w:val="20"/>
          <w:szCs w:val="20"/>
        </w:rPr>
        <w:t xml:space="preserve">. Concerning freedom of association </w:t>
      </w:r>
      <w:r>
        <w:rPr>
          <w:rFonts w:ascii="Times New Roman" w:hAnsi="Times New Roman" w:cs="Times New Roman"/>
          <w:sz w:val="20"/>
          <w:szCs w:val="20"/>
        </w:rPr>
        <w:t>we found</w:t>
      </w:r>
      <w:r w:rsidR="00FD7DD1" w:rsidRPr="00FD7DD1">
        <w:rPr>
          <w:rFonts w:ascii="Times New Roman" w:hAnsi="Times New Roman" w:cs="Times New Roman"/>
          <w:sz w:val="20"/>
          <w:szCs w:val="20"/>
        </w:rPr>
        <w:t xml:space="preserve"> that India did not ratify the corresponding conventions of the International Labor Organization (ILO). Despite this fact there are numerous trade unions. However these do not seem to be very effective</w:t>
      </w:r>
      <w:r w:rsidR="00861854">
        <w:rPr>
          <w:rFonts w:ascii="Times New Roman" w:hAnsi="Times New Roman" w:cs="Times New Roman"/>
          <w:sz w:val="20"/>
          <w:szCs w:val="20"/>
        </w:rPr>
        <w:t xml:space="preserve"> (inventory data)</w:t>
      </w:r>
      <w:r w:rsidR="00FD7DD1" w:rsidRPr="00FD7DD1">
        <w:rPr>
          <w:rFonts w:ascii="Times New Roman" w:hAnsi="Times New Roman" w:cs="Times New Roman"/>
          <w:sz w:val="20"/>
          <w:szCs w:val="20"/>
        </w:rPr>
        <w:t>. Therefore the performance assessment results in score 3, indifferent effect. These conditions have a moderate impact on working conditions, health and safety, human rights and socio-economic repercussions. Therefore the impact assessment results in a slightly positive effect. Concern</w:t>
      </w:r>
      <w:r w:rsidR="00861854">
        <w:rPr>
          <w:rFonts w:ascii="Times New Roman" w:hAnsi="Times New Roman" w:cs="Times New Roman"/>
          <w:sz w:val="20"/>
          <w:szCs w:val="20"/>
        </w:rPr>
        <w:t xml:space="preserve">ing discrimination in India, </w:t>
      </w:r>
      <w:r w:rsidR="00FD7DD1" w:rsidRPr="00FD7DD1">
        <w:rPr>
          <w:rFonts w:ascii="Times New Roman" w:hAnsi="Times New Roman" w:cs="Times New Roman"/>
          <w:sz w:val="20"/>
          <w:szCs w:val="20"/>
        </w:rPr>
        <w:t>women have way less opportunities than men</w:t>
      </w:r>
      <w:r w:rsidR="00861854">
        <w:rPr>
          <w:rFonts w:ascii="Times New Roman" w:hAnsi="Times New Roman" w:cs="Times New Roman"/>
          <w:sz w:val="20"/>
          <w:szCs w:val="20"/>
        </w:rPr>
        <w:t xml:space="preserve"> (inventory data)</w:t>
      </w:r>
      <w:r w:rsidR="00FD7DD1" w:rsidRPr="00FD7DD1">
        <w:rPr>
          <w:rFonts w:ascii="Times New Roman" w:hAnsi="Times New Roman" w:cs="Times New Roman"/>
          <w:sz w:val="20"/>
          <w:szCs w:val="20"/>
        </w:rPr>
        <w:t>. Therefore performance scores low (5~poor performance). All impact categories are affected highly, so impact assessment results in 6~very negative effect.</w:t>
      </w:r>
    </w:p>
    <w:tbl>
      <w:tblPr>
        <w:tblStyle w:val="MittlereSchattierung1-Akzent1"/>
        <w:tblW w:w="0" w:type="auto"/>
        <w:tblInd w:w="108" w:type="dxa"/>
        <w:tblLook w:val="04A0" w:firstRow="1" w:lastRow="0" w:firstColumn="1" w:lastColumn="0" w:noHBand="0" w:noVBand="1"/>
      </w:tblPr>
      <w:tblGrid>
        <w:gridCol w:w="3085"/>
        <w:gridCol w:w="1559"/>
      </w:tblGrid>
      <w:tr w:rsidR="00FD7DD1" w:rsidRPr="00FD7DD1" w14:paraId="2358D580" w14:textId="77777777" w:rsidTr="00FE5C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2A01B501" w14:textId="77777777" w:rsidR="00FD7DD1" w:rsidRPr="00FD7DD1" w:rsidRDefault="00FD7DD1" w:rsidP="00FD7DD1">
            <w:pPr>
              <w:spacing w:line="276" w:lineRule="auto"/>
              <w:rPr>
                <w:rFonts w:ascii="Times New Roman" w:hAnsi="Times New Roman" w:cs="Times New Roman"/>
                <w:color w:val="auto"/>
                <w:sz w:val="20"/>
                <w:szCs w:val="20"/>
              </w:rPr>
            </w:pPr>
            <w:r w:rsidRPr="00FD7DD1">
              <w:rPr>
                <w:rFonts w:ascii="Times New Roman" w:hAnsi="Times New Roman" w:cs="Times New Roman"/>
                <w:color w:val="auto"/>
                <w:sz w:val="20"/>
                <w:szCs w:val="20"/>
              </w:rPr>
              <w:t>Midpoint impact category</w:t>
            </w:r>
          </w:p>
        </w:tc>
        <w:tc>
          <w:tcPr>
            <w:tcW w:w="1559" w:type="dxa"/>
          </w:tcPr>
          <w:p w14:paraId="1E89B105" w14:textId="77777777" w:rsidR="00FD7DD1" w:rsidRPr="00FD7DD1" w:rsidRDefault="00FD7DD1" w:rsidP="00FD7DD1">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7DD1">
              <w:rPr>
                <w:rFonts w:ascii="Times New Roman" w:hAnsi="Times New Roman" w:cs="Times New Roman"/>
                <w:color w:val="auto"/>
                <w:sz w:val="20"/>
                <w:szCs w:val="20"/>
              </w:rPr>
              <w:t>Abbreviation</w:t>
            </w:r>
          </w:p>
        </w:tc>
      </w:tr>
      <w:tr w:rsidR="00FD7DD1" w:rsidRPr="00FD7DD1" w14:paraId="04513E74" w14:textId="77777777" w:rsidTr="00FE5C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22034A52" w14:textId="77777777" w:rsidR="00FD7DD1" w:rsidRPr="00FD7DD1" w:rsidRDefault="00FD7DD1" w:rsidP="00FD7DD1">
            <w:pPr>
              <w:spacing w:line="276" w:lineRule="auto"/>
              <w:rPr>
                <w:rFonts w:ascii="Times New Roman" w:hAnsi="Times New Roman" w:cs="Times New Roman"/>
                <w:b w:val="0"/>
                <w:sz w:val="20"/>
                <w:szCs w:val="20"/>
              </w:rPr>
            </w:pPr>
            <w:r w:rsidRPr="00FD7DD1">
              <w:rPr>
                <w:rFonts w:ascii="Times New Roman" w:hAnsi="Times New Roman" w:cs="Times New Roman"/>
                <w:b w:val="0"/>
                <w:sz w:val="20"/>
                <w:szCs w:val="20"/>
              </w:rPr>
              <w:t>Working conditions</w:t>
            </w:r>
          </w:p>
        </w:tc>
        <w:tc>
          <w:tcPr>
            <w:tcW w:w="1559" w:type="dxa"/>
          </w:tcPr>
          <w:p w14:paraId="7346F5D1" w14:textId="77777777" w:rsidR="00FD7DD1" w:rsidRPr="00FD7DD1" w:rsidRDefault="00FD7DD1" w:rsidP="00FD7DD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DD1">
              <w:rPr>
                <w:rFonts w:ascii="Times New Roman" w:hAnsi="Times New Roman" w:cs="Times New Roman"/>
                <w:sz w:val="20"/>
                <w:szCs w:val="20"/>
              </w:rPr>
              <w:t>WC</w:t>
            </w:r>
          </w:p>
        </w:tc>
      </w:tr>
      <w:tr w:rsidR="00FD7DD1" w:rsidRPr="00FD7DD1" w14:paraId="64E8952B" w14:textId="77777777" w:rsidTr="00FE5C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3BD58E6E" w14:textId="77777777" w:rsidR="00FD7DD1" w:rsidRPr="00FD7DD1" w:rsidRDefault="00FD7DD1" w:rsidP="00FD7DD1">
            <w:pPr>
              <w:spacing w:line="276" w:lineRule="auto"/>
              <w:rPr>
                <w:rFonts w:ascii="Times New Roman" w:hAnsi="Times New Roman" w:cs="Times New Roman"/>
                <w:b w:val="0"/>
                <w:sz w:val="20"/>
                <w:szCs w:val="20"/>
              </w:rPr>
            </w:pPr>
            <w:r w:rsidRPr="00FD7DD1">
              <w:rPr>
                <w:rFonts w:ascii="Times New Roman" w:hAnsi="Times New Roman" w:cs="Times New Roman"/>
                <w:b w:val="0"/>
                <w:sz w:val="20"/>
                <w:szCs w:val="20"/>
              </w:rPr>
              <w:t>Health and Safety</w:t>
            </w:r>
          </w:p>
        </w:tc>
        <w:tc>
          <w:tcPr>
            <w:tcW w:w="1559" w:type="dxa"/>
          </w:tcPr>
          <w:p w14:paraId="0AC5E4D6" w14:textId="77777777" w:rsidR="00FD7DD1" w:rsidRPr="00FD7DD1" w:rsidRDefault="00FD7DD1" w:rsidP="00FD7DD1">
            <w:pPr>
              <w:spacing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FD7DD1">
              <w:rPr>
                <w:rFonts w:ascii="Times New Roman" w:hAnsi="Times New Roman" w:cs="Times New Roman"/>
                <w:sz w:val="20"/>
                <w:szCs w:val="20"/>
              </w:rPr>
              <w:t>HS</w:t>
            </w:r>
          </w:p>
        </w:tc>
      </w:tr>
      <w:tr w:rsidR="00FD7DD1" w:rsidRPr="00FD7DD1" w14:paraId="3D7B0EBF" w14:textId="77777777" w:rsidTr="00FE5C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49AF9200" w14:textId="77777777" w:rsidR="00FD7DD1" w:rsidRPr="00FD7DD1" w:rsidRDefault="00FD7DD1" w:rsidP="00FD7DD1">
            <w:pPr>
              <w:spacing w:line="276" w:lineRule="auto"/>
              <w:rPr>
                <w:rFonts w:ascii="Times New Roman" w:hAnsi="Times New Roman" w:cs="Times New Roman"/>
                <w:b w:val="0"/>
                <w:sz w:val="20"/>
                <w:szCs w:val="20"/>
              </w:rPr>
            </w:pPr>
            <w:r w:rsidRPr="00FD7DD1">
              <w:rPr>
                <w:rFonts w:ascii="Times New Roman" w:hAnsi="Times New Roman" w:cs="Times New Roman"/>
                <w:b w:val="0"/>
                <w:sz w:val="20"/>
                <w:szCs w:val="20"/>
              </w:rPr>
              <w:t>Human Rights</w:t>
            </w:r>
          </w:p>
        </w:tc>
        <w:tc>
          <w:tcPr>
            <w:tcW w:w="1559" w:type="dxa"/>
          </w:tcPr>
          <w:p w14:paraId="6F80DBBF" w14:textId="77777777" w:rsidR="00FD7DD1" w:rsidRPr="00FD7DD1" w:rsidRDefault="00FD7DD1" w:rsidP="00FD7DD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DD1">
              <w:rPr>
                <w:rFonts w:ascii="Times New Roman" w:hAnsi="Times New Roman" w:cs="Times New Roman"/>
                <w:sz w:val="20"/>
                <w:szCs w:val="20"/>
              </w:rPr>
              <w:t>HR</w:t>
            </w:r>
          </w:p>
        </w:tc>
      </w:tr>
      <w:tr w:rsidR="00FD7DD1" w:rsidRPr="00FD7DD1" w14:paraId="234BCA28" w14:textId="77777777" w:rsidTr="00FE5C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34F17FA4" w14:textId="77777777" w:rsidR="00FD7DD1" w:rsidRPr="00FD7DD1" w:rsidRDefault="00FD7DD1" w:rsidP="00FD7DD1">
            <w:pPr>
              <w:spacing w:line="276" w:lineRule="auto"/>
              <w:rPr>
                <w:rFonts w:ascii="Times New Roman" w:hAnsi="Times New Roman" w:cs="Times New Roman"/>
                <w:b w:val="0"/>
                <w:sz w:val="20"/>
                <w:szCs w:val="20"/>
              </w:rPr>
            </w:pPr>
            <w:r w:rsidRPr="00FD7DD1">
              <w:rPr>
                <w:rFonts w:ascii="Times New Roman" w:hAnsi="Times New Roman" w:cs="Times New Roman"/>
                <w:b w:val="0"/>
                <w:sz w:val="20"/>
                <w:szCs w:val="20"/>
              </w:rPr>
              <w:t>Repercussions Socio-Economic</w:t>
            </w:r>
          </w:p>
        </w:tc>
        <w:tc>
          <w:tcPr>
            <w:tcW w:w="1559" w:type="dxa"/>
          </w:tcPr>
          <w:p w14:paraId="2FBA90A5" w14:textId="77777777" w:rsidR="00FD7DD1" w:rsidRPr="00FD7DD1" w:rsidRDefault="00FD7DD1" w:rsidP="00FD7DD1">
            <w:pPr>
              <w:spacing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FD7DD1">
              <w:rPr>
                <w:rFonts w:ascii="Times New Roman" w:hAnsi="Times New Roman" w:cs="Times New Roman"/>
                <w:sz w:val="20"/>
                <w:szCs w:val="20"/>
              </w:rPr>
              <w:t>SER</w:t>
            </w:r>
          </w:p>
        </w:tc>
        <w:bookmarkStart w:id="0" w:name="_GoBack"/>
        <w:bookmarkEnd w:id="0"/>
      </w:tr>
      <w:tr w:rsidR="00FD7DD1" w:rsidRPr="00FD7DD1" w14:paraId="0681C92A" w14:textId="77777777" w:rsidTr="00FE5C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2D972D8F" w14:textId="77777777" w:rsidR="00FD7DD1" w:rsidRPr="00FD7DD1" w:rsidRDefault="00FD7DD1" w:rsidP="00FD7DD1">
            <w:pPr>
              <w:spacing w:line="276" w:lineRule="auto"/>
              <w:rPr>
                <w:rFonts w:ascii="Times New Roman" w:hAnsi="Times New Roman" w:cs="Times New Roman"/>
                <w:b w:val="0"/>
                <w:sz w:val="20"/>
                <w:szCs w:val="20"/>
              </w:rPr>
            </w:pPr>
            <w:r w:rsidRPr="00FD7DD1">
              <w:rPr>
                <w:rFonts w:ascii="Times New Roman" w:hAnsi="Times New Roman" w:cs="Times New Roman"/>
                <w:b w:val="0"/>
                <w:sz w:val="20"/>
                <w:szCs w:val="20"/>
              </w:rPr>
              <w:t>Indigenous Rights/ Cultural Heritage</w:t>
            </w:r>
          </w:p>
        </w:tc>
        <w:tc>
          <w:tcPr>
            <w:tcW w:w="1559" w:type="dxa"/>
          </w:tcPr>
          <w:p w14:paraId="1BBB964D" w14:textId="77777777" w:rsidR="00FD7DD1" w:rsidRPr="00FD7DD1" w:rsidRDefault="00FD7DD1" w:rsidP="00FD7DD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DD1">
              <w:rPr>
                <w:rFonts w:ascii="Times New Roman" w:hAnsi="Times New Roman" w:cs="Times New Roman"/>
                <w:sz w:val="20"/>
                <w:szCs w:val="20"/>
              </w:rPr>
              <w:t>IR</w:t>
            </w:r>
          </w:p>
        </w:tc>
      </w:tr>
      <w:tr w:rsidR="00FD7DD1" w:rsidRPr="00FD7DD1" w14:paraId="107E11F5" w14:textId="77777777" w:rsidTr="00FE5C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3C0F04C8" w14:textId="77777777" w:rsidR="00FD7DD1" w:rsidRPr="00FD7DD1" w:rsidRDefault="00FD7DD1" w:rsidP="00FD7DD1">
            <w:pPr>
              <w:spacing w:line="276" w:lineRule="auto"/>
              <w:rPr>
                <w:rFonts w:ascii="Times New Roman" w:hAnsi="Times New Roman" w:cs="Times New Roman"/>
                <w:b w:val="0"/>
                <w:sz w:val="20"/>
                <w:szCs w:val="20"/>
              </w:rPr>
            </w:pPr>
            <w:r w:rsidRPr="00FD7DD1">
              <w:rPr>
                <w:rFonts w:ascii="Times New Roman" w:hAnsi="Times New Roman" w:cs="Times New Roman"/>
                <w:b w:val="0"/>
                <w:sz w:val="20"/>
                <w:szCs w:val="20"/>
              </w:rPr>
              <w:t>Governance</w:t>
            </w:r>
          </w:p>
        </w:tc>
        <w:tc>
          <w:tcPr>
            <w:tcW w:w="1559" w:type="dxa"/>
          </w:tcPr>
          <w:p w14:paraId="27375329" w14:textId="77777777" w:rsidR="00FD7DD1" w:rsidRPr="00FD7DD1" w:rsidRDefault="00FD7DD1" w:rsidP="00FD7DD1">
            <w:pPr>
              <w:spacing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FD7DD1">
              <w:rPr>
                <w:rFonts w:ascii="Times New Roman" w:hAnsi="Times New Roman" w:cs="Times New Roman"/>
                <w:sz w:val="20"/>
                <w:szCs w:val="20"/>
              </w:rPr>
              <w:t>G</w:t>
            </w:r>
          </w:p>
        </w:tc>
      </w:tr>
    </w:tbl>
    <w:p w14:paraId="4F83911C" w14:textId="77777777" w:rsidR="00FD7DD1" w:rsidRPr="00561F9A" w:rsidRDefault="00FD7DD1" w:rsidP="00FD7DD1">
      <w:pPr>
        <w:spacing w:line="360" w:lineRule="auto"/>
        <w:rPr>
          <w:rFonts w:ascii="Times New Roman" w:hAnsi="Times New Roman" w:cs="Times New Roman"/>
          <w:b/>
          <w:sz w:val="16"/>
          <w:szCs w:val="16"/>
        </w:rPr>
      </w:pPr>
      <w:r w:rsidRPr="00561F9A">
        <w:rPr>
          <w:rFonts w:ascii="Times New Roman" w:hAnsi="Times New Roman" w:cs="Times New Roman"/>
          <w:b/>
          <w:sz w:val="16"/>
          <w:szCs w:val="16"/>
        </w:rPr>
        <w:t>Table 2 - Social impact categories (UNEP/SETAC, 2009)</w:t>
      </w:r>
      <w:r w:rsidRPr="00561F9A">
        <w:rPr>
          <w:rStyle w:val="Funotenzeichen"/>
          <w:rFonts w:ascii="Times New Roman" w:hAnsi="Times New Roman" w:cs="Times New Roman"/>
          <w:b/>
          <w:sz w:val="16"/>
          <w:szCs w:val="16"/>
        </w:rPr>
        <w:footnoteReference w:id="40"/>
      </w:r>
      <w:r w:rsidRPr="00561F9A">
        <w:rPr>
          <w:rFonts w:ascii="Times New Roman" w:hAnsi="Times New Roman" w:cs="Times New Roman"/>
          <w:b/>
          <w:sz w:val="16"/>
          <w:szCs w:val="16"/>
        </w:rPr>
        <w:br/>
      </w:r>
    </w:p>
    <w:tbl>
      <w:tblPr>
        <w:tblStyle w:val="HelleListe-Akzent1"/>
        <w:tblW w:w="6966" w:type="dxa"/>
        <w:tblInd w:w="108" w:type="dxa"/>
        <w:tblLook w:val="04A0" w:firstRow="1" w:lastRow="0" w:firstColumn="1" w:lastColumn="0" w:noHBand="0" w:noVBand="1"/>
      </w:tblPr>
      <w:tblGrid>
        <w:gridCol w:w="2802"/>
        <w:gridCol w:w="2409"/>
        <w:gridCol w:w="1755"/>
      </w:tblGrid>
      <w:tr w:rsidR="00FD7DD1" w:rsidRPr="00FD7DD1" w14:paraId="7E2DF4BF" w14:textId="77777777" w:rsidTr="00FE5C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bottom w:val="single" w:sz="4" w:space="0" w:color="0070C0"/>
            </w:tcBorders>
          </w:tcPr>
          <w:p w14:paraId="0562C65A" w14:textId="77777777" w:rsidR="00FD7DD1" w:rsidRPr="00FD7DD1" w:rsidRDefault="00FD7DD1" w:rsidP="00FD7DD1">
            <w:pPr>
              <w:autoSpaceDE w:val="0"/>
              <w:autoSpaceDN w:val="0"/>
              <w:adjustRightInd w:val="0"/>
              <w:spacing w:line="276" w:lineRule="auto"/>
              <w:rPr>
                <w:rFonts w:ascii="Times New Roman" w:hAnsi="Times New Roman" w:cs="Times New Roman"/>
                <w:color w:val="auto"/>
                <w:sz w:val="20"/>
                <w:szCs w:val="20"/>
              </w:rPr>
            </w:pPr>
            <w:r w:rsidRPr="00FD7DD1">
              <w:rPr>
                <w:rFonts w:ascii="Times New Roman" w:hAnsi="Times New Roman" w:cs="Times New Roman"/>
                <w:bCs w:val="0"/>
                <w:color w:val="auto"/>
                <w:sz w:val="20"/>
                <w:szCs w:val="20"/>
              </w:rPr>
              <w:t xml:space="preserve">Performance Assessment (PA) </w:t>
            </w:r>
          </w:p>
        </w:tc>
        <w:tc>
          <w:tcPr>
            <w:tcW w:w="2409" w:type="dxa"/>
            <w:tcBorders>
              <w:bottom w:val="single" w:sz="4" w:space="0" w:color="0070C0"/>
            </w:tcBorders>
          </w:tcPr>
          <w:p w14:paraId="396022BE" w14:textId="77777777" w:rsidR="00FD7DD1" w:rsidRPr="00FD7DD1" w:rsidRDefault="00FD7DD1" w:rsidP="00FD7DD1">
            <w:pPr>
              <w:autoSpaceDE w:val="0"/>
              <w:autoSpaceDN w:val="0"/>
              <w:adjustRightInd w:val="0"/>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7DD1">
              <w:rPr>
                <w:rFonts w:ascii="Times New Roman" w:hAnsi="Times New Roman" w:cs="Times New Roman"/>
                <w:bCs w:val="0"/>
                <w:color w:val="auto"/>
                <w:sz w:val="20"/>
                <w:szCs w:val="20"/>
              </w:rPr>
              <w:t xml:space="preserve">Impact Assessment (IA) </w:t>
            </w:r>
          </w:p>
        </w:tc>
        <w:tc>
          <w:tcPr>
            <w:tcW w:w="1755" w:type="dxa"/>
            <w:tcBorders>
              <w:bottom w:val="single" w:sz="4" w:space="0" w:color="0070C0"/>
            </w:tcBorders>
          </w:tcPr>
          <w:p w14:paraId="3821A7C5" w14:textId="77777777" w:rsidR="00FD7DD1" w:rsidRPr="00FD7DD1" w:rsidRDefault="00FD7DD1" w:rsidP="00FD7DD1">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7DD1">
              <w:rPr>
                <w:rFonts w:ascii="Times New Roman" w:hAnsi="Times New Roman" w:cs="Times New Roman"/>
                <w:color w:val="auto"/>
                <w:sz w:val="20"/>
                <w:szCs w:val="20"/>
              </w:rPr>
              <w:t>Colour/factor</w:t>
            </w:r>
          </w:p>
        </w:tc>
      </w:tr>
      <w:tr w:rsidR="00FD7DD1" w:rsidRPr="00FD7DD1" w14:paraId="5DCDEDDA" w14:textId="77777777" w:rsidTr="00FE5C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top w:val="single" w:sz="4" w:space="0" w:color="0070C0"/>
              <w:left w:val="single" w:sz="4" w:space="0" w:color="0070C0"/>
              <w:bottom w:val="single" w:sz="4" w:space="0" w:color="0070C0"/>
              <w:right w:val="single" w:sz="4" w:space="0" w:color="0070C0"/>
            </w:tcBorders>
          </w:tcPr>
          <w:p w14:paraId="44134ED4" w14:textId="77777777" w:rsidR="00FD7DD1" w:rsidRPr="00FD7DD1" w:rsidRDefault="00FD7DD1" w:rsidP="00FD7DD1">
            <w:pPr>
              <w:autoSpaceDE w:val="0"/>
              <w:autoSpaceDN w:val="0"/>
              <w:adjustRightInd w:val="0"/>
              <w:spacing w:line="276" w:lineRule="auto"/>
              <w:rPr>
                <w:rFonts w:ascii="Times New Roman" w:hAnsi="Times New Roman" w:cs="Times New Roman"/>
                <w:b w:val="0"/>
                <w:sz w:val="20"/>
                <w:szCs w:val="20"/>
              </w:rPr>
            </w:pPr>
            <w:r w:rsidRPr="00FD7DD1">
              <w:rPr>
                <w:rFonts w:ascii="Times New Roman" w:hAnsi="Times New Roman" w:cs="Times New Roman"/>
                <w:b w:val="0"/>
                <w:sz w:val="20"/>
                <w:szCs w:val="20"/>
              </w:rPr>
              <w:t xml:space="preserve">Very good performance </w:t>
            </w:r>
          </w:p>
        </w:tc>
        <w:tc>
          <w:tcPr>
            <w:tcW w:w="2409" w:type="dxa"/>
            <w:tcBorders>
              <w:top w:val="single" w:sz="4" w:space="0" w:color="0070C0"/>
              <w:left w:val="single" w:sz="4" w:space="0" w:color="0070C0"/>
              <w:bottom w:val="single" w:sz="4" w:space="0" w:color="0070C0"/>
              <w:right w:val="single" w:sz="4" w:space="0" w:color="0070C0"/>
            </w:tcBorders>
          </w:tcPr>
          <w:p w14:paraId="33C3F634" w14:textId="77777777" w:rsidR="00FD7DD1" w:rsidRPr="00FD7DD1" w:rsidRDefault="00FD7DD1" w:rsidP="00FD7D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DD1">
              <w:rPr>
                <w:rFonts w:ascii="Times New Roman" w:hAnsi="Times New Roman" w:cs="Times New Roman"/>
                <w:sz w:val="20"/>
                <w:szCs w:val="20"/>
              </w:rPr>
              <w:t xml:space="preserve">Positive effect </w:t>
            </w:r>
          </w:p>
        </w:tc>
        <w:tc>
          <w:tcPr>
            <w:tcW w:w="1755" w:type="dxa"/>
            <w:tcBorders>
              <w:top w:val="single" w:sz="4" w:space="0" w:color="0070C0"/>
              <w:left w:val="single" w:sz="4" w:space="0" w:color="0070C0"/>
              <w:bottom w:val="single" w:sz="4" w:space="0" w:color="0070C0"/>
              <w:right w:val="single" w:sz="4" w:space="0" w:color="0070C0"/>
            </w:tcBorders>
            <w:shd w:val="clear" w:color="auto" w:fill="00B050"/>
          </w:tcPr>
          <w:p w14:paraId="7FC904E6" w14:textId="77777777" w:rsidR="00FD7DD1" w:rsidRPr="00FD7DD1" w:rsidRDefault="00FD7DD1" w:rsidP="00FD7DD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DD1">
              <w:rPr>
                <w:rFonts w:ascii="Times New Roman" w:hAnsi="Times New Roman" w:cs="Times New Roman"/>
                <w:sz w:val="20"/>
                <w:szCs w:val="20"/>
              </w:rPr>
              <w:t>1</w:t>
            </w:r>
          </w:p>
        </w:tc>
      </w:tr>
      <w:tr w:rsidR="00FD7DD1" w:rsidRPr="00FD7DD1" w14:paraId="5570B49D" w14:textId="77777777" w:rsidTr="00FE5C16">
        <w:tc>
          <w:tcPr>
            <w:cnfStyle w:val="001000000000" w:firstRow="0" w:lastRow="0" w:firstColumn="1" w:lastColumn="0" w:oddVBand="0" w:evenVBand="0" w:oddHBand="0" w:evenHBand="0" w:firstRowFirstColumn="0" w:firstRowLastColumn="0" w:lastRowFirstColumn="0" w:lastRowLastColumn="0"/>
            <w:tcW w:w="2802" w:type="dxa"/>
            <w:tcBorders>
              <w:top w:val="single" w:sz="4" w:space="0" w:color="0070C0"/>
              <w:left w:val="single" w:sz="4" w:space="0" w:color="0070C0"/>
              <w:bottom w:val="single" w:sz="4" w:space="0" w:color="0070C0"/>
              <w:right w:val="single" w:sz="4" w:space="0" w:color="0070C0"/>
            </w:tcBorders>
          </w:tcPr>
          <w:p w14:paraId="402ABF9A" w14:textId="77777777" w:rsidR="00FD7DD1" w:rsidRPr="00FD7DD1" w:rsidRDefault="00FD7DD1" w:rsidP="00FD7DD1">
            <w:pPr>
              <w:autoSpaceDE w:val="0"/>
              <w:autoSpaceDN w:val="0"/>
              <w:adjustRightInd w:val="0"/>
              <w:spacing w:line="276" w:lineRule="auto"/>
              <w:rPr>
                <w:rFonts w:ascii="Times New Roman" w:hAnsi="Times New Roman" w:cs="Times New Roman"/>
                <w:b w:val="0"/>
                <w:sz w:val="20"/>
                <w:szCs w:val="20"/>
              </w:rPr>
            </w:pPr>
            <w:r w:rsidRPr="00FD7DD1">
              <w:rPr>
                <w:rFonts w:ascii="Times New Roman" w:hAnsi="Times New Roman" w:cs="Times New Roman"/>
                <w:b w:val="0"/>
                <w:sz w:val="20"/>
                <w:szCs w:val="20"/>
              </w:rPr>
              <w:t xml:space="preserve">Good performance </w:t>
            </w:r>
          </w:p>
        </w:tc>
        <w:tc>
          <w:tcPr>
            <w:tcW w:w="2409" w:type="dxa"/>
            <w:tcBorders>
              <w:top w:val="single" w:sz="4" w:space="0" w:color="0070C0"/>
              <w:left w:val="single" w:sz="4" w:space="0" w:color="0070C0"/>
              <w:bottom w:val="single" w:sz="4" w:space="0" w:color="0070C0"/>
              <w:right w:val="single" w:sz="4" w:space="0" w:color="0070C0"/>
            </w:tcBorders>
          </w:tcPr>
          <w:p w14:paraId="43055701" w14:textId="77777777" w:rsidR="00FD7DD1" w:rsidRPr="00FD7DD1" w:rsidRDefault="00FD7DD1" w:rsidP="00FD7D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DD1">
              <w:rPr>
                <w:rFonts w:ascii="Times New Roman" w:hAnsi="Times New Roman" w:cs="Times New Roman"/>
                <w:sz w:val="20"/>
                <w:szCs w:val="20"/>
              </w:rPr>
              <w:t xml:space="preserve">Lightly positive effect </w:t>
            </w:r>
          </w:p>
        </w:tc>
        <w:tc>
          <w:tcPr>
            <w:tcW w:w="1755" w:type="dxa"/>
            <w:tcBorders>
              <w:top w:val="single" w:sz="4" w:space="0" w:color="0070C0"/>
              <w:left w:val="single" w:sz="4" w:space="0" w:color="0070C0"/>
              <w:bottom w:val="single" w:sz="4" w:space="0" w:color="0070C0"/>
              <w:right w:val="single" w:sz="4" w:space="0" w:color="0070C0"/>
            </w:tcBorders>
            <w:shd w:val="clear" w:color="auto" w:fill="92D050"/>
          </w:tcPr>
          <w:p w14:paraId="3EE795F5" w14:textId="77777777" w:rsidR="00FD7DD1" w:rsidRPr="00FD7DD1" w:rsidRDefault="00FD7DD1" w:rsidP="00FD7DD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DD1">
              <w:rPr>
                <w:rFonts w:ascii="Times New Roman" w:hAnsi="Times New Roman" w:cs="Times New Roman"/>
                <w:sz w:val="20"/>
                <w:szCs w:val="20"/>
              </w:rPr>
              <w:t>2</w:t>
            </w:r>
          </w:p>
        </w:tc>
      </w:tr>
      <w:tr w:rsidR="00FD7DD1" w:rsidRPr="00FD7DD1" w14:paraId="152288C6" w14:textId="77777777" w:rsidTr="00FE5C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top w:val="single" w:sz="4" w:space="0" w:color="0070C0"/>
              <w:left w:val="single" w:sz="4" w:space="0" w:color="0070C0"/>
              <w:bottom w:val="single" w:sz="4" w:space="0" w:color="0070C0"/>
              <w:right w:val="single" w:sz="4" w:space="0" w:color="0070C0"/>
            </w:tcBorders>
          </w:tcPr>
          <w:p w14:paraId="5FCDD85B" w14:textId="77777777" w:rsidR="00FD7DD1" w:rsidRPr="00FD7DD1" w:rsidRDefault="00FD7DD1" w:rsidP="00FD7DD1">
            <w:pPr>
              <w:autoSpaceDE w:val="0"/>
              <w:autoSpaceDN w:val="0"/>
              <w:adjustRightInd w:val="0"/>
              <w:spacing w:line="276" w:lineRule="auto"/>
              <w:rPr>
                <w:rFonts w:ascii="Times New Roman" w:hAnsi="Times New Roman" w:cs="Times New Roman"/>
                <w:b w:val="0"/>
                <w:sz w:val="20"/>
                <w:szCs w:val="20"/>
              </w:rPr>
            </w:pPr>
            <w:r w:rsidRPr="00FD7DD1">
              <w:rPr>
                <w:rFonts w:ascii="Times New Roman" w:hAnsi="Times New Roman" w:cs="Times New Roman"/>
                <w:b w:val="0"/>
                <w:sz w:val="20"/>
                <w:szCs w:val="20"/>
              </w:rPr>
              <w:t xml:space="preserve">Satisfactory performance </w:t>
            </w:r>
          </w:p>
        </w:tc>
        <w:tc>
          <w:tcPr>
            <w:tcW w:w="2409" w:type="dxa"/>
            <w:tcBorders>
              <w:top w:val="single" w:sz="4" w:space="0" w:color="0070C0"/>
              <w:left w:val="single" w:sz="4" w:space="0" w:color="0070C0"/>
              <w:bottom w:val="single" w:sz="4" w:space="0" w:color="0070C0"/>
              <w:right w:val="single" w:sz="4" w:space="0" w:color="0070C0"/>
            </w:tcBorders>
          </w:tcPr>
          <w:p w14:paraId="76F1F56B" w14:textId="77777777" w:rsidR="00FD7DD1" w:rsidRPr="00FD7DD1" w:rsidRDefault="00FD7DD1" w:rsidP="00FD7D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DD1">
              <w:rPr>
                <w:rFonts w:ascii="Times New Roman" w:hAnsi="Times New Roman" w:cs="Times New Roman"/>
                <w:sz w:val="20"/>
                <w:szCs w:val="20"/>
              </w:rPr>
              <w:t xml:space="preserve">Indifferent effect </w:t>
            </w:r>
          </w:p>
        </w:tc>
        <w:tc>
          <w:tcPr>
            <w:tcW w:w="1755" w:type="dxa"/>
            <w:tcBorders>
              <w:top w:val="single" w:sz="4" w:space="0" w:color="0070C0"/>
              <w:left w:val="single" w:sz="4" w:space="0" w:color="0070C0"/>
              <w:bottom w:val="single" w:sz="4" w:space="0" w:color="0070C0"/>
              <w:right w:val="single" w:sz="4" w:space="0" w:color="0070C0"/>
            </w:tcBorders>
            <w:shd w:val="clear" w:color="auto" w:fill="DBE5F1" w:themeFill="accent1" w:themeFillTint="33"/>
          </w:tcPr>
          <w:p w14:paraId="3B610C52" w14:textId="77777777" w:rsidR="00FD7DD1" w:rsidRPr="00FD7DD1" w:rsidRDefault="00FD7DD1" w:rsidP="00FD7DD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DD1">
              <w:rPr>
                <w:rFonts w:ascii="Times New Roman" w:hAnsi="Times New Roman" w:cs="Times New Roman"/>
                <w:sz w:val="20"/>
                <w:szCs w:val="20"/>
              </w:rPr>
              <w:t>3</w:t>
            </w:r>
          </w:p>
        </w:tc>
      </w:tr>
      <w:tr w:rsidR="00FD7DD1" w:rsidRPr="00FD7DD1" w14:paraId="481EEB28" w14:textId="77777777" w:rsidTr="00FE5C16">
        <w:tc>
          <w:tcPr>
            <w:cnfStyle w:val="001000000000" w:firstRow="0" w:lastRow="0" w:firstColumn="1" w:lastColumn="0" w:oddVBand="0" w:evenVBand="0" w:oddHBand="0" w:evenHBand="0" w:firstRowFirstColumn="0" w:firstRowLastColumn="0" w:lastRowFirstColumn="0" w:lastRowLastColumn="0"/>
            <w:tcW w:w="2802" w:type="dxa"/>
            <w:tcBorders>
              <w:top w:val="single" w:sz="4" w:space="0" w:color="0070C0"/>
              <w:left w:val="single" w:sz="4" w:space="0" w:color="0070C0"/>
              <w:bottom w:val="single" w:sz="4" w:space="0" w:color="0070C0"/>
              <w:right w:val="single" w:sz="4" w:space="0" w:color="0070C0"/>
            </w:tcBorders>
          </w:tcPr>
          <w:p w14:paraId="68E5C561" w14:textId="77777777" w:rsidR="00FD7DD1" w:rsidRPr="00FD7DD1" w:rsidRDefault="00FD7DD1" w:rsidP="00FD7DD1">
            <w:pPr>
              <w:autoSpaceDE w:val="0"/>
              <w:autoSpaceDN w:val="0"/>
              <w:adjustRightInd w:val="0"/>
              <w:spacing w:line="276" w:lineRule="auto"/>
              <w:rPr>
                <w:rFonts w:ascii="Times New Roman" w:hAnsi="Times New Roman" w:cs="Times New Roman"/>
                <w:b w:val="0"/>
                <w:sz w:val="20"/>
                <w:szCs w:val="20"/>
              </w:rPr>
            </w:pPr>
            <w:r w:rsidRPr="00FD7DD1">
              <w:rPr>
                <w:rFonts w:ascii="Times New Roman" w:hAnsi="Times New Roman" w:cs="Times New Roman"/>
                <w:b w:val="0"/>
                <w:sz w:val="20"/>
                <w:szCs w:val="20"/>
              </w:rPr>
              <w:t xml:space="preserve">Inadequate performance </w:t>
            </w:r>
          </w:p>
        </w:tc>
        <w:tc>
          <w:tcPr>
            <w:tcW w:w="2409" w:type="dxa"/>
            <w:tcBorders>
              <w:top w:val="single" w:sz="4" w:space="0" w:color="0070C0"/>
              <w:left w:val="single" w:sz="4" w:space="0" w:color="0070C0"/>
              <w:bottom w:val="single" w:sz="4" w:space="0" w:color="0070C0"/>
              <w:right w:val="single" w:sz="4" w:space="0" w:color="0070C0"/>
            </w:tcBorders>
          </w:tcPr>
          <w:p w14:paraId="51D215F2" w14:textId="77777777" w:rsidR="00FD7DD1" w:rsidRPr="00FD7DD1" w:rsidRDefault="00FD7DD1" w:rsidP="00FD7D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DD1">
              <w:rPr>
                <w:rFonts w:ascii="Times New Roman" w:hAnsi="Times New Roman" w:cs="Times New Roman"/>
                <w:sz w:val="20"/>
                <w:szCs w:val="20"/>
              </w:rPr>
              <w:t xml:space="preserve">Lightly negative effect </w:t>
            </w:r>
          </w:p>
        </w:tc>
        <w:tc>
          <w:tcPr>
            <w:tcW w:w="1755" w:type="dxa"/>
            <w:tcBorders>
              <w:top w:val="single" w:sz="4" w:space="0" w:color="0070C0"/>
              <w:left w:val="single" w:sz="4" w:space="0" w:color="0070C0"/>
              <w:bottom w:val="single" w:sz="4" w:space="0" w:color="0070C0"/>
              <w:right w:val="single" w:sz="4" w:space="0" w:color="0070C0"/>
            </w:tcBorders>
            <w:shd w:val="clear" w:color="auto" w:fill="FFFF00"/>
          </w:tcPr>
          <w:p w14:paraId="03A0BA7C" w14:textId="77777777" w:rsidR="00FD7DD1" w:rsidRPr="00FD7DD1" w:rsidRDefault="00FD7DD1" w:rsidP="00FD7DD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DD1">
              <w:rPr>
                <w:rFonts w:ascii="Times New Roman" w:hAnsi="Times New Roman" w:cs="Times New Roman"/>
                <w:sz w:val="20"/>
                <w:szCs w:val="20"/>
              </w:rPr>
              <w:t>4</w:t>
            </w:r>
          </w:p>
        </w:tc>
      </w:tr>
      <w:tr w:rsidR="00FD7DD1" w:rsidRPr="00FD7DD1" w14:paraId="4EAB6403" w14:textId="77777777" w:rsidTr="00FE5C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top w:val="single" w:sz="4" w:space="0" w:color="0070C0"/>
              <w:left w:val="single" w:sz="4" w:space="0" w:color="0070C0"/>
              <w:bottom w:val="single" w:sz="4" w:space="0" w:color="0070C0"/>
              <w:right w:val="single" w:sz="4" w:space="0" w:color="0070C0"/>
            </w:tcBorders>
          </w:tcPr>
          <w:p w14:paraId="65303BA4" w14:textId="77777777" w:rsidR="00FD7DD1" w:rsidRPr="00FD7DD1" w:rsidRDefault="00FD7DD1" w:rsidP="00FD7DD1">
            <w:pPr>
              <w:autoSpaceDE w:val="0"/>
              <w:autoSpaceDN w:val="0"/>
              <w:adjustRightInd w:val="0"/>
              <w:spacing w:line="276" w:lineRule="auto"/>
              <w:rPr>
                <w:rFonts w:ascii="Times New Roman" w:hAnsi="Times New Roman" w:cs="Times New Roman"/>
                <w:b w:val="0"/>
                <w:sz w:val="20"/>
                <w:szCs w:val="20"/>
              </w:rPr>
            </w:pPr>
            <w:r w:rsidRPr="00FD7DD1">
              <w:rPr>
                <w:rFonts w:ascii="Times New Roman" w:hAnsi="Times New Roman" w:cs="Times New Roman"/>
                <w:b w:val="0"/>
                <w:sz w:val="20"/>
                <w:szCs w:val="20"/>
              </w:rPr>
              <w:t xml:space="preserve">Poor performance </w:t>
            </w:r>
          </w:p>
        </w:tc>
        <w:tc>
          <w:tcPr>
            <w:tcW w:w="2409" w:type="dxa"/>
            <w:tcBorders>
              <w:top w:val="single" w:sz="4" w:space="0" w:color="0070C0"/>
              <w:left w:val="single" w:sz="4" w:space="0" w:color="0070C0"/>
              <w:bottom w:val="single" w:sz="4" w:space="0" w:color="0070C0"/>
              <w:right w:val="single" w:sz="4" w:space="0" w:color="0070C0"/>
            </w:tcBorders>
          </w:tcPr>
          <w:p w14:paraId="066CE1D1" w14:textId="77777777" w:rsidR="00FD7DD1" w:rsidRPr="00FD7DD1" w:rsidRDefault="00FD7DD1" w:rsidP="00FD7D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DD1">
              <w:rPr>
                <w:rFonts w:ascii="Times New Roman" w:hAnsi="Times New Roman" w:cs="Times New Roman"/>
                <w:sz w:val="20"/>
                <w:szCs w:val="20"/>
              </w:rPr>
              <w:t xml:space="preserve">Negative effect </w:t>
            </w:r>
          </w:p>
        </w:tc>
        <w:tc>
          <w:tcPr>
            <w:tcW w:w="1755" w:type="dxa"/>
            <w:tcBorders>
              <w:top w:val="single" w:sz="4" w:space="0" w:color="0070C0"/>
              <w:left w:val="single" w:sz="4" w:space="0" w:color="0070C0"/>
              <w:bottom w:val="single" w:sz="4" w:space="0" w:color="0070C0"/>
              <w:right w:val="single" w:sz="4" w:space="0" w:color="0070C0"/>
            </w:tcBorders>
            <w:shd w:val="clear" w:color="auto" w:fill="E36C0A" w:themeFill="accent6" w:themeFillShade="BF"/>
          </w:tcPr>
          <w:p w14:paraId="1A1FBD3C" w14:textId="77777777" w:rsidR="00FD7DD1" w:rsidRPr="00FD7DD1" w:rsidRDefault="00FD7DD1" w:rsidP="00FD7DD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DD1">
              <w:rPr>
                <w:rFonts w:ascii="Times New Roman" w:hAnsi="Times New Roman" w:cs="Times New Roman"/>
                <w:sz w:val="20"/>
                <w:szCs w:val="20"/>
              </w:rPr>
              <w:t>5</w:t>
            </w:r>
          </w:p>
        </w:tc>
      </w:tr>
      <w:tr w:rsidR="00FD7DD1" w:rsidRPr="00FD7DD1" w14:paraId="24F889D1" w14:textId="77777777" w:rsidTr="00FE5C16">
        <w:tc>
          <w:tcPr>
            <w:cnfStyle w:val="001000000000" w:firstRow="0" w:lastRow="0" w:firstColumn="1" w:lastColumn="0" w:oddVBand="0" w:evenVBand="0" w:oddHBand="0" w:evenHBand="0" w:firstRowFirstColumn="0" w:firstRowLastColumn="0" w:lastRowFirstColumn="0" w:lastRowLastColumn="0"/>
            <w:tcW w:w="2802" w:type="dxa"/>
            <w:tcBorders>
              <w:top w:val="single" w:sz="4" w:space="0" w:color="0070C0"/>
              <w:left w:val="single" w:sz="4" w:space="0" w:color="0070C0"/>
              <w:bottom w:val="single" w:sz="4" w:space="0" w:color="0070C0"/>
              <w:right w:val="single" w:sz="4" w:space="0" w:color="0070C0"/>
            </w:tcBorders>
          </w:tcPr>
          <w:p w14:paraId="2028B04B" w14:textId="77777777" w:rsidR="00FD7DD1" w:rsidRPr="00FD7DD1" w:rsidRDefault="00FD7DD1" w:rsidP="00FD7DD1">
            <w:pPr>
              <w:autoSpaceDE w:val="0"/>
              <w:autoSpaceDN w:val="0"/>
              <w:adjustRightInd w:val="0"/>
              <w:spacing w:line="276" w:lineRule="auto"/>
              <w:rPr>
                <w:rFonts w:ascii="Times New Roman" w:hAnsi="Times New Roman" w:cs="Times New Roman"/>
                <w:b w:val="0"/>
                <w:sz w:val="20"/>
                <w:szCs w:val="20"/>
              </w:rPr>
            </w:pPr>
            <w:r w:rsidRPr="00FD7DD1">
              <w:rPr>
                <w:rFonts w:ascii="Times New Roman" w:hAnsi="Times New Roman" w:cs="Times New Roman"/>
                <w:b w:val="0"/>
                <w:sz w:val="20"/>
                <w:szCs w:val="20"/>
              </w:rPr>
              <w:t xml:space="preserve">Very poor performance </w:t>
            </w:r>
          </w:p>
        </w:tc>
        <w:tc>
          <w:tcPr>
            <w:tcW w:w="2409" w:type="dxa"/>
            <w:tcBorders>
              <w:top w:val="single" w:sz="4" w:space="0" w:color="0070C0"/>
              <w:left w:val="single" w:sz="4" w:space="0" w:color="0070C0"/>
              <w:bottom w:val="single" w:sz="4" w:space="0" w:color="0070C0"/>
              <w:right w:val="single" w:sz="4" w:space="0" w:color="0070C0"/>
            </w:tcBorders>
          </w:tcPr>
          <w:p w14:paraId="53FFE19F" w14:textId="77777777" w:rsidR="00FD7DD1" w:rsidRPr="00FD7DD1" w:rsidRDefault="00FD7DD1" w:rsidP="00FD7D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DD1">
              <w:rPr>
                <w:rFonts w:ascii="Times New Roman" w:hAnsi="Times New Roman" w:cs="Times New Roman"/>
                <w:sz w:val="20"/>
                <w:szCs w:val="20"/>
              </w:rPr>
              <w:t xml:space="preserve">Very negative effect </w:t>
            </w:r>
          </w:p>
        </w:tc>
        <w:tc>
          <w:tcPr>
            <w:tcW w:w="1755" w:type="dxa"/>
            <w:tcBorders>
              <w:top w:val="single" w:sz="4" w:space="0" w:color="0070C0"/>
              <w:left w:val="single" w:sz="4" w:space="0" w:color="0070C0"/>
              <w:bottom w:val="single" w:sz="4" w:space="0" w:color="0070C0"/>
              <w:right w:val="single" w:sz="4" w:space="0" w:color="0070C0"/>
            </w:tcBorders>
            <w:shd w:val="clear" w:color="auto" w:fill="FF0000"/>
          </w:tcPr>
          <w:p w14:paraId="1A7F6954" w14:textId="77777777" w:rsidR="00FD7DD1" w:rsidRPr="00FD7DD1" w:rsidRDefault="00FD7DD1" w:rsidP="00FD7DD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DD1">
              <w:rPr>
                <w:rFonts w:ascii="Times New Roman" w:hAnsi="Times New Roman" w:cs="Times New Roman"/>
                <w:sz w:val="20"/>
                <w:szCs w:val="20"/>
              </w:rPr>
              <w:t>6</w:t>
            </w:r>
          </w:p>
        </w:tc>
      </w:tr>
    </w:tbl>
    <w:p w14:paraId="42CF4D29" w14:textId="33334307" w:rsidR="00561F9A" w:rsidRDefault="00FD7DD1" w:rsidP="00FD7DD1">
      <w:pPr>
        <w:spacing w:line="360" w:lineRule="auto"/>
        <w:rPr>
          <w:rFonts w:ascii="Times New Roman" w:hAnsi="Times New Roman" w:cs="Times New Roman"/>
          <w:b/>
          <w:sz w:val="16"/>
          <w:szCs w:val="16"/>
        </w:rPr>
      </w:pPr>
      <w:r w:rsidRPr="00561F9A">
        <w:rPr>
          <w:rFonts w:ascii="Times New Roman" w:hAnsi="Times New Roman" w:cs="Times New Roman"/>
          <w:b/>
          <w:sz w:val="16"/>
          <w:szCs w:val="16"/>
        </w:rPr>
        <w:t>Table 3- Rating scale of social impacts according to Ciroth &amp; Franze (2011)</w:t>
      </w:r>
      <w:r w:rsidRPr="00561F9A">
        <w:rPr>
          <w:rFonts w:ascii="Times New Roman" w:hAnsi="Times New Roman" w:cs="Times New Roman"/>
          <w:b/>
          <w:sz w:val="16"/>
          <w:szCs w:val="16"/>
        </w:rPr>
        <w:br/>
      </w:r>
    </w:p>
    <w:p w14:paraId="509F203C" w14:textId="77777777" w:rsidR="00561F9A" w:rsidRDefault="00561F9A">
      <w:pPr>
        <w:rPr>
          <w:rFonts w:ascii="Times New Roman" w:hAnsi="Times New Roman" w:cs="Times New Roman"/>
          <w:b/>
          <w:sz w:val="16"/>
          <w:szCs w:val="16"/>
        </w:rPr>
      </w:pPr>
      <w:r>
        <w:rPr>
          <w:rFonts w:ascii="Times New Roman" w:hAnsi="Times New Roman" w:cs="Times New Roman"/>
          <w:b/>
          <w:sz w:val="16"/>
          <w:szCs w:val="16"/>
        </w:rPr>
        <w:br w:type="page"/>
      </w:r>
    </w:p>
    <w:p w14:paraId="52E1958E" w14:textId="77777777" w:rsidR="00FD7DD1" w:rsidRPr="00561F9A" w:rsidRDefault="00FD7DD1" w:rsidP="00FD7DD1">
      <w:pPr>
        <w:spacing w:line="360" w:lineRule="auto"/>
        <w:rPr>
          <w:rFonts w:ascii="Times New Roman" w:hAnsi="Times New Roman" w:cs="Times New Roman"/>
          <w:b/>
          <w:sz w:val="16"/>
          <w:szCs w:val="16"/>
        </w:rPr>
      </w:pPr>
    </w:p>
    <w:tbl>
      <w:tblPr>
        <w:tblStyle w:val="Tabellenraster"/>
        <w:tblW w:w="9075" w:type="dxa"/>
        <w:tblInd w:w="108" w:type="dxa"/>
        <w:tblLayout w:type="fixed"/>
        <w:tblLook w:val="04A0" w:firstRow="1" w:lastRow="0" w:firstColumn="1" w:lastColumn="0" w:noHBand="0" w:noVBand="1"/>
      </w:tblPr>
      <w:tblGrid>
        <w:gridCol w:w="1528"/>
        <w:gridCol w:w="2189"/>
        <w:gridCol w:w="669"/>
        <w:gridCol w:w="670"/>
        <w:gridCol w:w="670"/>
        <w:gridCol w:w="656"/>
        <w:gridCol w:w="683"/>
        <w:gridCol w:w="670"/>
        <w:gridCol w:w="670"/>
        <w:gridCol w:w="670"/>
      </w:tblGrid>
      <w:tr w:rsidR="00FD7DD1" w:rsidRPr="00FD7DD1" w14:paraId="045BB987" w14:textId="77777777" w:rsidTr="00FE5C16">
        <w:tc>
          <w:tcPr>
            <w:tcW w:w="1528" w:type="dxa"/>
            <w:tcBorders>
              <w:top w:val="single" w:sz="4" w:space="0" w:color="auto"/>
              <w:left w:val="single" w:sz="4" w:space="0" w:color="auto"/>
              <w:bottom w:val="single" w:sz="4" w:space="0" w:color="auto"/>
              <w:right w:val="single" w:sz="4" w:space="0" w:color="auto"/>
            </w:tcBorders>
            <w:hideMark/>
          </w:tcPr>
          <w:p w14:paraId="25CFFF3A" w14:textId="77777777" w:rsidR="00FD7DD1" w:rsidRPr="00FD7DD1" w:rsidRDefault="00FD7DD1" w:rsidP="00FD7DD1">
            <w:pPr>
              <w:spacing w:line="276" w:lineRule="auto"/>
              <w:rPr>
                <w:rFonts w:ascii="Times New Roman" w:hAnsi="Times New Roman" w:cs="Times New Roman"/>
                <w:b/>
                <w:sz w:val="20"/>
                <w:szCs w:val="20"/>
              </w:rPr>
            </w:pPr>
            <w:r w:rsidRPr="00FD7DD1">
              <w:rPr>
                <w:rFonts w:ascii="Times New Roman" w:hAnsi="Times New Roman" w:cs="Times New Roman"/>
                <w:b/>
                <w:sz w:val="20"/>
                <w:szCs w:val="20"/>
              </w:rPr>
              <w:t>Stakeholder groups</w:t>
            </w:r>
          </w:p>
        </w:tc>
        <w:tc>
          <w:tcPr>
            <w:tcW w:w="2189" w:type="dxa"/>
            <w:tcBorders>
              <w:top w:val="single" w:sz="4" w:space="0" w:color="auto"/>
              <w:left w:val="single" w:sz="4" w:space="0" w:color="auto"/>
              <w:bottom w:val="single" w:sz="4" w:space="0" w:color="auto"/>
              <w:right w:val="single" w:sz="4" w:space="0" w:color="auto"/>
            </w:tcBorders>
            <w:hideMark/>
          </w:tcPr>
          <w:p w14:paraId="377F2C09" w14:textId="77777777" w:rsidR="00FD7DD1" w:rsidRPr="00FD7DD1" w:rsidRDefault="00FD7DD1" w:rsidP="00FD7DD1">
            <w:pPr>
              <w:spacing w:line="276" w:lineRule="auto"/>
              <w:rPr>
                <w:rFonts w:ascii="Times New Roman" w:hAnsi="Times New Roman" w:cs="Times New Roman"/>
                <w:sz w:val="20"/>
                <w:szCs w:val="20"/>
              </w:rPr>
            </w:pPr>
            <w:r w:rsidRPr="00FD7DD1">
              <w:rPr>
                <w:rFonts w:ascii="Times New Roman" w:hAnsi="Times New Roman" w:cs="Times New Roman"/>
                <w:b/>
                <w:sz w:val="20"/>
                <w:szCs w:val="20"/>
              </w:rPr>
              <w:t>Subcategories</w:t>
            </w:r>
          </w:p>
        </w:tc>
        <w:tc>
          <w:tcPr>
            <w:tcW w:w="669" w:type="dxa"/>
            <w:tcBorders>
              <w:top w:val="single" w:sz="4" w:space="0" w:color="auto"/>
              <w:left w:val="single" w:sz="4" w:space="0" w:color="auto"/>
              <w:bottom w:val="single" w:sz="4" w:space="0" w:color="auto"/>
              <w:right w:val="single" w:sz="4" w:space="0" w:color="auto"/>
            </w:tcBorders>
            <w:hideMark/>
          </w:tcPr>
          <w:p w14:paraId="24C9388D" w14:textId="77777777" w:rsidR="00FD7DD1" w:rsidRPr="00FD7DD1" w:rsidRDefault="00FD7DD1" w:rsidP="00FD7DD1">
            <w:pPr>
              <w:spacing w:line="276" w:lineRule="auto"/>
              <w:rPr>
                <w:rFonts w:ascii="Times New Roman" w:hAnsi="Times New Roman" w:cs="Times New Roman"/>
                <w:b/>
                <w:sz w:val="20"/>
                <w:szCs w:val="20"/>
              </w:rPr>
            </w:pPr>
            <w:r w:rsidRPr="00FD7DD1">
              <w:rPr>
                <w:rFonts w:ascii="Times New Roman" w:hAnsi="Times New Roman" w:cs="Times New Roman"/>
                <w:b/>
                <w:sz w:val="20"/>
                <w:szCs w:val="20"/>
              </w:rPr>
              <w:t>PA</w:t>
            </w:r>
          </w:p>
        </w:tc>
        <w:tc>
          <w:tcPr>
            <w:tcW w:w="670" w:type="dxa"/>
            <w:tcBorders>
              <w:top w:val="single" w:sz="4" w:space="0" w:color="auto"/>
              <w:left w:val="single" w:sz="4" w:space="0" w:color="auto"/>
              <w:bottom w:val="single" w:sz="4" w:space="0" w:color="auto"/>
              <w:right w:val="single" w:sz="4" w:space="0" w:color="auto"/>
            </w:tcBorders>
            <w:hideMark/>
          </w:tcPr>
          <w:p w14:paraId="568B468C" w14:textId="77777777" w:rsidR="00FD7DD1" w:rsidRPr="00FD7DD1" w:rsidRDefault="00FD7DD1" w:rsidP="00FD7DD1">
            <w:pPr>
              <w:spacing w:line="276" w:lineRule="auto"/>
              <w:rPr>
                <w:rFonts w:ascii="Times New Roman" w:hAnsi="Times New Roman" w:cs="Times New Roman"/>
                <w:i/>
                <w:sz w:val="20"/>
                <w:szCs w:val="20"/>
              </w:rPr>
            </w:pPr>
            <w:r w:rsidRPr="00FD7DD1">
              <w:rPr>
                <w:rFonts w:ascii="Times New Roman" w:hAnsi="Times New Roman" w:cs="Times New Roman"/>
                <w:i/>
                <w:sz w:val="20"/>
                <w:szCs w:val="20"/>
              </w:rPr>
              <w:t>WC</w:t>
            </w:r>
          </w:p>
        </w:tc>
        <w:tc>
          <w:tcPr>
            <w:tcW w:w="670" w:type="dxa"/>
            <w:tcBorders>
              <w:top w:val="single" w:sz="4" w:space="0" w:color="auto"/>
              <w:left w:val="single" w:sz="4" w:space="0" w:color="auto"/>
              <w:bottom w:val="single" w:sz="4" w:space="0" w:color="auto"/>
              <w:right w:val="single" w:sz="4" w:space="0" w:color="auto"/>
            </w:tcBorders>
            <w:hideMark/>
          </w:tcPr>
          <w:p w14:paraId="381E5415" w14:textId="77777777" w:rsidR="00FD7DD1" w:rsidRPr="00FD7DD1" w:rsidRDefault="00FD7DD1" w:rsidP="00FD7DD1">
            <w:pPr>
              <w:spacing w:line="276" w:lineRule="auto"/>
              <w:rPr>
                <w:rFonts w:ascii="Times New Roman" w:hAnsi="Times New Roman" w:cs="Times New Roman"/>
                <w:i/>
                <w:sz w:val="20"/>
                <w:szCs w:val="20"/>
              </w:rPr>
            </w:pPr>
            <w:r w:rsidRPr="00FD7DD1">
              <w:rPr>
                <w:rFonts w:ascii="Times New Roman" w:hAnsi="Times New Roman" w:cs="Times New Roman"/>
                <w:i/>
                <w:sz w:val="20"/>
                <w:szCs w:val="20"/>
              </w:rPr>
              <w:t>HS</w:t>
            </w:r>
          </w:p>
        </w:tc>
        <w:tc>
          <w:tcPr>
            <w:tcW w:w="656" w:type="dxa"/>
            <w:tcBorders>
              <w:top w:val="single" w:sz="4" w:space="0" w:color="auto"/>
              <w:left w:val="single" w:sz="4" w:space="0" w:color="auto"/>
              <w:bottom w:val="single" w:sz="4" w:space="0" w:color="auto"/>
              <w:right w:val="single" w:sz="4" w:space="0" w:color="auto"/>
            </w:tcBorders>
            <w:hideMark/>
          </w:tcPr>
          <w:p w14:paraId="7E8C80B1" w14:textId="77777777" w:rsidR="00FD7DD1" w:rsidRPr="00FD7DD1" w:rsidRDefault="00FD7DD1" w:rsidP="00FD7DD1">
            <w:pPr>
              <w:spacing w:line="276" w:lineRule="auto"/>
              <w:rPr>
                <w:rFonts w:ascii="Times New Roman" w:hAnsi="Times New Roman" w:cs="Times New Roman"/>
                <w:i/>
                <w:sz w:val="20"/>
                <w:szCs w:val="20"/>
              </w:rPr>
            </w:pPr>
            <w:r w:rsidRPr="00FD7DD1">
              <w:rPr>
                <w:rFonts w:ascii="Times New Roman" w:hAnsi="Times New Roman" w:cs="Times New Roman"/>
                <w:i/>
                <w:sz w:val="20"/>
                <w:szCs w:val="20"/>
              </w:rPr>
              <w:t>HR</w:t>
            </w:r>
          </w:p>
        </w:tc>
        <w:tc>
          <w:tcPr>
            <w:tcW w:w="683" w:type="dxa"/>
            <w:tcBorders>
              <w:top w:val="single" w:sz="4" w:space="0" w:color="auto"/>
              <w:left w:val="single" w:sz="4" w:space="0" w:color="auto"/>
              <w:bottom w:val="single" w:sz="4" w:space="0" w:color="auto"/>
              <w:right w:val="single" w:sz="4" w:space="0" w:color="auto"/>
            </w:tcBorders>
            <w:hideMark/>
          </w:tcPr>
          <w:p w14:paraId="6F32090C" w14:textId="77777777" w:rsidR="00FD7DD1" w:rsidRPr="00FD7DD1" w:rsidRDefault="00FD7DD1" w:rsidP="00FD7DD1">
            <w:pPr>
              <w:spacing w:line="276" w:lineRule="auto"/>
              <w:rPr>
                <w:rFonts w:ascii="Times New Roman" w:hAnsi="Times New Roman" w:cs="Times New Roman"/>
                <w:i/>
                <w:sz w:val="20"/>
                <w:szCs w:val="20"/>
              </w:rPr>
            </w:pPr>
            <w:r w:rsidRPr="00FD7DD1">
              <w:rPr>
                <w:rFonts w:ascii="Times New Roman" w:hAnsi="Times New Roman" w:cs="Times New Roman"/>
                <w:i/>
                <w:sz w:val="20"/>
                <w:szCs w:val="20"/>
              </w:rPr>
              <w:t>SER</w:t>
            </w:r>
          </w:p>
        </w:tc>
        <w:tc>
          <w:tcPr>
            <w:tcW w:w="670" w:type="dxa"/>
            <w:tcBorders>
              <w:top w:val="single" w:sz="4" w:space="0" w:color="auto"/>
              <w:left w:val="single" w:sz="4" w:space="0" w:color="auto"/>
              <w:bottom w:val="single" w:sz="4" w:space="0" w:color="auto"/>
              <w:right w:val="single" w:sz="4" w:space="0" w:color="auto"/>
            </w:tcBorders>
            <w:hideMark/>
          </w:tcPr>
          <w:p w14:paraId="6D921036" w14:textId="77777777" w:rsidR="00FD7DD1" w:rsidRPr="00FD7DD1" w:rsidRDefault="00FD7DD1" w:rsidP="00FD7DD1">
            <w:pPr>
              <w:spacing w:line="276" w:lineRule="auto"/>
              <w:rPr>
                <w:rFonts w:ascii="Times New Roman" w:hAnsi="Times New Roman" w:cs="Times New Roman"/>
                <w:i/>
                <w:sz w:val="20"/>
                <w:szCs w:val="20"/>
              </w:rPr>
            </w:pPr>
            <w:r w:rsidRPr="00FD7DD1">
              <w:rPr>
                <w:rFonts w:ascii="Times New Roman" w:hAnsi="Times New Roman" w:cs="Times New Roman"/>
                <w:i/>
                <w:sz w:val="20"/>
                <w:szCs w:val="20"/>
              </w:rPr>
              <w:t>IR</w:t>
            </w:r>
          </w:p>
        </w:tc>
        <w:tc>
          <w:tcPr>
            <w:tcW w:w="670" w:type="dxa"/>
            <w:tcBorders>
              <w:top w:val="single" w:sz="4" w:space="0" w:color="auto"/>
              <w:left w:val="single" w:sz="4" w:space="0" w:color="auto"/>
              <w:bottom w:val="single" w:sz="4" w:space="0" w:color="auto"/>
              <w:right w:val="single" w:sz="4" w:space="0" w:color="auto"/>
            </w:tcBorders>
            <w:hideMark/>
          </w:tcPr>
          <w:p w14:paraId="1784D564" w14:textId="77777777" w:rsidR="00FD7DD1" w:rsidRPr="00FD7DD1" w:rsidRDefault="00FD7DD1" w:rsidP="00FD7DD1">
            <w:pPr>
              <w:spacing w:line="276" w:lineRule="auto"/>
              <w:rPr>
                <w:rFonts w:ascii="Times New Roman" w:hAnsi="Times New Roman" w:cs="Times New Roman"/>
                <w:i/>
                <w:sz w:val="20"/>
                <w:szCs w:val="20"/>
              </w:rPr>
            </w:pPr>
            <w:r w:rsidRPr="00FD7DD1">
              <w:rPr>
                <w:rFonts w:ascii="Times New Roman" w:hAnsi="Times New Roman" w:cs="Times New Roman"/>
                <w:i/>
                <w:sz w:val="20"/>
                <w:szCs w:val="20"/>
              </w:rPr>
              <w:t>G</w:t>
            </w:r>
          </w:p>
        </w:tc>
        <w:tc>
          <w:tcPr>
            <w:tcW w:w="670" w:type="dxa"/>
            <w:tcBorders>
              <w:top w:val="single" w:sz="4" w:space="0" w:color="auto"/>
              <w:left w:val="single" w:sz="4" w:space="0" w:color="auto"/>
              <w:bottom w:val="single" w:sz="4" w:space="0" w:color="auto"/>
              <w:right w:val="single" w:sz="4" w:space="0" w:color="auto"/>
            </w:tcBorders>
            <w:hideMark/>
          </w:tcPr>
          <w:p w14:paraId="5DFB14D9" w14:textId="77777777" w:rsidR="00FD7DD1" w:rsidRPr="00FD7DD1" w:rsidRDefault="00FD7DD1" w:rsidP="00FD7DD1">
            <w:pPr>
              <w:spacing w:line="276" w:lineRule="auto"/>
              <w:rPr>
                <w:rFonts w:ascii="Times New Roman" w:hAnsi="Times New Roman" w:cs="Times New Roman"/>
                <w:b/>
                <w:sz w:val="20"/>
                <w:szCs w:val="20"/>
              </w:rPr>
            </w:pPr>
            <w:r w:rsidRPr="00FD7DD1">
              <w:rPr>
                <w:rFonts w:ascii="Times New Roman" w:hAnsi="Times New Roman" w:cs="Times New Roman"/>
                <w:b/>
                <w:sz w:val="20"/>
                <w:szCs w:val="20"/>
              </w:rPr>
              <w:t>IA</w:t>
            </w:r>
          </w:p>
        </w:tc>
      </w:tr>
      <w:tr w:rsidR="00FD7DD1" w:rsidRPr="00FD7DD1" w14:paraId="7B337BF9" w14:textId="77777777" w:rsidTr="00FE5C16">
        <w:trPr>
          <w:trHeight w:val="42"/>
        </w:trPr>
        <w:tc>
          <w:tcPr>
            <w:tcW w:w="1528" w:type="dxa"/>
            <w:vMerge w:val="restart"/>
            <w:tcBorders>
              <w:top w:val="single" w:sz="4" w:space="0" w:color="auto"/>
              <w:left w:val="single" w:sz="4" w:space="0" w:color="auto"/>
              <w:bottom w:val="single" w:sz="4" w:space="0" w:color="auto"/>
              <w:right w:val="single" w:sz="4" w:space="0" w:color="auto"/>
            </w:tcBorders>
            <w:hideMark/>
          </w:tcPr>
          <w:p w14:paraId="4DE92AB6" w14:textId="77777777" w:rsidR="00FD7DD1" w:rsidRPr="00FD7DD1" w:rsidRDefault="00FD7DD1" w:rsidP="00FD7DD1">
            <w:pPr>
              <w:spacing w:line="276" w:lineRule="auto"/>
              <w:rPr>
                <w:rFonts w:ascii="Times New Roman" w:hAnsi="Times New Roman" w:cs="Times New Roman"/>
                <w:sz w:val="20"/>
                <w:szCs w:val="20"/>
              </w:rPr>
            </w:pPr>
            <w:r w:rsidRPr="00FD7DD1">
              <w:rPr>
                <w:rFonts w:ascii="Times New Roman" w:hAnsi="Times New Roman" w:cs="Times New Roman"/>
                <w:sz w:val="20"/>
                <w:szCs w:val="20"/>
              </w:rPr>
              <w:t>Workers</w:t>
            </w:r>
          </w:p>
        </w:tc>
        <w:tc>
          <w:tcPr>
            <w:tcW w:w="2189" w:type="dxa"/>
            <w:tcBorders>
              <w:top w:val="single" w:sz="4" w:space="0" w:color="auto"/>
              <w:left w:val="single" w:sz="4" w:space="0" w:color="auto"/>
              <w:bottom w:val="single" w:sz="4" w:space="0" w:color="auto"/>
              <w:right w:val="single" w:sz="4" w:space="0" w:color="auto"/>
            </w:tcBorders>
            <w:hideMark/>
          </w:tcPr>
          <w:p w14:paraId="05186A94"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Freedom of association and collective bargaining</w:t>
            </w:r>
          </w:p>
        </w:tc>
        <w:tc>
          <w:tcPr>
            <w:tcW w:w="6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4BD56CE" w14:textId="77777777" w:rsidR="00FD7DD1" w:rsidRPr="00FD7DD1" w:rsidRDefault="00FD7DD1" w:rsidP="009C55BA">
            <w:pPr>
              <w:autoSpaceDE w:val="0"/>
              <w:autoSpaceDN w:val="0"/>
              <w:adjustRightInd w:val="0"/>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3</w:t>
            </w:r>
          </w:p>
        </w:tc>
        <w:tc>
          <w:tcPr>
            <w:tcW w:w="670" w:type="dxa"/>
            <w:tcBorders>
              <w:top w:val="single" w:sz="4" w:space="0" w:color="auto"/>
              <w:left w:val="single" w:sz="4" w:space="0" w:color="auto"/>
              <w:bottom w:val="single" w:sz="4" w:space="0" w:color="auto"/>
              <w:right w:val="single" w:sz="4" w:space="0" w:color="auto"/>
            </w:tcBorders>
            <w:hideMark/>
          </w:tcPr>
          <w:p w14:paraId="3EB7E8AA"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306594B4"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hideMark/>
          </w:tcPr>
          <w:p w14:paraId="44069A27"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hideMark/>
          </w:tcPr>
          <w:p w14:paraId="4C549F10"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6566FAEF"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3AB57FA9"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92D050"/>
            <w:hideMark/>
          </w:tcPr>
          <w:p w14:paraId="5FEF5241"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2</w:t>
            </w:r>
          </w:p>
        </w:tc>
      </w:tr>
      <w:tr w:rsidR="00FD7DD1" w:rsidRPr="00FD7DD1" w14:paraId="7B2614F4" w14:textId="77777777" w:rsidTr="00FE5C16">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01280309" w14:textId="77777777" w:rsidR="00FD7DD1" w:rsidRPr="00FD7DD1" w:rsidRDefault="00FD7DD1" w:rsidP="00FD7DD1">
            <w:pPr>
              <w:spacing w:line="276" w:lineRule="auto"/>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14:paraId="7709223E"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Child labour</w:t>
            </w:r>
          </w:p>
        </w:tc>
        <w:tc>
          <w:tcPr>
            <w:tcW w:w="669" w:type="dxa"/>
            <w:tcBorders>
              <w:top w:val="single" w:sz="4" w:space="0" w:color="auto"/>
              <w:left w:val="single" w:sz="4" w:space="0" w:color="auto"/>
              <w:bottom w:val="single" w:sz="4" w:space="0" w:color="auto"/>
              <w:right w:val="single" w:sz="4" w:space="0" w:color="auto"/>
            </w:tcBorders>
            <w:shd w:val="clear" w:color="auto" w:fill="92D050"/>
            <w:hideMark/>
          </w:tcPr>
          <w:p w14:paraId="3473AAA6"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2</w:t>
            </w:r>
          </w:p>
        </w:tc>
        <w:tc>
          <w:tcPr>
            <w:tcW w:w="670" w:type="dxa"/>
            <w:tcBorders>
              <w:top w:val="single" w:sz="4" w:space="0" w:color="auto"/>
              <w:left w:val="single" w:sz="4" w:space="0" w:color="auto"/>
              <w:bottom w:val="single" w:sz="4" w:space="0" w:color="auto"/>
              <w:right w:val="single" w:sz="4" w:space="0" w:color="auto"/>
            </w:tcBorders>
            <w:hideMark/>
          </w:tcPr>
          <w:p w14:paraId="54666690"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77798E5B"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hideMark/>
          </w:tcPr>
          <w:p w14:paraId="0D57366B"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hideMark/>
          </w:tcPr>
          <w:p w14:paraId="65CF5600"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5E232181"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04C93419"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92D050"/>
            <w:hideMark/>
          </w:tcPr>
          <w:p w14:paraId="35E05B94"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2</w:t>
            </w:r>
          </w:p>
        </w:tc>
      </w:tr>
      <w:tr w:rsidR="00FD7DD1" w:rsidRPr="00FD7DD1" w14:paraId="55585192" w14:textId="77777777" w:rsidTr="00FE5C16">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7EFECCD2" w14:textId="77777777" w:rsidR="00FD7DD1" w:rsidRPr="00FD7DD1" w:rsidRDefault="00FD7DD1" w:rsidP="00FD7DD1">
            <w:pPr>
              <w:spacing w:line="276" w:lineRule="auto"/>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14:paraId="1004A1FB"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Fair Salary</w:t>
            </w:r>
          </w:p>
        </w:tc>
        <w:tc>
          <w:tcPr>
            <w:tcW w:w="669" w:type="dxa"/>
            <w:tcBorders>
              <w:top w:val="single" w:sz="4" w:space="0" w:color="auto"/>
              <w:left w:val="single" w:sz="4" w:space="0" w:color="auto"/>
              <w:bottom w:val="single" w:sz="4" w:space="0" w:color="auto"/>
              <w:right w:val="single" w:sz="4" w:space="0" w:color="auto"/>
            </w:tcBorders>
            <w:shd w:val="clear" w:color="auto" w:fill="92D050"/>
            <w:hideMark/>
          </w:tcPr>
          <w:p w14:paraId="1CC6E03E"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2</w:t>
            </w:r>
          </w:p>
        </w:tc>
        <w:tc>
          <w:tcPr>
            <w:tcW w:w="670" w:type="dxa"/>
            <w:tcBorders>
              <w:top w:val="single" w:sz="4" w:space="0" w:color="auto"/>
              <w:left w:val="single" w:sz="4" w:space="0" w:color="auto"/>
              <w:bottom w:val="single" w:sz="4" w:space="0" w:color="auto"/>
              <w:right w:val="single" w:sz="4" w:space="0" w:color="auto"/>
            </w:tcBorders>
            <w:hideMark/>
          </w:tcPr>
          <w:p w14:paraId="14957DFF"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460F6073"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hideMark/>
          </w:tcPr>
          <w:p w14:paraId="56F3FA30"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hideMark/>
          </w:tcPr>
          <w:p w14:paraId="68D1D82E"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555F4742"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433D940E"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92D050"/>
            <w:hideMark/>
          </w:tcPr>
          <w:p w14:paraId="2C65B833"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2</w:t>
            </w:r>
          </w:p>
        </w:tc>
      </w:tr>
      <w:tr w:rsidR="00FD7DD1" w:rsidRPr="00FD7DD1" w14:paraId="39069A72" w14:textId="77777777" w:rsidTr="00FE5C16">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383E2E19" w14:textId="77777777" w:rsidR="00FD7DD1" w:rsidRPr="00FD7DD1" w:rsidRDefault="00FD7DD1" w:rsidP="00FD7DD1">
            <w:pPr>
              <w:spacing w:line="276" w:lineRule="auto"/>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14:paraId="447B49AD"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Working hours</w:t>
            </w:r>
          </w:p>
        </w:tc>
        <w:tc>
          <w:tcPr>
            <w:tcW w:w="6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8C64E75"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3</w:t>
            </w:r>
          </w:p>
        </w:tc>
        <w:tc>
          <w:tcPr>
            <w:tcW w:w="670" w:type="dxa"/>
            <w:tcBorders>
              <w:top w:val="single" w:sz="4" w:space="0" w:color="auto"/>
              <w:left w:val="single" w:sz="4" w:space="0" w:color="auto"/>
              <w:bottom w:val="single" w:sz="4" w:space="0" w:color="auto"/>
              <w:right w:val="single" w:sz="4" w:space="0" w:color="auto"/>
            </w:tcBorders>
            <w:hideMark/>
          </w:tcPr>
          <w:p w14:paraId="7ABCCBD2"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37E43804"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hideMark/>
          </w:tcPr>
          <w:p w14:paraId="4945CDB1"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hideMark/>
          </w:tcPr>
          <w:p w14:paraId="15F0C9C8"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5179C643"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47B7D28E"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92D050"/>
            <w:hideMark/>
          </w:tcPr>
          <w:p w14:paraId="72155FBC"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2</w:t>
            </w:r>
          </w:p>
        </w:tc>
      </w:tr>
      <w:tr w:rsidR="00FD7DD1" w:rsidRPr="00FD7DD1" w14:paraId="65F038C8" w14:textId="77777777" w:rsidTr="00FE5C16">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4D5FD7A9" w14:textId="77777777" w:rsidR="00FD7DD1" w:rsidRPr="00FD7DD1" w:rsidRDefault="00FD7DD1" w:rsidP="00FD7DD1">
            <w:pPr>
              <w:spacing w:line="276" w:lineRule="auto"/>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14:paraId="70E15CD6"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Forced labour</w:t>
            </w:r>
          </w:p>
        </w:tc>
        <w:tc>
          <w:tcPr>
            <w:tcW w:w="669" w:type="dxa"/>
            <w:tcBorders>
              <w:top w:val="single" w:sz="4" w:space="0" w:color="auto"/>
              <w:left w:val="single" w:sz="4" w:space="0" w:color="auto"/>
              <w:bottom w:val="single" w:sz="4" w:space="0" w:color="auto"/>
              <w:right w:val="single" w:sz="4" w:space="0" w:color="auto"/>
            </w:tcBorders>
            <w:shd w:val="clear" w:color="auto" w:fill="92D050"/>
            <w:hideMark/>
          </w:tcPr>
          <w:p w14:paraId="10B373E8"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2</w:t>
            </w:r>
          </w:p>
        </w:tc>
        <w:tc>
          <w:tcPr>
            <w:tcW w:w="670" w:type="dxa"/>
            <w:tcBorders>
              <w:top w:val="single" w:sz="4" w:space="0" w:color="auto"/>
              <w:left w:val="single" w:sz="4" w:space="0" w:color="auto"/>
              <w:bottom w:val="single" w:sz="4" w:space="0" w:color="auto"/>
              <w:right w:val="single" w:sz="4" w:space="0" w:color="auto"/>
            </w:tcBorders>
            <w:hideMark/>
          </w:tcPr>
          <w:p w14:paraId="4F724FFD"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6F738C67"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hideMark/>
          </w:tcPr>
          <w:p w14:paraId="3EDE300C"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hideMark/>
          </w:tcPr>
          <w:p w14:paraId="6CE61419"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519DF7D2"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34390D21"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92D050"/>
            <w:hideMark/>
          </w:tcPr>
          <w:p w14:paraId="0BB97CAA"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2</w:t>
            </w:r>
          </w:p>
        </w:tc>
      </w:tr>
      <w:tr w:rsidR="00FD7DD1" w:rsidRPr="00FD7DD1" w14:paraId="18FE059A" w14:textId="77777777" w:rsidTr="00FE5C16">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4BBF453F" w14:textId="77777777" w:rsidR="00FD7DD1" w:rsidRPr="00FD7DD1" w:rsidRDefault="00FD7DD1" w:rsidP="00FD7DD1">
            <w:pPr>
              <w:spacing w:line="276" w:lineRule="auto"/>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14:paraId="03D04DA5"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Discrimination</w:t>
            </w:r>
          </w:p>
        </w:tc>
        <w:tc>
          <w:tcPr>
            <w:tcW w:w="669"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14:paraId="693F588E"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5</w:t>
            </w:r>
          </w:p>
        </w:tc>
        <w:tc>
          <w:tcPr>
            <w:tcW w:w="670" w:type="dxa"/>
            <w:tcBorders>
              <w:top w:val="single" w:sz="4" w:space="0" w:color="auto"/>
              <w:left w:val="single" w:sz="4" w:space="0" w:color="auto"/>
              <w:bottom w:val="single" w:sz="4" w:space="0" w:color="auto"/>
              <w:right w:val="single" w:sz="4" w:space="0" w:color="auto"/>
            </w:tcBorders>
            <w:hideMark/>
          </w:tcPr>
          <w:p w14:paraId="3E352078"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172B701E"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hideMark/>
          </w:tcPr>
          <w:p w14:paraId="7878DE2D"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hideMark/>
          </w:tcPr>
          <w:p w14:paraId="4FF055CA"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52180085"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7DD8DBDC"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FF0000"/>
            <w:hideMark/>
          </w:tcPr>
          <w:p w14:paraId="03777632"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6</w:t>
            </w:r>
          </w:p>
        </w:tc>
      </w:tr>
      <w:tr w:rsidR="00FD7DD1" w:rsidRPr="00FD7DD1" w14:paraId="3C5D191D" w14:textId="77777777" w:rsidTr="00A20068">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6429A994" w14:textId="77777777" w:rsidR="00FD7DD1" w:rsidRPr="00FD7DD1" w:rsidRDefault="00FD7DD1" w:rsidP="00FD7DD1">
            <w:pPr>
              <w:spacing w:line="276" w:lineRule="auto"/>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14:paraId="2D5B7B4B"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Health and safety</w:t>
            </w:r>
          </w:p>
        </w:tc>
        <w:tc>
          <w:tcPr>
            <w:tcW w:w="6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995AEA2" w14:textId="50708770" w:rsidR="00FD7DD1" w:rsidRPr="00FD7DD1" w:rsidRDefault="00A20068" w:rsidP="009C55BA">
            <w:pPr>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670" w:type="dxa"/>
            <w:tcBorders>
              <w:top w:val="single" w:sz="4" w:space="0" w:color="auto"/>
              <w:left w:val="single" w:sz="4" w:space="0" w:color="auto"/>
              <w:bottom w:val="single" w:sz="4" w:space="0" w:color="auto"/>
              <w:right w:val="single" w:sz="4" w:space="0" w:color="auto"/>
            </w:tcBorders>
          </w:tcPr>
          <w:p w14:paraId="6E595424" w14:textId="2B4ED906" w:rsidR="00FD7DD1" w:rsidRPr="00FD7DD1" w:rsidRDefault="00A20068" w:rsidP="009C55BA">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14:paraId="73FDDA5E" w14:textId="0AE87D6B" w:rsidR="00FD7DD1" w:rsidRPr="00FD7DD1" w:rsidRDefault="00A20068" w:rsidP="009C55BA">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tcPr>
          <w:p w14:paraId="6CAF3A90" w14:textId="14203B3B" w:rsidR="00FD7DD1" w:rsidRPr="00FD7DD1" w:rsidRDefault="00A20068" w:rsidP="009C55BA">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tcPr>
          <w:p w14:paraId="19668E3E" w14:textId="338CF33E" w:rsidR="00FD7DD1" w:rsidRPr="00FD7DD1" w:rsidRDefault="00A20068" w:rsidP="009C55BA">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14:paraId="0E6B919B"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14:paraId="4FBD99CF" w14:textId="415C5CD4" w:rsidR="00FD7DD1" w:rsidRPr="00FD7DD1" w:rsidRDefault="00A20068" w:rsidP="009C55BA">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7C28460" w14:textId="0F61F98D" w:rsidR="00FD7DD1" w:rsidRPr="00FD7DD1" w:rsidRDefault="00A20068" w:rsidP="009C55BA">
            <w:pPr>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D7DD1" w:rsidRPr="00FD7DD1" w14:paraId="586D8410" w14:textId="77777777" w:rsidTr="00FE5C16">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5A9936E3" w14:textId="77777777" w:rsidR="00FD7DD1" w:rsidRPr="00FD7DD1" w:rsidRDefault="00FD7DD1" w:rsidP="00FD7DD1">
            <w:pPr>
              <w:spacing w:line="276" w:lineRule="auto"/>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14:paraId="42DB9C00"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Social benefits</w:t>
            </w:r>
          </w:p>
        </w:tc>
        <w:tc>
          <w:tcPr>
            <w:tcW w:w="669" w:type="dxa"/>
            <w:tcBorders>
              <w:top w:val="single" w:sz="4" w:space="0" w:color="auto"/>
              <w:left w:val="single" w:sz="4" w:space="0" w:color="auto"/>
              <w:bottom w:val="single" w:sz="4" w:space="0" w:color="auto"/>
              <w:right w:val="single" w:sz="4" w:space="0" w:color="auto"/>
            </w:tcBorders>
            <w:shd w:val="clear" w:color="auto" w:fill="FFFF00"/>
            <w:hideMark/>
          </w:tcPr>
          <w:p w14:paraId="7DFC774D"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4</w:t>
            </w:r>
          </w:p>
        </w:tc>
        <w:tc>
          <w:tcPr>
            <w:tcW w:w="670" w:type="dxa"/>
            <w:tcBorders>
              <w:top w:val="single" w:sz="4" w:space="0" w:color="auto"/>
              <w:left w:val="single" w:sz="4" w:space="0" w:color="auto"/>
              <w:bottom w:val="single" w:sz="4" w:space="0" w:color="auto"/>
              <w:right w:val="single" w:sz="4" w:space="0" w:color="auto"/>
            </w:tcBorders>
            <w:hideMark/>
          </w:tcPr>
          <w:p w14:paraId="5979B3DE"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2CF61EE5"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hideMark/>
          </w:tcPr>
          <w:p w14:paraId="790C0976"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hideMark/>
          </w:tcPr>
          <w:p w14:paraId="5DD3DEA3"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24110D46"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3D370C26"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FFFF00"/>
            <w:hideMark/>
          </w:tcPr>
          <w:p w14:paraId="03D9DFDB"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4</w:t>
            </w:r>
          </w:p>
        </w:tc>
      </w:tr>
      <w:tr w:rsidR="00FD7DD1" w:rsidRPr="00FD7DD1" w14:paraId="55B09DA7" w14:textId="77777777" w:rsidTr="00A20068">
        <w:trPr>
          <w:trHeight w:val="37"/>
        </w:trPr>
        <w:tc>
          <w:tcPr>
            <w:tcW w:w="1528" w:type="dxa"/>
            <w:tcBorders>
              <w:top w:val="single" w:sz="4" w:space="0" w:color="auto"/>
              <w:left w:val="single" w:sz="4" w:space="0" w:color="auto"/>
              <w:bottom w:val="single" w:sz="4" w:space="0" w:color="auto"/>
              <w:right w:val="single" w:sz="4" w:space="0" w:color="auto"/>
            </w:tcBorders>
          </w:tcPr>
          <w:p w14:paraId="7C7039CB" w14:textId="77777777" w:rsidR="00FD7DD1" w:rsidRPr="00FD7DD1" w:rsidRDefault="00FD7DD1" w:rsidP="00FD7DD1">
            <w:pPr>
              <w:spacing w:line="276" w:lineRule="auto"/>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14:paraId="786614BB" w14:textId="77777777" w:rsidR="00FD7DD1" w:rsidRPr="00FD7DD1" w:rsidRDefault="00FD7DD1" w:rsidP="00FD7DD1">
            <w:pPr>
              <w:autoSpaceDE w:val="0"/>
              <w:autoSpaceDN w:val="0"/>
              <w:adjustRightInd w:val="0"/>
              <w:spacing w:line="276" w:lineRule="auto"/>
              <w:rPr>
                <w:rFonts w:ascii="Times New Roman" w:hAnsi="Times New Roman" w:cs="Times New Roman"/>
                <w:b/>
                <w:sz w:val="20"/>
                <w:szCs w:val="20"/>
              </w:rPr>
            </w:pPr>
            <w:r w:rsidRPr="00FD7DD1">
              <w:rPr>
                <w:rFonts w:ascii="Times New Roman" w:hAnsi="Times New Roman" w:cs="Times New Roman"/>
                <w:b/>
                <w:sz w:val="20"/>
                <w:szCs w:val="20"/>
              </w:rPr>
              <w:t>Amount</w:t>
            </w:r>
          </w:p>
        </w:tc>
        <w:tc>
          <w:tcPr>
            <w:tcW w:w="669" w:type="dxa"/>
            <w:tcBorders>
              <w:top w:val="single" w:sz="4" w:space="0" w:color="auto"/>
              <w:left w:val="single" w:sz="4" w:space="0" w:color="auto"/>
              <w:bottom w:val="single" w:sz="4" w:space="0" w:color="auto"/>
              <w:right w:val="single" w:sz="4" w:space="0" w:color="auto"/>
            </w:tcBorders>
            <w:shd w:val="clear" w:color="auto" w:fill="auto"/>
          </w:tcPr>
          <w:p w14:paraId="7F365107" w14:textId="2F8AC341" w:rsidR="00FD7DD1" w:rsidRPr="00FD7DD1" w:rsidRDefault="00A20068" w:rsidP="009C55BA">
            <w:pPr>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670" w:type="dxa"/>
            <w:tcBorders>
              <w:top w:val="single" w:sz="4" w:space="0" w:color="auto"/>
              <w:left w:val="single" w:sz="4" w:space="0" w:color="auto"/>
              <w:bottom w:val="nil"/>
              <w:right w:val="nil"/>
            </w:tcBorders>
          </w:tcPr>
          <w:p w14:paraId="61CF6690"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nil"/>
              <w:bottom w:val="nil"/>
              <w:right w:val="nil"/>
            </w:tcBorders>
          </w:tcPr>
          <w:p w14:paraId="6C9E873D" w14:textId="77777777" w:rsidR="00FD7DD1" w:rsidRPr="00FD7DD1" w:rsidRDefault="00FD7DD1" w:rsidP="009C55BA">
            <w:pPr>
              <w:spacing w:line="276" w:lineRule="auto"/>
              <w:jc w:val="center"/>
              <w:rPr>
                <w:rFonts w:ascii="Times New Roman" w:hAnsi="Times New Roman" w:cs="Times New Roman"/>
                <w:sz w:val="20"/>
                <w:szCs w:val="20"/>
              </w:rPr>
            </w:pPr>
          </w:p>
        </w:tc>
        <w:tc>
          <w:tcPr>
            <w:tcW w:w="656" w:type="dxa"/>
            <w:tcBorders>
              <w:top w:val="single" w:sz="4" w:space="0" w:color="auto"/>
              <w:left w:val="nil"/>
              <w:bottom w:val="nil"/>
              <w:right w:val="nil"/>
            </w:tcBorders>
          </w:tcPr>
          <w:p w14:paraId="18B722B4" w14:textId="77777777" w:rsidR="00FD7DD1" w:rsidRPr="00FD7DD1" w:rsidRDefault="00FD7DD1" w:rsidP="009C55BA">
            <w:pPr>
              <w:spacing w:line="276" w:lineRule="auto"/>
              <w:jc w:val="center"/>
              <w:rPr>
                <w:rFonts w:ascii="Times New Roman" w:hAnsi="Times New Roman" w:cs="Times New Roman"/>
                <w:sz w:val="20"/>
                <w:szCs w:val="20"/>
              </w:rPr>
            </w:pPr>
          </w:p>
        </w:tc>
        <w:tc>
          <w:tcPr>
            <w:tcW w:w="683" w:type="dxa"/>
            <w:tcBorders>
              <w:top w:val="single" w:sz="4" w:space="0" w:color="auto"/>
              <w:left w:val="nil"/>
              <w:bottom w:val="nil"/>
              <w:right w:val="nil"/>
            </w:tcBorders>
          </w:tcPr>
          <w:p w14:paraId="44BB0A77"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nil"/>
              <w:bottom w:val="nil"/>
              <w:right w:val="nil"/>
            </w:tcBorders>
          </w:tcPr>
          <w:p w14:paraId="568D3E1D"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nil"/>
              <w:bottom w:val="nil"/>
              <w:right w:val="single" w:sz="4" w:space="0" w:color="auto"/>
            </w:tcBorders>
          </w:tcPr>
          <w:p w14:paraId="0394B1EF"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shd w:val="clear" w:color="auto" w:fill="auto"/>
          </w:tcPr>
          <w:p w14:paraId="7A7AD7AA"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5</w:t>
            </w:r>
          </w:p>
        </w:tc>
      </w:tr>
      <w:tr w:rsidR="00FD7DD1" w:rsidRPr="00FD7DD1" w14:paraId="358F36BF" w14:textId="77777777" w:rsidTr="00FE5C16">
        <w:trPr>
          <w:trHeight w:val="42"/>
        </w:trPr>
        <w:tc>
          <w:tcPr>
            <w:tcW w:w="1528" w:type="dxa"/>
            <w:vMerge w:val="restart"/>
            <w:tcBorders>
              <w:top w:val="single" w:sz="4" w:space="0" w:color="auto"/>
              <w:left w:val="single" w:sz="4" w:space="0" w:color="auto"/>
              <w:bottom w:val="single" w:sz="4" w:space="0" w:color="auto"/>
              <w:right w:val="single" w:sz="4" w:space="0" w:color="auto"/>
            </w:tcBorders>
            <w:hideMark/>
          </w:tcPr>
          <w:p w14:paraId="739CE41C" w14:textId="77777777" w:rsidR="00FD7DD1" w:rsidRPr="00FD7DD1" w:rsidRDefault="00FD7DD1" w:rsidP="00FD7DD1">
            <w:pPr>
              <w:spacing w:line="276" w:lineRule="auto"/>
              <w:rPr>
                <w:rFonts w:ascii="Times New Roman" w:hAnsi="Times New Roman" w:cs="Times New Roman"/>
                <w:sz w:val="20"/>
                <w:szCs w:val="20"/>
              </w:rPr>
            </w:pPr>
            <w:r w:rsidRPr="00FD7DD1">
              <w:rPr>
                <w:rFonts w:ascii="Times New Roman" w:hAnsi="Times New Roman" w:cs="Times New Roman"/>
                <w:sz w:val="20"/>
                <w:szCs w:val="20"/>
              </w:rPr>
              <w:br w:type="page"/>
              <w:t>Local community</w:t>
            </w:r>
          </w:p>
        </w:tc>
        <w:tc>
          <w:tcPr>
            <w:tcW w:w="2189" w:type="dxa"/>
            <w:tcBorders>
              <w:top w:val="single" w:sz="4" w:space="0" w:color="auto"/>
              <w:left w:val="single" w:sz="4" w:space="0" w:color="auto"/>
              <w:bottom w:val="single" w:sz="4" w:space="0" w:color="auto"/>
              <w:right w:val="single" w:sz="4" w:space="0" w:color="auto"/>
            </w:tcBorders>
            <w:hideMark/>
          </w:tcPr>
          <w:p w14:paraId="64E7FB35"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Access to material resources</w:t>
            </w:r>
          </w:p>
        </w:tc>
        <w:tc>
          <w:tcPr>
            <w:tcW w:w="669" w:type="dxa"/>
            <w:tcBorders>
              <w:top w:val="single" w:sz="4" w:space="0" w:color="auto"/>
              <w:left w:val="single" w:sz="4" w:space="0" w:color="auto"/>
              <w:bottom w:val="single" w:sz="4" w:space="0" w:color="auto"/>
              <w:right w:val="single" w:sz="4" w:space="0" w:color="auto"/>
            </w:tcBorders>
            <w:shd w:val="clear" w:color="auto" w:fill="FFFF00"/>
            <w:hideMark/>
          </w:tcPr>
          <w:p w14:paraId="329D15F8"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4</w:t>
            </w:r>
          </w:p>
        </w:tc>
        <w:tc>
          <w:tcPr>
            <w:tcW w:w="670" w:type="dxa"/>
            <w:tcBorders>
              <w:top w:val="single" w:sz="4" w:space="0" w:color="auto"/>
              <w:left w:val="single" w:sz="4" w:space="0" w:color="auto"/>
              <w:bottom w:val="single" w:sz="4" w:space="0" w:color="auto"/>
              <w:right w:val="single" w:sz="4" w:space="0" w:color="auto"/>
            </w:tcBorders>
            <w:hideMark/>
          </w:tcPr>
          <w:p w14:paraId="4F608C48"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45F2810B"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hideMark/>
          </w:tcPr>
          <w:p w14:paraId="034D6981"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hideMark/>
          </w:tcPr>
          <w:p w14:paraId="4BD5198F"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4942566C"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10FA450E"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C37D910"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3</w:t>
            </w:r>
          </w:p>
        </w:tc>
      </w:tr>
      <w:tr w:rsidR="00FD7DD1" w:rsidRPr="00FD7DD1" w14:paraId="2CB8BDDC" w14:textId="77777777" w:rsidTr="00FE5C16">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523401A5" w14:textId="77777777" w:rsidR="00FD7DD1" w:rsidRPr="00FD7DD1" w:rsidRDefault="00FD7DD1" w:rsidP="00FD7DD1">
            <w:pPr>
              <w:spacing w:line="276" w:lineRule="auto"/>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14:paraId="303002FD"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Access to immaterial resources</w:t>
            </w:r>
          </w:p>
        </w:tc>
        <w:tc>
          <w:tcPr>
            <w:tcW w:w="6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CEF7AE7"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3</w:t>
            </w:r>
          </w:p>
        </w:tc>
        <w:tc>
          <w:tcPr>
            <w:tcW w:w="670" w:type="dxa"/>
            <w:tcBorders>
              <w:top w:val="single" w:sz="4" w:space="0" w:color="auto"/>
              <w:left w:val="single" w:sz="4" w:space="0" w:color="auto"/>
              <w:bottom w:val="single" w:sz="4" w:space="0" w:color="auto"/>
              <w:right w:val="single" w:sz="4" w:space="0" w:color="auto"/>
            </w:tcBorders>
            <w:hideMark/>
          </w:tcPr>
          <w:p w14:paraId="4A4AC556"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318150C8"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hideMark/>
          </w:tcPr>
          <w:p w14:paraId="4904C8A5"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hideMark/>
          </w:tcPr>
          <w:p w14:paraId="5792406D"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20BE7150"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450DCA20"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D101314"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3</w:t>
            </w:r>
          </w:p>
        </w:tc>
      </w:tr>
      <w:tr w:rsidR="00FD7DD1" w:rsidRPr="00FD7DD1" w14:paraId="133DE0BD" w14:textId="77777777" w:rsidTr="00FE5C16">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4658615C" w14:textId="77777777" w:rsidR="00FD7DD1" w:rsidRPr="00FD7DD1" w:rsidRDefault="00FD7DD1" w:rsidP="00FD7DD1">
            <w:pPr>
              <w:spacing w:line="276" w:lineRule="auto"/>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14:paraId="479BE85A"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Delocalisation and migration</w:t>
            </w:r>
          </w:p>
        </w:tc>
        <w:tc>
          <w:tcPr>
            <w:tcW w:w="6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32DAE0B"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3</w:t>
            </w:r>
          </w:p>
        </w:tc>
        <w:tc>
          <w:tcPr>
            <w:tcW w:w="670" w:type="dxa"/>
            <w:tcBorders>
              <w:top w:val="single" w:sz="4" w:space="0" w:color="auto"/>
              <w:left w:val="single" w:sz="4" w:space="0" w:color="auto"/>
              <w:bottom w:val="single" w:sz="4" w:space="0" w:color="auto"/>
              <w:right w:val="single" w:sz="4" w:space="0" w:color="auto"/>
            </w:tcBorders>
            <w:hideMark/>
          </w:tcPr>
          <w:p w14:paraId="4A7AC4AC"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62D7CACE"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hideMark/>
          </w:tcPr>
          <w:p w14:paraId="0B8C3641"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hideMark/>
          </w:tcPr>
          <w:p w14:paraId="1D0A00EE"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23D26F79"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5B0B3399"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FFFF00"/>
            <w:hideMark/>
          </w:tcPr>
          <w:p w14:paraId="57C748BA"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4</w:t>
            </w:r>
          </w:p>
        </w:tc>
      </w:tr>
      <w:tr w:rsidR="00FD7DD1" w:rsidRPr="00FD7DD1" w14:paraId="1FFBEAD6" w14:textId="77777777" w:rsidTr="00A20068">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47E36BFB" w14:textId="77777777" w:rsidR="00FD7DD1" w:rsidRPr="00FD7DD1" w:rsidRDefault="00FD7DD1" w:rsidP="00FD7DD1">
            <w:pPr>
              <w:spacing w:line="276" w:lineRule="auto"/>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14:paraId="7AB2544C"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Cultural heritage</w:t>
            </w:r>
          </w:p>
        </w:tc>
        <w:tc>
          <w:tcPr>
            <w:tcW w:w="6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658D8D4" w14:textId="2AAE3515" w:rsidR="00FD7DD1" w:rsidRPr="00FD7DD1" w:rsidRDefault="00A20068" w:rsidP="009C55BA">
            <w:pPr>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670" w:type="dxa"/>
            <w:tcBorders>
              <w:top w:val="single" w:sz="4" w:space="0" w:color="auto"/>
              <w:left w:val="single" w:sz="4" w:space="0" w:color="auto"/>
              <w:bottom w:val="single" w:sz="4" w:space="0" w:color="auto"/>
              <w:right w:val="single" w:sz="4" w:space="0" w:color="auto"/>
            </w:tcBorders>
          </w:tcPr>
          <w:p w14:paraId="3983022D" w14:textId="78372B09" w:rsidR="00FD7DD1" w:rsidRPr="00FD7DD1" w:rsidRDefault="00A20068" w:rsidP="009C55BA">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14:paraId="71F744EC" w14:textId="777AF240" w:rsidR="00FD7DD1" w:rsidRPr="00FD7DD1" w:rsidRDefault="00A20068" w:rsidP="009C55BA">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tcPr>
          <w:p w14:paraId="361C0400" w14:textId="42AC765D" w:rsidR="00FD7DD1" w:rsidRPr="00FD7DD1" w:rsidRDefault="00A20068" w:rsidP="009C55BA">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tcPr>
          <w:p w14:paraId="6BD24DFD" w14:textId="6D45A406" w:rsidR="00FD7DD1" w:rsidRPr="00FD7DD1" w:rsidRDefault="00A20068" w:rsidP="009C55BA">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14:paraId="7E06C284" w14:textId="6E0F77FD" w:rsidR="00FD7DD1" w:rsidRPr="00FD7DD1" w:rsidRDefault="00A20068" w:rsidP="009C55BA">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14:paraId="64613976" w14:textId="627B269C" w:rsidR="00FD7DD1" w:rsidRPr="00FD7DD1" w:rsidRDefault="00A20068" w:rsidP="009C55BA">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92D050"/>
          </w:tcPr>
          <w:p w14:paraId="00E65949" w14:textId="298518B2" w:rsidR="00FD7DD1" w:rsidRPr="00FD7DD1" w:rsidRDefault="00A20068" w:rsidP="009C55BA">
            <w:pPr>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D7DD1" w:rsidRPr="00FD7DD1" w14:paraId="6460558C" w14:textId="77777777" w:rsidTr="00FE5C16">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1E6CD8C1" w14:textId="77777777" w:rsidR="00FD7DD1" w:rsidRPr="00FD7DD1" w:rsidRDefault="00FD7DD1" w:rsidP="00FD7DD1">
            <w:pPr>
              <w:spacing w:line="276" w:lineRule="auto"/>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14:paraId="50C42E41"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Safe and healthy living conditions</w:t>
            </w:r>
          </w:p>
        </w:tc>
        <w:tc>
          <w:tcPr>
            <w:tcW w:w="669" w:type="dxa"/>
            <w:tcBorders>
              <w:top w:val="single" w:sz="4" w:space="0" w:color="auto"/>
              <w:left w:val="single" w:sz="4" w:space="0" w:color="auto"/>
              <w:bottom w:val="single" w:sz="4" w:space="0" w:color="auto"/>
              <w:right w:val="single" w:sz="4" w:space="0" w:color="auto"/>
            </w:tcBorders>
            <w:shd w:val="clear" w:color="auto" w:fill="FFFF00"/>
            <w:hideMark/>
          </w:tcPr>
          <w:p w14:paraId="112F5669"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4</w:t>
            </w:r>
          </w:p>
        </w:tc>
        <w:tc>
          <w:tcPr>
            <w:tcW w:w="670" w:type="dxa"/>
            <w:tcBorders>
              <w:top w:val="single" w:sz="4" w:space="0" w:color="auto"/>
              <w:left w:val="single" w:sz="4" w:space="0" w:color="auto"/>
              <w:bottom w:val="single" w:sz="4" w:space="0" w:color="auto"/>
              <w:right w:val="single" w:sz="4" w:space="0" w:color="auto"/>
            </w:tcBorders>
            <w:hideMark/>
          </w:tcPr>
          <w:p w14:paraId="6012AD65"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4792DED2"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hideMark/>
          </w:tcPr>
          <w:p w14:paraId="687B040A"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hideMark/>
          </w:tcPr>
          <w:p w14:paraId="5256E719"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6AEC8066"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0E06AC7D"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FFFF00"/>
            <w:hideMark/>
          </w:tcPr>
          <w:p w14:paraId="3113EC63"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4</w:t>
            </w:r>
          </w:p>
        </w:tc>
      </w:tr>
      <w:tr w:rsidR="00FD7DD1" w:rsidRPr="00FD7DD1" w14:paraId="6EDC3AE5" w14:textId="77777777" w:rsidTr="00FE5C16">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5EBED5EA" w14:textId="77777777" w:rsidR="00FD7DD1" w:rsidRPr="00FD7DD1" w:rsidRDefault="00FD7DD1" w:rsidP="00FD7DD1">
            <w:pPr>
              <w:spacing w:line="276" w:lineRule="auto"/>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14:paraId="5A216E16"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Respect of indigenous rights</w:t>
            </w:r>
          </w:p>
        </w:tc>
        <w:tc>
          <w:tcPr>
            <w:tcW w:w="669" w:type="dxa"/>
            <w:tcBorders>
              <w:top w:val="single" w:sz="4" w:space="0" w:color="auto"/>
              <w:left w:val="single" w:sz="4" w:space="0" w:color="auto"/>
              <w:bottom w:val="single" w:sz="4" w:space="0" w:color="auto"/>
              <w:right w:val="single" w:sz="4" w:space="0" w:color="auto"/>
            </w:tcBorders>
            <w:shd w:val="clear" w:color="auto" w:fill="92D050"/>
            <w:hideMark/>
          </w:tcPr>
          <w:p w14:paraId="4F893A67"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2</w:t>
            </w:r>
          </w:p>
        </w:tc>
        <w:tc>
          <w:tcPr>
            <w:tcW w:w="670" w:type="dxa"/>
            <w:tcBorders>
              <w:top w:val="single" w:sz="4" w:space="0" w:color="auto"/>
              <w:left w:val="single" w:sz="4" w:space="0" w:color="auto"/>
              <w:bottom w:val="single" w:sz="4" w:space="0" w:color="auto"/>
              <w:right w:val="single" w:sz="4" w:space="0" w:color="auto"/>
            </w:tcBorders>
          </w:tcPr>
          <w:p w14:paraId="5E925749"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14:paraId="2F2B6B81" w14:textId="77777777" w:rsidR="00FD7DD1" w:rsidRPr="00FD7DD1" w:rsidRDefault="00FD7DD1" w:rsidP="009C55BA">
            <w:pPr>
              <w:spacing w:line="276" w:lineRule="auto"/>
              <w:jc w:val="center"/>
              <w:rPr>
                <w:rFonts w:ascii="Times New Roman" w:hAnsi="Times New Roman" w:cs="Times New Roman"/>
                <w:sz w:val="20"/>
                <w:szCs w:val="20"/>
              </w:rPr>
            </w:pPr>
          </w:p>
        </w:tc>
        <w:tc>
          <w:tcPr>
            <w:tcW w:w="656" w:type="dxa"/>
            <w:tcBorders>
              <w:top w:val="single" w:sz="4" w:space="0" w:color="auto"/>
              <w:left w:val="single" w:sz="4" w:space="0" w:color="auto"/>
              <w:bottom w:val="single" w:sz="4" w:space="0" w:color="auto"/>
              <w:right w:val="single" w:sz="4" w:space="0" w:color="auto"/>
            </w:tcBorders>
            <w:hideMark/>
          </w:tcPr>
          <w:p w14:paraId="2FC8017E"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hideMark/>
          </w:tcPr>
          <w:p w14:paraId="26EDF925"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127BC707"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318F0F11"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92D050"/>
            <w:hideMark/>
          </w:tcPr>
          <w:p w14:paraId="5841C981"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2</w:t>
            </w:r>
          </w:p>
        </w:tc>
      </w:tr>
      <w:tr w:rsidR="00FD7DD1" w:rsidRPr="00FD7DD1" w14:paraId="6678202E" w14:textId="77777777" w:rsidTr="00A20068">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11CC45A6" w14:textId="77777777" w:rsidR="00FD7DD1" w:rsidRPr="00FD7DD1" w:rsidRDefault="00FD7DD1" w:rsidP="00FD7DD1">
            <w:pPr>
              <w:spacing w:line="276" w:lineRule="auto"/>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14:paraId="6498BEDB"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Local employment</w:t>
            </w:r>
          </w:p>
        </w:tc>
        <w:tc>
          <w:tcPr>
            <w:tcW w:w="669" w:type="dxa"/>
            <w:tcBorders>
              <w:top w:val="single" w:sz="4" w:space="0" w:color="auto"/>
              <w:left w:val="single" w:sz="4" w:space="0" w:color="auto"/>
              <w:bottom w:val="single" w:sz="4" w:space="0" w:color="auto"/>
              <w:right w:val="single" w:sz="4" w:space="0" w:color="auto"/>
            </w:tcBorders>
            <w:shd w:val="clear" w:color="auto" w:fill="00B050"/>
            <w:hideMark/>
          </w:tcPr>
          <w:p w14:paraId="52DEB152" w14:textId="7D98BE9A" w:rsidR="00FD7DD1" w:rsidRPr="00FD7DD1" w:rsidRDefault="00A20068" w:rsidP="009C55BA">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70" w:type="dxa"/>
            <w:tcBorders>
              <w:top w:val="single" w:sz="4" w:space="0" w:color="auto"/>
              <w:left w:val="single" w:sz="4" w:space="0" w:color="auto"/>
              <w:bottom w:val="single" w:sz="4" w:space="0" w:color="auto"/>
              <w:right w:val="single" w:sz="4" w:space="0" w:color="auto"/>
            </w:tcBorders>
          </w:tcPr>
          <w:p w14:paraId="444587DB"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14:paraId="3A79BA12" w14:textId="77777777" w:rsidR="00FD7DD1" w:rsidRPr="00FD7DD1" w:rsidRDefault="00FD7DD1" w:rsidP="009C55BA">
            <w:pPr>
              <w:spacing w:line="276" w:lineRule="auto"/>
              <w:jc w:val="center"/>
              <w:rPr>
                <w:rFonts w:ascii="Times New Roman" w:hAnsi="Times New Roman" w:cs="Times New Roman"/>
                <w:sz w:val="20"/>
                <w:szCs w:val="20"/>
              </w:rPr>
            </w:pPr>
          </w:p>
        </w:tc>
        <w:tc>
          <w:tcPr>
            <w:tcW w:w="656" w:type="dxa"/>
            <w:tcBorders>
              <w:top w:val="single" w:sz="4" w:space="0" w:color="auto"/>
              <w:left w:val="single" w:sz="4" w:space="0" w:color="auto"/>
              <w:bottom w:val="single" w:sz="4" w:space="0" w:color="auto"/>
              <w:right w:val="single" w:sz="4" w:space="0" w:color="auto"/>
            </w:tcBorders>
          </w:tcPr>
          <w:p w14:paraId="6AE41263" w14:textId="77777777" w:rsidR="00FD7DD1" w:rsidRPr="00FD7DD1" w:rsidRDefault="00FD7DD1" w:rsidP="009C55BA">
            <w:pPr>
              <w:spacing w:line="276" w:lineRule="auto"/>
              <w:jc w:val="center"/>
              <w:rPr>
                <w:rFonts w:ascii="Times New Roman" w:hAnsi="Times New Roman" w:cs="Times New Roman"/>
                <w:sz w:val="20"/>
                <w:szCs w:val="20"/>
              </w:rPr>
            </w:pPr>
          </w:p>
        </w:tc>
        <w:tc>
          <w:tcPr>
            <w:tcW w:w="683" w:type="dxa"/>
            <w:tcBorders>
              <w:top w:val="single" w:sz="4" w:space="0" w:color="auto"/>
              <w:left w:val="single" w:sz="4" w:space="0" w:color="auto"/>
              <w:bottom w:val="single" w:sz="4" w:space="0" w:color="auto"/>
              <w:right w:val="single" w:sz="4" w:space="0" w:color="auto"/>
            </w:tcBorders>
          </w:tcPr>
          <w:p w14:paraId="4AA2559A" w14:textId="228069D1" w:rsidR="00FD7DD1" w:rsidRPr="00FD7DD1" w:rsidRDefault="00A20068" w:rsidP="009C55BA">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14:paraId="50BAD5AD"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14:paraId="2AA43ACC" w14:textId="33684155" w:rsidR="00FD7DD1" w:rsidRPr="00FD7DD1" w:rsidRDefault="00A20068" w:rsidP="009C55BA">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92D050"/>
          </w:tcPr>
          <w:p w14:paraId="79705BA1" w14:textId="419F1B84" w:rsidR="00FD7DD1" w:rsidRPr="00FD7DD1" w:rsidRDefault="00A20068" w:rsidP="009C55BA">
            <w:pPr>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D7DD1" w:rsidRPr="00FD7DD1" w14:paraId="4F524A42" w14:textId="77777777" w:rsidTr="00FE5C16">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297765BF" w14:textId="77777777" w:rsidR="00FD7DD1" w:rsidRPr="00FD7DD1" w:rsidRDefault="00FD7DD1" w:rsidP="00FD7DD1">
            <w:pPr>
              <w:spacing w:line="276" w:lineRule="auto"/>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14:paraId="64870C7A"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Secure living conditions</w:t>
            </w:r>
          </w:p>
        </w:tc>
        <w:tc>
          <w:tcPr>
            <w:tcW w:w="669" w:type="dxa"/>
            <w:tcBorders>
              <w:top w:val="single" w:sz="4" w:space="0" w:color="auto"/>
              <w:left w:val="single" w:sz="4" w:space="0" w:color="auto"/>
              <w:bottom w:val="single" w:sz="4" w:space="0" w:color="auto"/>
              <w:right w:val="single" w:sz="4" w:space="0" w:color="auto"/>
            </w:tcBorders>
            <w:hideMark/>
          </w:tcPr>
          <w:p w14:paraId="2BF69816"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No data</w:t>
            </w:r>
          </w:p>
        </w:tc>
        <w:tc>
          <w:tcPr>
            <w:tcW w:w="670" w:type="dxa"/>
            <w:tcBorders>
              <w:top w:val="single" w:sz="4" w:space="0" w:color="auto"/>
              <w:left w:val="single" w:sz="4" w:space="0" w:color="auto"/>
              <w:bottom w:val="single" w:sz="4" w:space="0" w:color="auto"/>
              <w:right w:val="single" w:sz="4" w:space="0" w:color="auto"/>
            </w:tcBorders>
          </w:tcPr>
          <w:p w14:paraId="2E354FD2"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14:paraId="4E43FE3C" w14:textId="77777777" w:rsidR="00FD7DD1" w:rsidRPr="00FD7DD1" w:rsidRDefault="00FD7DD1" w:rsidP="009C55BA">
            <w:pPr>
              <w:spacing w:line="276" w:lineRule="auto"/>
              <w:jc w:val="center"/>
              <w:rPr>
                <w:rFonts w:ascii="Times New Roman" w:hAnsi="Times New Roman" w:cs="Times New Roman"/>
                <w:sz w:val="20"/>
                <w:szCs w:val="20"/>
              </w:rPr>
            </w:pPr>
          </w:p>
        </w:tc>
        <w:tc>
          <w:tcPr>
            <w:tcW w:w="656" w:type="dxa"/>
            <w:tcBorders>
              <w:top w:val="single" w:sz="4" w:space="0" w:color="auto"/>
              <w:left w:val="single" w:sz="4" w:space="0" w:color="auto"/>
              <w:bottom w:val="single" w:sz="4" w:space="0" w:color="auto"/>
              <w:right w:val="single" w:sz="4" w:space="0" w:color="auto"/>
            </w:tcBorders>
          </w:tcPr>
          <w:p w14:paraId="217D208F" w14:textId="77777777" w:rsidR="00FD7DD1" w:rsidRPr="00FD7DD1" w:rsidRDefault="00FD7DD1" w:rsidP="009C55BA">
            <w:pPr>
              <w:spacing w:line="276" w:lineRule="auto"/>
              <w:jc w:val="center"/>
              <w:rPr>
                <w:rFonts w:ascii="Times New Roman" w:hAnsi="Times New Roman" w:cs="Times New Roman"/>
                <w:sz w:val="20"/>
                <w:szCs w:val="20"/>
              </w:rPr>
            </w:pPr>
          </w:p>
        </w:tc>
        <w:tc>
          <w:tcPr>
            <w:tcW w:w="683" w:type="dxa"/>
            <w:tcBorders>
              <w:top w:val="single" w:sz="4" w:space="0" w:color="auto"/>
              <w:left w:val="single" w:sz="4" w:space="0" w:color="auto"/>
              <w:bottom w:val="single" w:sz="4" w:space="0" w:color="auto"/>
              <w:right w:val="single" w:sz="4" w:space="0" w:color="auto"/>
            </w:tcBorders>
          </w:tcPr>
          <w:p w14:paraId="5856E2D8"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14:paraId="18494A98"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14:paraId="4EBF5FB1"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14:paraId="1EC6E52A" w14:textId="0DC66B71" w:rsidR="00FD7DD1" w:rsidRPr="00FD7DD1" w:rsidRDefault="00A20068" w:rsidP="009C55BA">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r>
      <w:tr w:rsidR="00FD7DD1" w:rsidRPr="00FD7DD1" w14:paraId="4D026A84" w14:textId="77777777" w:rsidTr="00FE5C16">
        <w:trPr>
          <w:trHeight w:val="37"/>
        </w:trPr>
        <w:tc>
          <w:tcPr>
            <w:tcW w:w="1528" w:type="dxa"/>
            <w:tcBorders>
              <w:top w:val="single" w:sz="4" w:space="0" w:color="auto"/>
              <w:left w:val="single" w:sz="4" w:space="0" w:color="auto"/>
              <w:bottom w:val="single" w:sz="4" w:space="0" w:color="auto"/>
              <w:right w:val="single" w:sz="4" w:space="0" w:color="auto"/>
            </w:tcBorders>
          </w:tcPr>
          <w:p w14:paraId="22F7A331" w14:textId="77777777" w:rsidR="00FD7DD1" w:rsidRPr="00FD7DD1" w:rsidRDefault="00FD7DD1" w:rsidP="00FD7DD1">
            <w:pPr>
              <w:spacing w:line="276" w:lineRule="auto"/>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14:paraId="113C40C8" w14:textId="77777777" w:rsidR="00FD7DD1" w:rsidRPr="00FD7DD1" w:rsidRDefault="00FD7DD1" w:rsidP="00FD7DD1">
            <w:pPr>
              <w:autoSpaceDE w:val="0"/>
              <w:autoSpaceDN w:val="0"/>
              <w:adjustRightInd w:val="0"/>
              <w:spacing w:line="276" w:lineRule="auto"/>
              <w:rPr>
                <w:rFonts w:ascii="Times New Roman" w:hAnsi="Times New Roman" w:cs="Times New Roman"/>
                <w:b/>
                <w:sz w:val="20"/>
                <w:szCs w:val="20"/>
              </w:rPr>
            </w:pPr>
            <w:r w:rsidRPr="00FD7DD1">
              <w:rPr>
                <w:rFonts w:ascii="Times New Roman" w:hAnsi="Times New Roman" w:cs="Times New Roman"/>
                <w:b/>
                <w:sz w:val="20"/>
                <w:szCs w:val="20"/>
              </w:rPr>
              <w:t>Amount</w:t>
            </w:r>
          </w:p>
        </w:tc>
        <w:tc>
          <w:tcPr>
            <w:tcW w:w="669" w:type="dxa"/>
            <w:tcBorders>
              <w:top w:val="single" w:sz="4" w:space="0" w:color="auto"/>
              <w:left w:val="single" w:sz="4" w:space="0" w:color="auto"/>
              <w:bottom w:val="single" w:sz="4" w:space="0" w:color="auto"/>
              <w:right w:val="single" w:sz="4" w:space="0" w:color="auto"/>
            </w:tcBorders>
          </w:tcPr>
          <w:p w14:paraId="4F8DF20D" w14:textId="76579156" w:rsidR="00FD7DD1" w:rsidRPr="00FD7DD1" w:rsidRDefault="00A20068" w:rsidP="00A20068">
            <w:pPr>
              <w:spacing w:line="276" w:lineRule="auto"/>
              <w:rPr>
                <w:rFonts w:ascii="Times New Roman" w:hAnsi="Times New Roman" w:cs="Times New Roman"/>
                <w:sz w:val="20"/>
                <w:szCs w:val="20"/>
              </w:rPr>
            </w:pPr>
            <w:r>
              <w:rPr>
                <w:rFonts w:ascii="Times New Roman" w:hAnsi="Times New Roman" w:cs="Times New Roman"/>
                <w:sz w:val="20"/>
                <w:szCs w:val="20"/>
              </w:rPr>
              <w:t>2,9</w:t>
            </w:r>
          </w:p>
        </w:tc>
        <w:tc>
          <w:tcPr>
            <w:tcW w:w="670" w:type="dxa"/>
            <w:tcBorders>
              <w:top w:val="single" w:sz="4" w:space="0" w:color="auto"/>
              <w:left w:val="single" w:sz="4" w:space="0" w:color="auto"/>
              <w:bottom w:val="single" w:sz="4" w:space="0" w:color="auto"/>
              <w:right w:val="nil"/>
            </w:tcBorders>
          </w:tcPr>
          <w:p w14:paraId="138BBBCF"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nil"/>
              <w:bottom w:val="single" w:sz="4" w:space="0" w:color="auto"/>
              <w:right w:val="nil"/>
            </w:tcBorders>
          </w:tcPr>
          <w:p w14:paraId="72B0BAEE" w14:textId="77777777" w:rsidR="00FD7DD1" w:rsidRPr="00FD7DD1" w:rsidRDefault="00FD7DD1" w:rsidP="009C55BA">
            <w:pPr>
              <w:spacing w:line="276" w:lineRule="auto"/>
              <w:jc w:val="center"/>
              <w:rPr>
                <w:rFonts w:ascii="Times New Roman" w:hAnsi="Times New Roman" w:cs="Times New Roman"/>
                <w:sz w:val="20"/>
                <w:szCs w:val="20"/>
              </w:rPr>
            </w:pPr>
          </w:p>
        </w:tc>
        <w:tc>
          <w:tcPr>
            <w:tcW w:w="656" w:type="dxa"/>
            <w:tcBorders>
              <w:top w:val="single" w:sz="4" w:space="0" w:color="auto"/>
              <w:left w:val="nil"/>
              <w:bottom w:val="single" w:sz="4" w:space="0" w:color="auto"/>
              <w:right w:val="nil"/>
            </w:tcBorders>
          </w:tcPr>
          <w:p w14:paraId="01002849" w14:textId="77777777" w:rsidR="00FD7DD1" w:rsidRPr="00FD7DD1" w:rsidRDefault="00FD7DD1" w:rsidP="009C55BA">
            <w:pPr>
              <w:spacing w:line="276" w:lineRule="auto"/>
              <w:jc w:val="center"/>
              <w:rPr>
                <w:rFonts w:ascii="Times New Roman" w:hAnsi="Times New Roman" w:cs="Times New Roman"/>
                <w:sz w:val="20"/>
                <w:szCs w:val="20"/>
              </w:rPr>
            </w:pPr>
          </w:p>
        </w:tc>
        <w:tc>
          <w:tcPr>
            <w:tcW w:w="683" w:type="dxa"/>
            <w:tcBorders>
              <w:top w:val="single" w:sz="4" w:space="0" w:color="auto"/>
              <w:left w:val="nil"/>
              <w:bottom w:val="single" w:sz="4" w:space="0" w:color="auto"/>
              <w:right w:val="nil"/>
            </w:tcBorders>
          </w:tcPr>
          <w:p w14:paraId="7E163AAE"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nil"/>
              <w:bottom w:val="single" w:sz="4" w:space="0" w:color="auto"/>
              <w:right w:val="nil"/>
            </w:tcBorders>
          </w:tcPr>
          <w:p w14:paraId="35D60DF6"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nil"/>
              <w:bottom w:val="single" w:sz="4" w:space="0" w:color="auto"/>
              <w:right w:val="single" w:sz="4" w:space="0" w:color="auto"/>
            </w:tcBorders>
          </w:tcPr>
          <w:p w14:paraId="6FE27932"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14:paraId="5E506368" w14:textId="5A12A699" w:rsidR="00FD7DD1" w:rsidRPr="00FD7DD1" w:rsidRDefault="002A472C" w:rsidP="00A20068">
            <w:pPr>
              <w:spacing w:line="276" w:lineRule="auto"/>
              <w:rPr>
                <w:rFonts w:ascii="Times New Roman" w:hAnsi="Times New Roman" w:cs="Times New Roman"/>
                <w:sz w:val="20"/>
                <w:szCs w:val="20"/>
              </w:rPr>
            </w:pPr>
            <w:r>
              <w:rPr>
                <w:rFonts w:ascii="Times New Roman" w:hAnsi="Times New Roman" w:cs="Times New Roman"/>
                <w:sz w:val="20"/>
                <w:szCs w:val="20"/>
              </w:rPr>
              <w:t>2.</w:t>
            </w:r>
            <w:r w:rsidR="00A20068">
              <w:rPr>
                <w:rFonts w:ascii="Times New Roman" w:hAnsi="Times New Roman" w:cs="Times New Roman"/>
                <w:sz w:val="20"/>
                <w:szCs w:val="20"/>
              </w:rPr>
              <w:t>9</w:t>
            </w:r>
          </w:p>
        </w:tc>
      </w:tr>
      <w:tr w:rsidR="00FD7DD1" w:rsidRPr="00FD7DD1" w14:paraId="51F3EFA0" w14:textId="77777777" w:rsidTr="00FE5C16">
        <w:trPr>
          <w:trHeight w:val="42"/>
        </w:trPr>
        <w:tc>
          <w:tcPr>
            <w:tcW w:w="1528" w:type="dxa"/>
            <w:vMerge w:val="restart"/>
            <w:tcBorders>
              <w:top w:val="single" w:sz="4" w:space="0" w:color="auto"/>
              <w:left w:val="single" w:sz="4" w:space="0" w:color="auto"/>
              <w:bottom w:val="single" w:sz="4" w:space="0" w:color="auto"/>
              <w:right w:val="single" w:sz="4" w:space="0" w:color="auto"/>
            </w:tcBorders>
            <w:hideMark/>
          </w:tcPr>
          <w:p w14:paraId="70BD2CB5" w14:textId="77777777" w:rsidR="00FD7DD1" w:rsidRPr="00FD7DD1" w:rsidRDefault="00FD7DD1" w:rsidP="00FD7DD1">
            <w:pPr>
              <w:spacing w:line="276" w:lineRule="auto"/>
              <w:rPr>
                <w:rFonts w:ascii="Times New Roman" w:hAnsi="Times New Roman" w:cs="Times New Roman"/>
                <w:sz w:val="20"/>
                <w:szCs w:val="20"/>
              </w:rPr>
            </w:pPr>
            <w:r w:rsidRPr="00FD7DD1">
              <w:rPr>
                <w:rFonts w:ascii="Times New Roman" w:hAnsi="Times New Roman" w:cs="Times New Roman"/>
                <w:sz w:val="20"/>
                <w:szCs w:val="20"/>
              </w:rPr>
              <w:t>Society</w:t>
            </w:r>
          </w:p>
        </w:tc>
        <w:tc>
          <w:tcPr>
            <w:tcW w:w="2189" w:type="dxa"/>
            <w:tcBorders>
              <w:top w:val="single" w:sz="4" w:space="0" w:color="auto"/>
              <w:left w:val="single" w:sz="4" w:space="0" w:color="auto"/>
              <w:bottom w:val="single" w:sz="4" w:space="0" w:color="auto"/>
              <w:right w:val="single" w:sz="4" w:space="0" w:color="auto"/>
            </w:tcBorders>
            <w:hideMark/>
          </w:tcPr>
          <w:p w14:paraId="24690508"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Public commitments to sustainable issues</w:t>
            </w:r>
          </w:p>
        </w:tc>
        <w:tc>
          <w:tcPr>
            <w:tcW w:w="669" w:type="dxa"/>
            <w:tcBorders>
              <w:top w:val="single" w:sz="4" w:space="0" w:color="auto"/>
              <w:left w:val="single" w:sz="4" w:space="0" w:color="auto"/>
              <w:bottom w:val="single" w:sz="4" w:space="0" w:color="auto"/>
              <w:right w:val="single" w:sz="4" w:space="0" w:color="auto"/>
            </w:tcBorders>
            <w:shd w:val="clear" w:color="auto" w:fill="FFFF00"/>
            <w:hideMark/>
          </w:tcPr>
          <w:p w14:paraId="6BF2BF52"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4</w:t>
            </w:r>
          </w:p>
        </w:tc>
        <w:tc>
          <w:tcPr>
            <w:tcW w:w="670" w:type="dxa"/>
            <w:tcBorders>
              <w:top w:val="single" w:sz="4" w:space="0" w:color="auto"/>
              <w:left w:val="single" w:sz="4" w:space="0" w:color="auto"/>
              <w:bottom w:val="single" w:sz="4" w:space="0" w:color="auto"/>
              <w:right w:val="single" w:sz="4" w:space="0" w:color="auto"/>
            </w:tcBorders>
            <w:hideMark/>
          </w:tcPr>
          <w:p w14:paraId="5AA2AE90"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2E0FBB3B"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hideMark/>
          </w:tcPr>
          <w:p w14:paraId="2C8E9602"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tcPr>
          <w:p w14:paraId="751DA0D1"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hideMark/>
          </w:tcPr>
          <w:p w14:paraId="0CAF66D1"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40082130"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14:paraId="12EE104C"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5</w:t>
            </w:r>
          </w:p>
        </w:tc>
      </w:tr>
      <w:tr w:rsidR="00FD7DD1" w:rsidRPr="00FD7DD1" w14:paraId="7A7BF1DA" w14:textId="77777777" w:rsidTr="00FE5C16">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163CB9EC" w14:textId="77777777" w:rsidR="00FD7DD1" w:rsidRPr="00FD7DD1" w:rsidRDefault="00FD7DD1" w:rsidP="00FD7DD1">
            <w:pPr>
              <w:spacing w:line="276" w:lineRule="auto"/>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14:paraId="32B562AF"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Contribution to economic development</w:t>
            </w:r>
          </w:p>
        </w:tc>
        <w:tc>
          <w:tcPr>
            <w:tcW w:w="669" w:type="dxa"/>
            <w:tcBorders>
              <w:top w:val="single" w:sz="4" w:space="0" w:color="auto"/>
              <w:left w:val="single" w:sz="4" w:space="0" w:color="auto"/>
              <w:bottom w:val="single" w:sz="4" w:space="0" w:color="auto"/>
              <w:right w:val="single" w:sz="4" w:space="0" w:color="auto"/>
            </w:tcBorders>
            <w:shd w:val="clear" w:color="auto" w:fill="00B050"/>
            <w:hideMark/>
          </w:tcPr>
          <w:p w14:paraId="7397A624"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1</w:t>
            </w:r>
          </w:p>
        </w:tc>
        <w:tc>
          <w:tcPr>
            <w:tcW w:w="670" w:type="dxa"/>
            <w:tcBorders>
              <w:top w:val="single" w:sz="4" w:space="0" w:color="auto"/>
              <w:left w:val="single" w:sz="4" w:space="0" w:color="auto"/>
              <w:bottom w:val="single" w:sz="4" w:space="0" w:color="auto"/>
              <w:right w:val="single" w:sz="4" w:space="0" w:color="auto"/>
            </w:tcBorders>
            <w:hideMark/>
          </w:tcPr>
          <w:p w14:paraId="1BCDB9BA"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3E5AD7C8"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hideMark/>
          </w:tcPr>
          <w:p w14:paraId="3E14EAE0"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hideMark/>
          </w:tcPr>
          <w:p w14:paraId="43835756"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20BA4E6B"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265F1FFC"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00B050"/>
            <w:hideMark/>
          </w:tcPr>
          <w:p w14:paraId="2A5ADA78"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1</w:t>
            </w:r>
          </w:p>
        </w:tc>
      </w:tr>
      <w:tr w:rsidR="00FD7DD1" w:rsidRPr="00FD7DD1" w14:paraId="3BE379C0" w14:textId="77777777" w:rsidTr="00FE5C16">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7FFA243D" w14:textId="77777777" w:rsidR="00FD7DD1" w:rsidRPr="00FD7DD1" w:rsidRDefault="00FD7DD1" w:rsidP="00FD7DD1">
            <w:pPr>
              <w:spacing w:line="276" w:lineRule="auto"/>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14:paraId="3A4D35AA"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Prevention and mitigation of conflicts</w:t>
            </w:r>
          </w:p>
        </w:tc>
        <w:tc>
          <w:tcPr>
            <w:tcW w:w="6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F109E30"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3</w:t>
            </w:r>
          </w:p>
        </w:tc>
        <w:tc>
          <w:tcPr>
            <w:tcW w:w="670" w:type="dxa"/>
            <w:tcBorders>
              <w:top w:val="single" w:sz="4" w:space="0" w:color="auto"/>
              <w:left w:val="single" w:sz="4" w:space="0" w:color="auto"/>
              <w:bottom w:val="single" w:sz="4" w:space="0" w:color="auto"/>
              <w:right w:val="single" w:sz="4" w:space="0" w:color="auto"/>
            </w:tcBorders>
            <w:hideMark/>
          </w:tcPr>
          <w:p w14:paraId="7B9172B2"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15EA2003"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hideMark/>
          </w:tcPr>
          <w:p w14:paraId="51DAC49E"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hideMark/>
          </w:tcPr>
          <w:p w14:paraId="50B5BDB6"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673BC090"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7A573F28"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FFFF00"/>
            <w:hideMark/>
          </w:tcPr>
          <w:p w14:paraId="001EE27D"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4</w:t>
            </w:r>
          </w:p>
        </w:tc>
      </w:tr>
      <w:tr w:rsidR="00FD7DD1" w:rsidRPr="00FD7DD1" w14:paraId="1673CDB9" w14:textId="77777777" w:rsidTr="00FE5C16">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20C29844" w14:textId="77777777" w:rsidR="00FD7DD1" w:rsidRPr="00FD7DD1" w:rsidRDefault="00FD7DD1" w:rsidP="00FD7DD1">
            <w:pPr>
              <w:spacing w:line="276" w:lineRule="auto"/>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14:paraId="64581E93"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Technology development</w:t>
            </w:r>
          </w:p>
        </w:tc>
        <w:tc>
          <w:tcPr>
            <w:tcW w:w="6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399DE3F"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3</w:t>
            </w:r>
          </w:p>
        </w:tc>
        <w:tc>
          <w:tcPr>
            <w:tcW w:w="670" w:type="dxa"/>
            <w:tcBorders>
              <w:top w:val="single" w:sz="4" w:space="0" w:color="auto"/>
              <w:left w:val="single" w:sz="4" w:space="0" w:color="auto"/>
              <w:bottom w:val="single" w:sz="4" w:space="0" w:color="auto"/>
              <w:right w:val="single" w:sz="4" w:space="0" w:color="auto"/>
            </w:tcBorders>
            <w:hideMark/>
          </w:tcPr>
          <w:p w14:paraId="60EFDF7E"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6D5DBEFC"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hideMark/>
          </w:tcPr>
          <w:p w14:paraId="4074BE10"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tcPr>
          <w:p w14:paraId="59AC30AC"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hideMark/>
          </w:tcPr>
          <w:p w14:paraId="3DD40D8D"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0B18B69D"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E225716"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3</w:t>
            </w:r>
          </w:p>
        </w:tc>
      </w:tr>
      <w:tr w:rsidR="00FD7DD1" w:rsidRPr="00FD7DD1" w14:paraId="5132FC69" w14:textId="77777777" w:rsidTr="00FE5C16">
        <w:trPr>
          <w:trHeight w:val="37"/>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73A7E6CE" w14:textId="77777777" w:rsidR="00FD7DD1" w:rsidRPr="00FD7DD1" w:rsidRDefault="00FD7DD1" w:rsidP="00FD7DD1">
            <w:pPr>
              <w:spacing w:line="276" w:lineRule="auto"/>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14:paraId="0B4E5A4F" w14:textId="77777777" w:rsidR="00FD7DD1" w:rsidRPr="00FD7DD1" w:rsidRDefault="00FD7DD1" w:rsidP="00FD7DD1">
            <w:pPr>
              <w:autoSpaceDE w:val="0"/>
              <w:autoSpaceDN w:val="0"/>
              <w:adjustRightInd w:val="0"/>
              <w:spacing w:line="276" w:lineRule="auto"/>
              <w:rPr>
                <w:rFonts w:ascii="Times New Roman" w:hAnsi="Times New Roman" w:cs="Times New Roman"/>
                <w:sz w:val="20"/>
                <w:szCs w:val="20"/>
              </w:rPr>
            </w:pPr>
            <w:r w:rsidRPr="00FD7DD1">
              <w:rPr>
                <w:rFonts w:ascii="Times New Roman" w:hAnsi="Times New Roman" w:cs="Times New Roman"/>
                <w:sz w:val="20"/>
                <w:szCs w:val="20"/>
              </w:rPr>
              <w:t>Corruption</w:t>
            </w:r>
          </w:p>
        </w:tc>
        <w:tc>
          <w:tcPr>
            <w:tcW w:w="669" w:type="dxa"/>
            <w:tcBorders>
              <w:top w:val="single" w:sz="4" w:space="0" w:color="auto"/>
              <w:left w:val="single" w:sz="4" w:space="0" w:color="auto"/>
              <w:bottom w:val="single" w:sz="4" w:space="0" w:color="auto"/>
              <w:right w:val="single" w:sz="4" w:space="0" w:color="auto"/>
            </w:tcBorders>
            <w:shd w:val="clear" w:color="auto" w:fill="92D050"/>
            <w:hideMark/>
          </w:tcPr>
          <w:p w14:paraId="57EB4AB6"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2</w:t>
            </w:r>
          </w:p>
        </w:tc>
        <w:tc>
          <w:tcPr>
            <w:tcW w:w="670" w:type="dxa"/>
            <w:tcBorders>
              <w:top w:val="single" w:sz="4" w:space="0" w:color="auto"/>
              <w:left w:val="single" w:sz="4" w:space="0" w:color="auto"/>
              <w:bottom w:val="single" w:sz="4" w:space="0" w:color="auto"/>
              <w:right w:val="single" w:sz="4" w:space="0" w:color="auto"/>
            </w:tcBorders>
            <w:hideMark/>
          </w:tcPr>
          <w:p w14:paraId="789E02ED"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60E343FE"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56" w:type="dxa"/>
            <w:tcBorders>
              <w:top w:val="single" w:sz="4" w:space="0" w:color="auto"/>
              <w:left w:val="single" w:sz="4" w:space="0" w:color="auto"/>
              <w:bottom w:val="single" w:sz="4" w:space="0" w:color="auto"/>
              <w:right w:val="single" w:sz="4" w:space="0" w:color="auto"/>
            </w:tcBorders>
            <w:hideMark/>
          </w:tcPr>
          <w:p w14:paraId="09B457E5"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83" w:type="dxa"/>
            <w:tcBorders>
              <w:top w:val="single" w:sz="4" w:space="0" w:color="auto"/>
              <w:left w:val="single" w:sz="4" w:space="0" w:color="auto"/>
              <w:bottom w:val="single" w:sz="4" w:space="0" w:color="auto"/>
              <w:right w:val="single" w:sz="4" w:space="0" w:color="auto"/>
            </w:tcBorders>
            <w:hideMark/>
          </w:tcPr>
          <w:p w14:paraId="669C9FE4"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21AED468"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hideMark/>
          </w:tcPr>
          <w:p w14:paraId="4B1766CF"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w:t>
            </w:r>
          </w:p>
        </w:tc>
        <w:tc>
          <w:tcPr>
            <w:tcW w:w="670" w:type="dxa"/>
            <w:tcBorders>
              <w:top w:val="single" w:sz="4" w:space="0" w:color="auto"/>
              <w:left w:val="single" w:sz="4" w:space="0" w:color="auto"/>
              <w:bottom w:val="single" w:sz="4" w:space="0" w:color="auto"/>
              <w:right w:val="single" w:sz="4" w:space="0" w:color="auto"/>
            </w:tcBorders>
            <w:shd w:val="clear" w:color="auto" w:fill="FFFF00"/>
            <w:hideMark/>
          </w:tcPr>
          <w:p w14:paraId="5BCFE28C" w14:textId="77777777" w:rsidR="00FD7DD1" w:rsidRPr="00FD7DD1" w:rsidRDefault="00FD7DD1" w:rsidP="009C55BA">
            <w:pPr>
              <w:spacing w:line="276" w:lineRule="auto"/>
              <w:jc w:val="center"/>
              <w:rPr>
                <w:rFonts w:ascii="Times New Roman" w:hAnsi="Times New Roman" w:cs="Times New Roman"/>
                <w:sz w:val="20"/>
                <w:szCs w:val="20"/>
              </w:rPr>
            </w:pPr>
            <w:r w:rsidRPr="00FD7DD1">
              <w:rPr>
                <w:rFonts w:ascii="Times New Roman" w:hAnsi="Times New Roman" w:cs="Times New Roman"/>
                <w:sz w:val="20"/>
                <w:szCs w:val="20"/>
              </w:rPr>
              <w:t>4</w:t>
            </w:r>
          </w:p>
        </w:tc>
      </w:tr>
      <w:tr w:rsidR="00FD7DD1" w:rsidRPr="00FD7DD1" w14:paraId="017C4D49" w14:textId="77777777" w:rsidTr="00FE5C16">
        <w:trPr>
          <w:trHeight w:val="37"/>
        </w:trPr>
        <w:tc>
          <w:tcPr>
            <w:tcW w:w="1528" w:type="dxa"/>
            <w:tcBorders>
              <w:top w:val="single" w:sz="4" w:space="0" w:color="auto"/>
              <w:left w:val="single" w:sz="4" w:space="0" w:color="auto"/>
              <w:bottom w:val="single" w:sz="4" w:space="0" w:color="auto"/>
              <w:right w:val="single" w:sz="4" w:space="0" w:color="auto"/>
            </w:tcBorders>
          </w:tcPr>
          <w:p w14:paraId="2C0A2309" w14:textId="77777777" w:rsidR="00FD7DD1" w:rsidRPr="00FD7DD1" w:rsidRDefault="00FD7DD1" w:rsidP="00FD7DD1">
            <w:pPr>
              <w:spacing w:line="276" w:lineRule="auto"/>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hideMark/>
          </w:tcPr>
          <w:p w14:paraId="1BEED069" w14:textId="77777777" w:rsidR="00FD7DD1" w:rsidRPr="00FD7DD1" w:rsidRDefault="00FD7DD1" w:rsidP="00FD7DD1">
            <w:pPr>
              <w:autoSpaceDE w:val="0"/>
              <w:autoSpaceDN w:val="0"/>
              <w:adjustRightInd w:val="0"/>
              <w:spacing w:line="276" w:lineRule="auto"/>
              <w:rPr>
                <w:rFonts w:ascii="Times New Roman" w:hAnsi="Times New Roman" w:cs="Times New Roman"/>
                <w:b/>
                <w:sz w:val="20"/>
                <w:szCs w:val="20"/>
              </w:rPr>
            </w:pPr>
            <w:r w:rsidRPr="00FD7DD1">
              <w:rPr>
                <w:rFonts w:ascii="Times New Roman" w:hAnsi="Times New Roman" w:cs="Times New Roman"/>
                <w:b/>
                <w:sz w:val="20"/>
                <w:szCs w:val="20"/>
              </w:rPr>
              <w:t>Amount</w:t>
            </w:r>
          </w:p>
        </w:tc>
        <w:tc>
          <w:tcPr>
            <w:tcW w:w="669" w:type="dxa"/>
            <w:tcBorders>
              <w:top w:val="single" w:sz="4" w:space="0" w:color="auto"/>
              <w:left w:val="single" w:sz="4" w:space="0" w:color="auto"/>
              <w:bottom w:val="single" w:sz="4" w:space="0" w:color="auto"/>
              <w:right w:val="single" w:sz="4" w:space="0" w:color="auto"/>
            </w:tcBorders>
          </w:tcPr>
          <w:p w14:paraId="33BE1234" w14:textId="72F3F59A" w:rsidR="00FD7DD1" w:rsidRPr="00FD7DD1" w:rsidRDefault="00A20068" w:rsidP="00A20068">
            <w:pPr>
              <w:spacing w:line="276" w:lineRule="auto"/>
              <w:rPr>
                <w:rFonts w:ascii="Times New Roman" w:hAnsi="Times New Roman" w:cs="Times New Roman"/>
                <w:sz w:val="20"/>
                <w:szCs w:val="20"/>
              </w:rPr>
            </w:pPr>
            <w:r>
              <w:rPr>
                <w:rFonts w:ascii="Times New Roman" w:hAnsi="Times New Roman" w:cs="Times New Roman"/>
                <w:sz w:val="20"/>
                <w:szCs w:val="20"/>
              </w:rPr>
              <w:t>2,6</w:t>
            </w:r>
          </w:p>
        </w:tc>
        <w:tc>
          <w:tcPr>
            <w:tcW w:w="670" w:type="dxa"/>
            <w:tcBorders>
              <w:top w:val="single" w:sz="4" w:space="0" w:color="auto"/>
              <w:left w:val="single" w:sz="4" w:space="0" w:color="auto"/>
              <w:bottom w:val="single" w:sz="4" w:space="0" w:color="auto"/>
              <w:right w:val="nil"/>
            </w:tcBorders>
          </w:tcPr>
          <w:p w14:paraId="1DCD285D"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nil"/>
              <w:bottom w:val="single" w:sz="4" w:space="0" w:color="auto"/>
              <w:right w:val="nil"/>
            </w:tcBorders>
          </w:tcPr>
          <w:p w14:paraId="62923899" w14:textId="77777777" w:rsidR="00FD7DD1" w:rsidRPr="00FD7DD1" w:rsidRDefault="00FD7DD1" w:rsidP="009C55BA">
            <w:pPr>
              <w:spacing w:line="276" w:lineRule="auto"/>
              <w:jc w:val="center"/>
              <w:rPr>
                <w:rFonts w:ascii="Times New Roman" w:hAnsi="Times New Roman" w:cs="Times New Roman"/>
                <w:sz w:val="20"/>
                <w:szCs w:val="20"/>
              </w:rPr>
            </w:pPr>
          </w:p>
        </w:tc>
        <w:tc>
          <w:tcPr>
            <w:tcW w:w="656" w:type="dxa"/>
            <w:tcBorders>
              <w:top w:val="single" w:sz="4" w:space="0" w:color="auto"/>
              <w:left w:val="nil"/>
              <w:bottom w:val="single" w:sz="4" w:space="0" w:color="auto"/>
              <w:right w:val="nil"/>
            </w:tcBorders>
          </w:tcPr>
          <w:p w14:paraId="1E9223FE" w14:textId="77777777" w:rsidR="00FD7DD1" w:rsidRPr="00FD7DD1" w:rsidRDefault="00FD7DD1" w:rsidP="009C55BA">
            <w:pPr>
              <w:spacing w:line="276" w:lineRule="auto"/>
              <w:jc w:val="center"/>
              <w:rPr>
                <w:rFonts w:ascii="Times New Roman" w:hAnsi="Times New Roman" w:cs="Times New Roman"/>
                <w:sz w:val="20"/>
                <w:szCs w:val="20"/>
              </w:rPr>
            </w:pPr>
          </w:p>
        </w:tc>
        <w:tc>
          <w:tcPr>
            <w:tcW w:w="683" w:type="dxa"/>
            <w:tcBorders>
              <w:top w:val="single" w:sz="4" w:space="0" w:color="auto"/>
              <w:left w:val="nil"/>
              <w:bottom w:val="single" w:sz="4" w:space="0" w:color="auto"/>
              <w:right w:val="nil"/>
            </w:tcBorders>
          </w:tcPr>
          <w:p w14:paraId="677B9C04"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nil"/>
              <w:bottom w:val="single" w:sz="4" w:space="0" w:color="auto"/>
              <w:right w:val="nil"/>
            </w:tcBorders>
          </w:tcPr>
          <w:p w14:paraId="0C1D3001"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nil"/>
              <w:bottom w:val="single" w:sz="4" w:space="0" w:color="auto"/>
              <w:right w:val="single" w:sz="4" w:space="0" w:color="auto"/>
            </w:tcBorders>
          </w:tcPr>
          <w:p w14:paraId="56C75514"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14:paraId="3817BB61" w14:textId="55FFFEC3" w:rsidR="00FD7DD1" w:rsidRPr="00FD7DD1" w:rsidRDefault="009F54AC" w:rsidP="009C55BA">
            <w:pPr>
              <w:spacing w:line="276" w:lineRule="auto"/>
              <w:jc w:val="center"/>
              <w:rPr>
                <w:rFonts w:ascii="Times New Roman" w:hAnsi="Times New Roman" w:cs="Times New Roman"/>
                <w:sz w:val="20"/>
                <w:szCs w:val="20"/>
              </w:rPr>
            </w:pPr>
            <w:r>
              <w:rPr>
                <w:rFonts w:ascii="Times New Roman" w:hAnsi="Times New Roman" w:cs="Times New Roman"/>
                <w:sz w:val="20"/>
                <w:szCs w:val="20"/>
              </w:rPr>
              <w:t>3.</w:t>
            </w:r>
            <w:r w:rsidR="00FD7DD1" w:rsidRPr="00FD7DD1">
              <w:rPr>
                <w:rFonts w:ascii="Times New Roman" w:hAnsi="Times New Roman" w:cs="Times New Roman"/>
                <w:sz w:val="20"/>
                <w:szCs w:val="20"/>
              </w:rPr>
              <w:t>4</w:t>
            </w:r>
          </w:p>
        </w:tc>
      </w:tr>
      <w:tr w:rsidR="00FD7DD1" w:rsidRPr="00FD7DD1" w14:paraId="34188B71" w14:textId="77777777" w:rsidTr="00FE5C16">
        <w:trPr>
          <w:trHeight w:val="37"/>
        </w:trPr>
        <w:tc>
          <w:tcPr>
            <w:tcW w:w="1528" w:type="dxa"/>
            <w:tcBorders>
              <w:top w:val="single" w:sz="4" w:space="0" w:color="auto"/>
              <w:left w:val="single" w:sz="4" w:space="0" w:color="auto"/>
              <w:bottom w:val="single" w:sz="4" w:space="0" w:color="auto"/>
              <w:right w:val="single" w:sz="4" w:space="0" w:color="auto"/>
            </w:tcBorders>
          </w:tcPr>
          <w:p w14:paraId="18ADA338" w14:textId="77777777" w:rsidR="00FD7DD1" w:rsidRPr="00FD7DD1" w:rsidRDefault="00FD7DD1" w:rsidP="00FD7DD1">
            <w:pPr>
              <w:spacing w:line="276" w:lineRule="auto"/>
              <w:rPr>
                <w:rFonts w:ascii="Times New Roman" w:hAnsi="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tcPr>
          <w:p w14:paraId="585B4993" w14:textId="77777777" w:rsidR="00FD7DD1" w:rsidRPr="00FD7DD1" w:rsidRDefault="00FD7DD1" w:rsidP="00FD7DD1">
            <w:pPr>
              <w:autoSpaceDE w:val="0"/>
              <w:autoSpaceDN w:val="0"/>
              <w:adjustRightInd w:val="0"/>
              <w:spacing w:line="276" w:lineRule="auto"/>
              <w:rPr>
                <w:rFonts w:ascii="Times New Roman" w:hAnsi="Times New Roman" w:cs="Times New Roman"/>
                <w:b/>
                <w:sz w:val="20"/>
                <w:szCs w:val="20"/>
              </w:rPr>
            </w:pPr>
            <w:r w:rsidRPr="00FD7DD1">
              <w:rPr>
                <w:rFonts w:ascii="Times New Roman" w:hAnsi="Times New Roman" w:cs="Times New Roman"/>
                <w:b/>
                <w:sz w:val="20"/>
                <w:szCs w:val="20"/>
              </w:rPr>
              <w:t>Total amount</w:t>
            </w:r>
          </w:p>
        </w:tc>
        <w:tc>
          <w:tcPr>
            <w:tcW w:w="669" w:type="dxa"/>
            <w:tcBorders>
              <w:top w:val="single" w:sz="4" w:space="0" w:color="auto"/>
              <w:left w:val="single" w:sz="4" w:space="0" w:color="auto"/>
              <w:bottom w:val="single" w:sz="4" w:space="0" w:color="auto"/>
              <w:right w:val="single" w:sz="4" w:space="0" w:color="auto"/>
            </w:tcBorders>
          </w:tcPr>
          <w:p w14:paraId="41227484" w14:textId="5AA4C370" w:rsidR="00FD7DD1" w:rsidRPr="00FD7DD1" w:rsidRDefault="00A20068" w:rsidP="00A20068">
            <w:pPr>
              <w:spacing w:line="276" w:lineRule="auto"/>
              <w:rPr>
                <w:rFonts w:ascii="Times New Roman" w:hAnsi="Times New Roman" w:cs="Times New Roman"/>
                <w:sz w:val="20"/>
                <w:szCs w:val="20"/>
              </w:rPr>
            </w:pPr>
            <w:r>
              <w:rPr>
                <w:rFonts w:ascii="Times New Roman" w:hAnsi="Times New Roman" w:cs="Times New Roman"/>
                <w:sz w:val="20"/>
                <w:szCs w:val="20"/>
              </w:rPr>
              <w:t>2,8</w:t>
            </w:r>
          </w:p>
        </w:tc>
        <w:tc>
          <w:tcPr>
            <w:tcW w:w="670" w:type="dxa"/>
            <w:tcBorders>
              <w:top w:val="single" w:sz="4" w:space="0" w:color="auto"/>
              <w:left w:val="single" w:sz="4" w:space="0" w:color="auto"/>
              <w:bottom w:val="nil"/>
              <w:right w:val="nil"/>
            </w:tcBorders>
          </w:tcPr>
          <w:p w14:paraId="61DCC185"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nil"/>
              <w:bottom w:val="nil"/>
              <w:right w:val="nil"/>
            </w:tcBorders>
          </w:tcPr>
          <w:p w14:paraId="6CF8F5C9" w14:textId="77777777" w:rsidR="00FD7DD1" w:rsidRPr="00FD7DD1" w:rsidRDefault="00FD7DD1" w:rsidP="009C55BA">
            <w:pPr>
              <w:spacing w:line="276" w:lineRule="auto"/>
              <w:jc w:val="center"/>
              <w:rPr>
                <w:rFonts w:ascii="Times New Roman" w:hAnsi="Times New Roman" w:cs="Times New Roman"/>
                <w:sz w:val="20"/>
                <w:szCs w:val="20"/>
              </w:rPr>
            </w:pPr>
          </w:p>
        </w:tc>
        <w:tc>
          <w:tcPr>
            <w:tcW w:w="656" w:type="dxa"/>
            <w:tcBorders>
              <w:top w:val="single" w:sz="4" w:space="0" w:color="auto"/>
              <w:left w:val="nil"/>
              <w:bottom w:val="nil"/>
              <w:right w:val="nil"/>
            </w:tcBorders>
          </w:tcPr>
          <w:p w14:paraId="25FA247F" w14:textId="77777777" w:rsidR="00FD7DD1" w:rsidRPr="00FD7DD1" w:rsidRDefault="00FD7DD1" w:rsidP="009C55BA">
            <w:pPr>
              <w:spacing w:line="276" w:lineRule="auto"/>
              <w:jc w:val="center"/>
              <w:rPr>
                <w:rFonts w:ascii="Times New Roman" w:hAnsi="Times New Roman" w:cs="Times New Roman"/>
                <w:sz w:val="20"/>
                <w:szCs w:val="20"/>
              </w:rPr>
            </w:pPr>
          </w:p>
        </w:tc>
        <w:tc>
          <w:tcPr>
            <w:tcW w:w="683" w:type="dxa"/>
            <w:tcBorders>
              <w:top w:val="single" w:sz="4" w:space="0" w:color="auto"/>
              <w:left w:val="nil"/>
              <w:bottom w:val="nil"/>
              <w:right w:val="nil"/>
            </w:tcBorders>
          </w:tcPr>
          <w:p w14:paraId="0856D503"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nil"/>
              <w:bottom w:val="nil"/>
              <w:right w:val="nil"/>
            </w:tcBorders>
          </w:tcPr>
          <w:p w14:paraId="06368266"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nil"/>
              <w:bottom w:val="nil"/>
              <w:right w:val="single" w:sz="4" w:space="0" w:color="auto"/>
            </w:tcBorders>
          </w:tcPr>
          <w:p w14:paraId="74354045" w14:textId="77777777" w:rsidR="00FD7DD1" w:rsidRPr="00FD7DD1" w:rsidRDefault="00FD7DD1" w:rsidP="009C55BA">
            <w:pPr>
              <w:spacing w:line="276" w:lineRule="auto"/>
              <w:jc w:val="cente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14:paraId="39EF8044" w14:textId="564183FD" w:rsidR="00FD7DD1" w:rsidRPr="00FD7DD1" w:rsidRDefault="009F54AC" w:rsidP="00A20068">
            <w:pPr>
              <w:spacing w:line="276" w:lineRule="auto"/>
              <w:jc w:val="center"/>
              <w:rPr>
                <w:rFonts w:ascii="Times New Roman" w:hAnsi="Times New Roman" w:cs="Times New Roman"/>
                <w:sz w:val="20"/>
                <w:szCs w:val="20"/>
              </w:rPr>
            </w:pPr>
            <w:r>
              <w:rPr>
                <w:rFonts w:ascii="Times New Roman" w:hAnsi="Times New Roman" w:cs="Times New Roman"/>
                <w:sz w:val="20"/>
                <w:szCs w:val="20"/>
              </w:rPr>
              <w:t>3.</w:t>
            </w:r>
            <w:r w:rsidR="00FD7DD1" w:rsidRPr="00FD7DD1">
              <w:rPr>
                <w:rFonts w:ascii="Times New Roman" w:hAnsi="Times New Roman" w:cs="Times New Roman"/>
                <w:sz w:val="20"/>
                <w:szCs w:val="20"/>
              </w:rPr>
              <w:t>7</w:t>
            </w:r>
            <w:r w:rsidR="00A20068">
              <w:rPr>
                <w:rFonts w:ascii="Times New Roman" w:hAnsi="Times New Roman" w:cs="Times New Roman"/>
                <w:sz w:val="20"/>
                <w:szCs w:val="20"/>
              </w:rPr>
              <w:t>8</w:t>
            </w:r>
          </w:p>
        </w:tc>
      </w:tr>
    </w:tbl>
    <w:p w14:paraId="2CAA469E" w14:textId="55870737" w:rsidR="00FD7DD1" w:rsidRPr="00FD7DD1" w:rsidRDefault="00FD7DD1" w:rsidP="00FD7DD1">
      <w:pPr>
        <w:spacing w:line="360" w:lineRule="auto"/>
        <w:rPr>
          <w:rFonts w:ascii="Times New Roman" w:hAnsi="Times New Roman" w:cs="Times New Roman"/>
          <w:b/>
          <w:sz w:val="20"/>
          <w:szCs w:val="20"/>
        </w:rPr>
      </w:pPr>
      <w:r w:rsidRPr="00561F9A">
        <w:rPr>
          <w:rFonts w:ascii="Times New Roman" w:hAnsi="Times New Roman" w:cs="Times New Roman"/>
          <w:b/>
          <w:sz w:val="16"/>
          <w:szCs w:val="16"/>
        </w:rPr>
        <w:t>Table 4 – Social Impact Assessment Table International Sourcing</w:t>
      </w:r>
      <w:r w:rsidRPr="00FD7DD1">
        <w:rPr>
          <w:rFonts w:ascii="Times New Roman" w:hAnsi="Times New Roman" w:cs="Times New Roman"/>
          <w:sz w:val="20"/>
          <w:szCs w:val="20"/>
        </w:rPr>
        <w:br/>
      </w:r>
      <w:r w:rsidRPr="00FD7DD1">
        <w:rPr>
          <w:rFonts w:ascii="Times New Roman" w:hAnsi="Times New Roman" w:cs="Times New Roman"/>
          <w:sz w:val="20"/>
          <w:szCs w:val="20"/>
        </w:rPr>
        <w:br/>
      </w:r>
      <w:r w:rsidR="008B6040">
        <w:rPr>
          <w:rFonts w:ascii="Times New Roman" w:hAnsi="Times New Roman" w:cs="Times New Roman"/>
          <w:sz w:val="20"/>
          <w:szCs w:val="20"/>
        </w:rPr>
        <w:t>‘</w:t>
      </w:r>
      <w:r w:rsidRPr="00FD7DD1">
        <w:rPr>
          <w:rFonts w:ascii="Times New Roman" w:hAnsi="Times New Roman" w:cs="Times New Roman"/>
          <w:sz w:val="20"/>
          <w:szCs w:val="20"/>
        </w:rPr>
        <w:t>+</w:t>
      </w:r>
      <w:r w:rsidR="008B6040">
        <w:rPr>
          <w:rFonts w:ascii="Times New Roman" w:hAnsi="Times New Roman" w:cs="Times New Roman"/>
          <w:sz w:val="20"/>
          <w:szCs w:val="20"/>
        </w:rPr>
        <w:t>’</w:t>
      </w:r>
      <w:r w:rsidRPr="00FD7DD1">
        <w:rPr>
          <w:rFonts w:ascii="Times New Roman" w:hAnsi="Times New Roman" w:cs="Times New Roman"/>
          <w:sz w:val="20"/>
          <w:szCs w:val="20"/>
        </w:rPr>
        <w:t xml:space="preserve"> =  major impact; </w:t>
      </w:r>
      <w:r w:rsidR="008B6040">
        <w:rPr>
          <w:rFonts w:ascii="Times New Roman" w:hAnsi="Times New Roman" w:cs="Times New Roman"/>
          <w:sz w:val="20"/>
          <w:szCs w:val="20"/>
        </w:rPr>
        <w:t>‘</w:t>
      </w:r>
      <w:r w:rsidRPr="00FD7DD1">
        <w:rPr>
          <w:rFonts w:ascii="Times New Roman" w:hAnsi="Times New Roman" w:cs="Times New Roman"/>
          <w:sz w:val="20"/>
          <w:szCs w:val="20"/>
        </w:rPr>
        <w:t>-</w:t>
      </w:r>
      <w:r w:rsidR="008B6040">
        <w:rPr>
          <w:rFonts w:ascii="Times New Roman" w:hAnsi="Times New Roman" w:cs="Times New Roman"/>
          <w:sz w:val="20"/>
          <w:szCs w:val="20"/>
        </w:rPr>
        <w:t>‘</w:t>
      </w:r>
      <w:r w:rsidRPr="00FD7DD1">
        <w:rPr>
          <w:rFonts w:ascii="Times New Roman" w:hAnsi="Times New Roman" w:cs="Times New Roman"/>
          <w:sz w:val="20"/>
          <w:szCs w:val="20"/>
        </w:rPr>
        <w:t xml:space="preserve"> = minor impact</w:t>
      </w:r>
      <w:r w:rsidRPr="00FD7DD1">
        <w:rPr>
          <w:rFonts w:ascii="Times New Roman" w:hAnsi="Times New Roman" w:cs="Times New Roman"/>
          <w:b/>
          <w:sz w:val="20"/>
          <w:szCs w:val="20"/>
        </w:rPr>
        <w:t xml:space="preserve"> </w:t>
      </w:r>
      <w:r w:rsidR="008B6040">
        <w:rPr>
          <w:rFonts w:ascii="Times New Roman" w:hAnsi="Times New Roman" w:cs="Times New Roman"/>
          <w:sz w:val="20"/>
          <w:szCs w:val="20"/>
        </w:rPr>
        <w:t>; ‘ ’= no impact</w:t>
      </w:r>
      <w:r w:rsidRPr="00FD7DD1">
        <w:rPr>
          <w:rStyle w:val="Funotenzeichen"/>
          <w:rFonts w:ascii="Times New Roman" w:hAnsi="Times New Roman" w:cs="Times New Roman"/>
          <w:b/>
          <w:sz w:val="20"/>
          <w:szCs w:val="20"/>
        </w:rPr>
        <w:footnoteReference w:id="41"/>
      </w:r>
    </w:p>
    <w:p w14:paraId="1B63E9B3" w14:textId="77777777" w:rsidR="00FD7DD1" w:rsidRPr="00FD7DD1" w:rsidRDefault="00FD7DD1" w:rsidP="00FD7DD1">
      <w:pPr>
        <w:spacing w:line="360" w:lineRule="auto"/>
        <w:rPr>
          <w:rFonts w:ascii="Times New Roman" w:hAnsi="Times New Roman" w:cs="Times New Roman"/>
          <w:sz w:val="20"/>
          <w:szCs w:val="20"/>
        </w:rPr>
      </w:pPr>
      <w:r w:rsidRPr="00FD7DD1">
        <w:rPr>
          <w:rFonts w:ascii="Times New Roman" w:hAnsi="Times New Roman" w:cs="Times New Roman"/>
          <w:sz w:val="20"/>
          <w:szCs w:val="20"/>
        </w:rPr>
        <w:br w:type="page"/>
      </w:r>
    </w:p>
    <w:p w14:paraId="63094ABF" w14:textId="77777777" w:rsidR="00FD7DD1" w:rsidRPr="00861854" w:rsidRDefault="00FD7DD1" w:rsidP="00861854">
      <w:pPr>
        <w:pStyle w:val="berschrift1"/>
        <w:spacing w:after="240" w:line="360" w:lineRule="auto"/>
        <w:rPr>
          <w:rFonts w:ascii="Times New Roman" w:hAnsi="Times New Roman" w:cs="Times New Roman"/>
          <w:color w:val="auto"/>
          <w:sz w:val="20"/>
          <w:szCs w:val="20"/>
        </w:rPr>
      </w:pPr>
      <w:r w:rsidRPr="00861854">
        <w:rPr>
          <w:rFonts w:ascii="Times New Roman" w:hAnsi="Times New Roman" w:cs="Times New Roman"/>
          <w:color w:val="auto"/>
          <w:sz w:val="20"/>
          <w:szCs w:val="20"/>
        </w:rPr>
        <w:lastRenderedPageBreak/>
        <w:t>Section 3.  LCC</w:t>
      </w:r>
    </w:p>
    <w:p w14:paraId="76856F9A" w14:textId="77777777" w:rsidR="00FD7DD1" w:rsidRPr="00FD7DD1" w:rsidRDefault="00FD7DD1" w:rsidP="00861854">
      <w:pPr>
        <w:pStyle w:val="berschrift1"/>
        <w:spacing w:before="0" w:after="200" w:line="360" w:lineRule="auto"/>
        <w:rPr>
          <w:rStyle w:val="berschrift2Zchn"/>
          <w:rFonts w:ascii="Times New Roman" w:hAnsi="Times New Roman" w:cs="Times New Roman"/>
          <w:b/>
          <w:bCs/>
          <w:color w:val="auto"/>
          <w:sz w:val="20"/>
          <w:szCs w:val="20"/>
          <w:u w:val="single"/>
        </w:rPr>
      </w:pPr>
      <w:r w:rsidRPr="00FD7DD1">
        <w:rPr>
          <w:rStyle w:val="berschrift2Zchn"/>
          <w:rFonts w:ascii="Times New Roman" w:hAnsi="Times New Roman" w:cs="Times New Roman"/>
          <w:b/>
          <w:color w:val="auto"/>
          <w:sz w:val="20"/>
          <w:szCs w:val="20"/>
        </w:rPr>
        <w:t>Inventory data</w:t>
      </w:r>
    </w:p>
    <w:p w14:paraId="78176E90" w14:textId="77777777" w:rsidR="00FD7DD1" w:rsidRPr="00FD7DD1" w:rsidRDefault="00FD7DD1" w:rsidP="00FD7DD1">
      <w:pPr>
        <w:spacing w:line="360" w:lineRule="auto"/>
        <w:rPr>
          <w:rFonts w:ascii="Times New Roman" w:eastAsiaTheme="majorEastAsia" w:hAnsi="Times New Roman" w:cs="Times New Roman"/>
          <w:b/>
          <w:bCs/>
          <w:sz w:val="20"/>
          <w:szCs w:val="20"/>
        </w:rPr>
      </w:pPr>
      <w:r w:rsidRPr="00FD7DD1">
        <w:rPr>
          <w:rFonts w:ascii="Times New Roman" w:hAnsi="Times New Roman" w:cs="Times New Roman"/>
          <w:noProof/>
          <w:sz w:val="20"/>
          <w:szCs w:val="20"/>
          <w:lang w:eastAsia="en-GB"/>
        </w:rPr>
        <w:t xml:space="preserve">The table below presents general data concerning the transportation costs from the manufacturing facility to the final destination (i.e., the refugee camps in Dadaab and Kakuma respectively). </w:t>
      </w:r>
    </w:p>
    <w:tbl>
      <w:tblPr>
        <w:tblStyle w:val="Tabellenraster"/>
        <w:tblW w:w="9072" w:type="dxa"/>
        <w:tblInd w:w="108" w:type="dxa"/>
        <w:tblLook w:val="04A0" w:firstRow="1" w:lastRow="0" w:firstColumn="1" w:lastColumn="0" w:noHBand="0" w:noVBand="1"/>
      </w:tblPr>
      <w:tblGrid>
        <w:gridCol w:w="2322"/>
        <w:gridCol w:w="1161"/>
        <w:gridCol w:w="1161"/>
        <w:gridCol w:w="1161"/>
        <w:gridCol w:w="1161"/>
        <w:gridCol w:w="1053"/>
        <w:gridCol w:w="1053"/>
      </w:tblGrid>
      <w:tr w:rsidR="00FD7DD1" w:rsidRPr="00FD7DD1" w14:paraId="0CB439DE" w14:textId="77777777" w:rsidTr="00FE5C16">
        <w:tc>
          <w:tcPr>
            <w:tcW w:w="2322" w:type="dxa"/>
            <w:shd w:val="clear" w:color="auto" w:fill="B8CCE4" w:themeFill="accent1" w:themeFillTint="66"/>
          </w:tcPr>
          <w:p w14:paraId="35F981D3" w14:textId="77777777" w:rsidR="00FD7DD1" w:rsidRPr="00FD7DD1" w:rsidRDefault="00FD7DD1" w:rsidP="00FD7DD1">
            <w:pPr>
              <w:spacing w:line="276" w:lineRule="auto"/>
              <w:jc w:val="right"/>
              <w:rPr>
                <w:rFonts w:ascii="Times New Roman" w:eastAsia="Times New Roman" w:hAnsi="Times New Roman" w:cs="Times New Roman"/>
                <w:b/>
                <w:sz w:val="20"/>
                <w:szCs w:val="20"/>
                <w:lang w:eastAsia="en-GB"/>
              </w:rPr>
            </w:pPr>
            <w:r w:rsidRPr="00FD7DD1">
              <w:rPr>
                <w:rFonts w:ascii="Times New Roman" w:eastAsia="Times New Roman" w:hAnsi="Times New Roman" w:cs="Times New Roman"/>
                <w:b/>
                <w:sz w:val="20"/>
                <w:szCs w:val="20"/>
                <w:lang w:eastAsia="en-GB"/>
              </w:rPr>
              <w:t>Stage</w:t>
            </w:r>
          </w:p>
        </w:tc>
        <w:tc>
          <w:tcPr>
            <w:tcW w:w="2322" w:type="dxa"/>
            <w:gridSpan w:val="2"/>
            <w:shd w:val="clear" w:color="auto" w:fill="B8CCE4" w:themeFill="accent1" w:themeFillTint="66"/>
          </w:tcPr>
          <w:p w14:paraId="3FF64AB4" w14:textId="77777777" w:rsidR="00FD7DD1" w:rsidRPr="00FD7DD1" w:rsidRDefault="00FD7DD1" w:rsidP="00FD7DD1">
            <w:pPr>
              <w:spacing w:line="276" w:lineRule="auto"/>
              <w:jc w:val="center"/>
              <w:rPr>
                <w:rFonts w:ascii="Times New Roman" w:eastAsia="Times New Roman" w:hAnsi="Times New Roman" w:cs="Times New Roman"/>
                <w:b/>
                <w:sz w:val="20"/>
                <w:szCs w:val="20"/>
                <w:lang w:eastAsia="en-GB"/>
              </w:rPr>
            </w:pPr>
            <w:r w:rsidRPr="00FD7DD1">
              <w:rPr>
                <w:rFonts w:ascii="Times New Roman" w:eastAsia="Times New Roman" w:hAnsi="Times New Roman" w:cs="Times New Roman"/>
                <w:b/>
                <w:sz w:val="20"/>
                <w:szCs w:val="20"/>
                <w:lang w:eastAsia="en-GB"/>
              </w:rPr>
              <w:t>India to Nairobi</w:t>
            </w:r>
          </w:p>
        </w:tc>
        <w:tc>
          <w:tcPr>
            <w:tcW w:w="2322" w:type="dxa"/>
            <w:gridSpan w:val="2"/>
            <w:shd w:val="clear" w:color="auto" w:fill="B8CCE4" w:themeFill="accent1" w:themeFillTint="66"/>
          </w:tcPr>
          <w:p w14:paraId="669CA711" w14:textId="77777777" w:rsidR="00FD7DD1" w:rsidRPr="00FD7DD1" w:rsidRDefault="00FD7DD1" w:rsidP="00FD7DD1">
            <w:pPr>
              <w:spacing w:line="276" w:lineRule="auto"/>
              <w:jc w:val="center"/>
              <w:rPr>
                <w:rFonts w:ascii="Times New Roman" w:eastAsia="Times New Roman" w:hAnsi="Times New Roman" w:cs="Times New Roman"/>
                <w:b/>
                <w:sz w:val="20"/>
                <w:szCs w:val="20"/>
                <w:lang w:eastAsia="en-GB"/>
              </w:rPr>
            </w:pPr>
            <w:r w:rsidRPr="00FD7DD1">
              <w:rPr>
                <w:rFonts w:ascii="Times New Roman" w:eastAsia="Times New Roman" w:hAnsi="Times New Roman" w:cs="Times New Roman"/>
                <w:b/>
                <w:sz w:val="20"/>
                <w:szCs w:val="20"/>
                <w:lang w:eastAsia="en-GB"/>
              </w:rPr>
              <w:t>Nairobi to Dadaab</w:t>
            </w:r>
          </w:p>
        </w:tc>
        <w:tc>
          <w:tcPr>
            <w:tcW w:w="2106" w:type="dxa"/>
            <w:gridSpan w:val="2"/>
            <w:shd w:val="clear" w:color="auto" w:fill="B8CCE4" w:themeFill="accent1" w:themeFillTint="66"/>
          </w:tcPr>
          <w:p w14:paraId="22C2228D" w14:textId="77777777" w:rsidR="00FD7DD1" w:rsidRPr="00FD7DD1" w:rsidRDefault="00FD7DD1" w:rsidP="00FD7DD1">
            <w:pPr>
              <w:spacing w:line="276" w:lineRule="auto"/>
              <w:jc w:val="center"/>
              <w:rPr>
                <w:rFonts w:ascii="Times New Roman" w:eastAsia="Times New Roman" w:hAnsi="Times New Roman" w:cs="Times New Roman"/>
                <w:b/>
                <w:sz w:val="20"/>
                <w:szCs w:val="20"/>
                <w:lang w:eastAsia="en-GB"/>
              </w:rPr>
            </w:pPr>
            <w:r w:rsidRPr="00FD7DD1">
              <w:rPr>
                <w:rFonts w:ascii="Times New Roman" w:eastAsia="Times New Roman" w:hAnsi="Times New Roman" w:cs="Times New Roman"/>
                <w:b/>
                <w:sz w:val="20"/>
                <w:szCs w:val="20"/>
                <w:lang w:eastAsia="en-GB"/>
              </w:rPr>
              <w:t>Nairobi to Kakuma</w:t>
            </w:r>
          </w:p>
        </w:tc>
      </w:tr>
      <w:tr w:rsidR="00FD7DD1" w:rsidRPr="00FD7DD1" w14:paraId="1ADC70B1" w14:textId="77777777" w:rsidTr="00FE5C16">
        <w:tc>
          <w:tcPr>
            <w:tcW w:w="2322" w:type="dxa"/>
            <w:shd w:val="clear" w:color="auto" w:fill="DDD9C3" w:themeFill="background2" w:themeFillShade="E6"/>
          </w:tcPr>
          <w:p w14:paraId="791CA76D" w14:textId="77777777" w:rsidR="00FD7DD1" w:rsidRPr="00FD7DD1" w:rsidRDefault="00FD7DD1" w:rsidP="00FD7DD1">
            <w:pPr>
              <w:spacing w:line="276" w:lineRule="auto"/>
              <w:rPr>
                <w:rFonts w:ascii="Times New Roman" w:eastAsia="Times New Roman" w:hAnsi="Times New Roman" w:cs="Times New Roman"/>
                <w:b/>
                <w:sz w:val="20"/>
                <w:szCs w:val="20"/>
                <w:lang w:eastAsia="en-GB"/>
              </w:rPr>
            </w:pPr>
            <w:r w:rsidRPr="00FD7DD1">
              <w:rPr>
                <w:rFonts w:ascii="Times New Roman" w:eastAsia="Times New Roman" w:hAnsi="Times New Roman" w:cs="Times New Roman"/>
                <w:b/>
                <w:sz w:val="20"/>
                <w:szCs w:val="20"/>
                <w:lang w:eastAsia="en-GB"/>
              </w:rPr>
              <w:t xml:space="preserve">Container size/ </w:t>
            </w:r>
            <w:r w:rsidRPr="00FD7DD1">
              <w:rPr>
                <w:rFonts w:ascii="Times New Roman" w:eastAsia="Times New Roman" w:hAnsi="Times New Roman" w:cs="Times New Roman"/>
                <w:b/>
                <w:sz w:val="20"/>
                <w:szCs w:val="20"/>
                <w:lang w:eastAsia="en-GB"/>
              </w:rPr>
              <w:br/>
              <w:t>pallets</w:t>
            </w:r>
          </w:p>
        </w:tc>
        <w:tc>
          <w:tcPr>
            <w:tcW w:w="1161" w:type="dxa"/>
            <w:shd w:val="clear" w:color="auto" w:fill="B8CCE4" w:themeFill="accent1" w:themeFillTint="66"/>
            <w:vAlign w:val="center"/>
          </w:tcPr>
          <w:p w14:paraId="5B500020" w14:textId="77777777" w:rsidR="00FD7DD1" w:rsidRPr="00FD7DD1" w:rsidRDefault="00FD7DD1" w:rsidP="00FD7DD1">
            <w:pPr>
              <w:spacing w:line="276" w:lineRule="auto"/>
              <w:jc w:val="center"/>
              <w:rPr>
                <w:rFonts w:ascii="Times New Roman" w:eastAsia="Times New Roman" w:hAnsi="Times New Roman" w:cs="Times New Roman"/>
                <w:i/>
                <w:sz w:val="20"/>
                <w:szCs w:val="20"/>
                <w:lang w:eastAsia="en-GB"/>
              </w:rPr>
            </w:pPr>
            <w:r w:rsidRPr="00FD7DD1">
              <w:rPr>
                <w:rFonts w:ascii="Times New Roman" w:eastAsia="Times New Roman" w:hAnsi="Times New Roman" w:cs="Times New Roman"/>
                <w:i/>
                <w:sz w:val="20"/>
                <w:szCs w:val="20"/>
                <w:lang w:eastAsia="en-GB"/>
              </w:rPr>
              <w:t>Per unit</w:t>
            </w:r>
          </w:p>
        </w:tc>
        <w:tc>
          <w:tcPr>
            <w:tcW w:w="1161" w:type="dxa"/>
            <w:shd w:val="clear" w:color="auto" w:fill="B8CCE4" w:themeFill="accent1" w:themeFillTint="66"/>
            <w:vAlign w:val="center"/>
          </w:tcPr>
          <w:p w14:paraId="2721AB76" w14:textId="77777777" w:rsidR="00FD7DD1" w:rsidRPr="00FD7DD1" w:rsidRDefault="00FD7DD1" w:rsidP="00FD7DD1">
            <w:pPr>
              <w:spacing w:line="276" w:lineRule="auto"/>
              <w:jc w:val="center"/>
              <w:rPr>
                <w:rFonts w:ascii="Times New Roman" w:eastAsia="Times New Roman" w:hAnsi="Times New Roman" w:cs="Times New Roman"/>
                <w:i/>
                <w:sz w:val="20"/>
                <w:szCs w:val="20"/>
                <w:lang w:eastAsia="en-GB"/>
              </w:rPr>
            </w:pPr>
            <w:r w:rsidRPr="00FD7DD1">
              <w:rPr>
                <w:rFonts w:ascii="Times New Roman" w:eastAsia="Times New Roman" w:hAnsi="Times New Roman" w:cs="Times New Roman"/>
                <w:i/>
                <w:sz w:val="20"/>
                <w:szCs w:val="20"/>
                <w:lang w:eastAsia="en-GB"/>
              </w:rPr>
              <w:t>Total</w:t>
            </w:r>
          </w:p>
        </w:tc>
        <w:tc>
          <w:tcPr>
            <w:tcW w:w="1161" w:type="dxa"/>
            <w:shd w:val="clear" w:color="auto" w:fill="B8CCE4" w:themeFill="accent1" w:themeFillTint="66"/>
            <w:vAlign w:val="center"/>
          </w:tcPr>
          <w:p w14:paraId="51BB8D8E" w14:textId="77777777" w:rsidR="00FD7DD1" w:rsidRPr="00FD7DD1" w:rsidRDefault="00FD7DD1" w:rsidP="00FD7DD1">
            <w:pPr>
              <w:spacing w:line="276" w:lineRule="auto"/>
              <w:jc w:val="center"/>
              <w:rPr>
                <w:rFonts w:ascii="Times New Roman" w:eastAsia="Times New Roman" w:hAnsi="Times New Roman" w:cs="Times New Roman"/>
                <w:i/>
                <w:sz w:val="20"/>
                <w:szCs w:val="20"/>
                <w:lang w:eastAsia="en-GB"/>
              </w:rPr>
            </w:pPr>
            <w:r w:rsidRPr="00FD7DD1">
              <w:rPr>
                <w:rFonts w:ascii="Times New Roman" w:eastAsia="Times New Roman" w:hAnsi="Times New Roman" w:cs="Times New Roman"/>
                <w:i/>
                <w:sz w:val="20"/>
                <w:szCs w:val="20"/>
                <w:lang w:eastAsia="en-GB"/>
              </w:rPr>
              <w:t>Per unit</w:t>
            </w:r>
          </w:p>
        </w:tc>
        <w:tc>
          <w:tcPr>
            <w:tcW w:w="1161" w:type="dxa"/>
            <w:shd w:val="clear" w:color="auto" w:fill="B8CCE4" w:themeFill="accent1" w:themeFillTint="66"/>
            <w:vAlign w:val="center"/>
          </w:tcPr>
          <w:p w14:paraId="23326990" w14:textId="77777777" w:rsidR="00FD7DD1" w:rsidRPr="00FD7DD1" w:rsidRDefault="00FD7DD1" w:rsidP="00FD7DD1">
            <w:pPr>
              <w:spacing w:line="276" w:lineRule="auto"/>
              <w:jc w:val="center"/>
              <w:rPr>
                <w:rFonts w:ascii="Times New Roman" w:eastAsia="Times New Roman" w:hAnsi="Times New Roman" w:cs="Times New Roman"/>
                <w:i/>
                <w:sz w:val="20"/>
                <w:szCs w:val="20"/>
                <w:lang w:eastAsia="en-GB"/>
              </w:rPr>
            </w:pPr>
            <w:r w:rsidRPr="00FD7DD1">
              <w:rPr>
                <w:rFonts w:ascii="Times New Roman" w:eastAsia="Times New Roman" w:hAnsi="Times New Roman" w:cs="Times New Roman"/>
                <w:i/>
                <w:sz w:val="20"/>
                <w:szCs w:val="20"/>
                <w:lang w:eastAsia="en-GB"/>
              </w:rPr>
              <w:t>Total</w:t>
            </w:r>
          </w:p>
        </w:tc>
        <w:tc>
          <w:tcPr>
            <w:tcW w:w="1053" w:type="dxa"/>
            <w:shd w:val="clear" w:color="auto" w:fill="B8CCE4" w:themeFill="accent1" w:themeFillTint="66"/>
            <w:vAlign w:val="center"/>
          </w:tcPr>
          <w:p w14:paraId="60087F25" w14:textId="77777777" w:rsidR="00FD7DD1" w:rsidRPr="00FD7DD1" w:rsidRDefault="00FD7DD1" w:rsidP="00FD7DD1">
            <w:pPr>
              <w:spacing w:line="276" w:lineRule="auto"/>
              <w:jc w:val="center"/>
              <w:rPr>
                <w:rFonts w:ascii="Times New Roman" w:eastAsia="Times New Roman" w:hAnsi="Times New Roman" w:cs="Times New Roman"/>
                <w:i/>
                <w:sz w:val="20"/>
                <w:szCs w:val="20"/>
                <w:lang w:eastAsia="en-GB"/>
              </w:rPr>
            </w:pPr>
            <w:r w:rsidRPr="00FD7DD1">
              <w:rPr>
                <w:rFonts w:ascii="Times New Roman" w:eastAsia="Times New Roman" w:hAnsi="Times New Roman" w:cs="Times New Roman"/>
                <w:i/>
                <w:sz w:val="20"/>
                <w:szCs w:val="20"/>
                <w:lang w:eastAsia="en-GB"/>
              </w:rPr>
              <w:t>Per unit</w:t>
            </w:r>
          </w:p>
        </w:tc>
        <w:tc>
          <w:tcPr>
            <w:tcW w:w="1053" w:type="dxa"/>
            <w:shd w:val="clear" w:color="auto" w:fill="B8CCE4" w:themeFill="accent1" w:themeFillTint="66"/>
            <w:vAlign w:val="center"/>
          </w:tcPr>
          <w:p w14:paraId="4102935F" w14:textId="77777777" w:rsidR="00FD7DD1" w:rsidRPr="00FD7DD1" w:rsidRDefault="00FD7DD1" w:rsidP="00FD7DD1">
            <w:pPr>
              <w:spacing w:line="276" w:lineRule="auto"/>
              <w:jc w:val="center"/>
              <w:rPr>
                <w:rFonts w:ascii="Times New Roman" w:eastAsia="Times New Roman" w:hAnsi="Times New Roman" w:cs="Times New Roman"/>
                <w:i/>
                <w:sz w:val="20"/>
                <w:szCs w:val="20"/>
                <w:lang w:eastAsia="en-GB"/>
              </w:rPr>
            </w:pPr>
            <w:r w:rsidRPr="00FD7DD1">
              <w:rPr>
                <w:rFonts w:ascii="Times New Roman" w:eastAsia="Times New Roman" w:hAnsi="Times New Roman" w:cs="Times New Roman"/>
                <w:i/>
                <w:sz w:val="20"/>
                <w:szCs w:val="20"/>
                <w:lang w:eastAsia="en-GB"/>
              </w:rPr>
              <w:t>Total</w:t>
            </w:r>
          </w:p>
        </w:tc>
      </w:tr>
      <w:tr w:rsidR="00FD7DD1" w:rsidRPr="00FD7DD1" w14:paraId="48087699" w14:textId="77777777" w:rsidTr="00FE5C16">
        <w:tc>
          <w:tcPr>
            <w:tcW w:w="2322" w:type="dxa"/>
            <w:shd w:val="clear" w:color="auto" w:fill="DDD9C3" w:themeFill="background2" w:themeFillShade="E6"/>
          </w:tcPr>
          <w:p w14:paraId="15DBED3A" w14:textId="77777777" w:rsidR="00FD7DD1" w:rsidRPr="00FD7DD1" w:rsidRDefault="00FD7DD1" w:rsidP="00FD7DD1">
            <w:pPr>
              <w:spacing w:line="276" w:lineRule="auto"/>
              <w:rPr>
                <w:rFonts w:ascii="Times New Roman" w:eastAsia="Times New Roman" w:hAnsi="Times New Roman" w:cs="Times New Roman"/>
                <w:sz w:val="20"/>
                <w:szCs w:val="20"/>
                <w:lang w:eastAsia="en-GB"/>
              </w:rPr>
            </w:pPr>
            <w:r w:rsidRPr="00FD7DD1">
              <w:rPr>
                <w:rFonts w:ascii="Times New Roman" w:eastAsia="Times New Roman" w:hAnsi="Times New Roman" w:cs="Times New Roman"/>
                <w:sz w:val="20"/>
                <w:szCs w:val="20"/>
                <w:lang w:eastAsia="en-GB"/>
              </w:rPr>
              <w:t>20 DC - Palletized</w:t>
            </w:r>
          </w:p>
        </w:tc>
        <w:tc>
          <w:tcPr>
            <w:tcW w:w="1161" w:type="dxa"/>
          </w:tcPr>
          <w:p w14:paraId="31288304" w14:textId="7A65D296" w:rsidR="00FD7DD1" w:rsidRPr="00FD7DD1" w:rsidRDefault="00EE7DF4" w:rsidP="00FD7DD1">
            <w:pPr>
              <w:spacing w:line="276"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$3.</w:t>
            </w:r>
            <w:r w:rsidR="00FD7DD1" w:rsidRPr="00FD7DD1">
              <w:rPr>
                <w:rFonts w:ascii="Times New Roman" w:eastAsia="Times New Roman" w:hAnsi="Times New Roman" w:cs="Times New Roman"/>
                <w:sz w:val="20"/>
                <w:szCs w:val="20"/>
                <w:lang w:eastAsia="en-GB"/>
              </w:rPr>
              <w:t>09</w:t>
            </w:r>
          </w:p>
        </w:tc>
        <w:tc>
          <w:tcPr>
            <w:tcW w:w="1161" w:type="dxa"/>
            <w:vMerge w:val="restart"/>
          </w:tcPr>
          <w:p w14:paraId="7A370C16" w14:textId="20F41AA3" w:rsidR="00FD7DD1" w:rsidRPr="00FD7DD1" w:rsidRDefault="00EE7DF4" w:rsidP="00FD7DD1">
            <w:pPr>
              <w:spacing w:line="276"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$3,</w:t>
            </w:r>
            <w:r w:rsidR="00FD7DD1" w:rsidRPr="00FD7DD1">
              <w:rPr>
                <w:rFonts w:ascii="Times New Roman" w:eastAsia="Times New Roman" w:hAnsi="Times New Roman" w:cs="Times New Roman"/>
                <w:sz w:val="20"/>
                <w:szCs w:val="20"/>
                <w:lang w:eastAsia="en-GB"/>
              </w:rPr>
              <w:t>540</w:t>
            </w:r>
          </w:p>
        </w:tc>
        <w:tc>
          <w:tcPr>
            <w:tcW w:w="1161" w:type="dxa"/>
            <w:vAlign w:val="center"/>
          </w:tcPr>
          <w:p w14:paraId="2CD7ADD1" w14:textId="60D086A7" w:rsidR="00FD7DD1" w:rsidRPr="00FD7DD1" w:rsidRDefault="00EE7DF4" w:rsidP="00FD7DD1">
            <w:pPr>
              <w:spacing w:line="276" w:lineRule="auto"/>
              <w:rPr>
                <w:rFonts w:ascii="Times New Roman" w:hAnsi="Times New Roman" w:cs="Times New Roman"/>
                <w:sz w:val="20"/>
                <w:szCs w:val="20"/>
              </w:rPr>
            </w:pPr>
            <w:r>
              <w:rPr>
                <w:rFonts w:ascii="Times New Roman" w:hAnsi="Times New Roman" w:cs="Times New Roman"/>
                <w:sz w:val="20"/>
                <w:szCs w:val="20"/>
              </w:rPr>
              <w:t>$1.</w:t>
            </w:r>
            <w:r w:rsidR="00FD7DD1" w:rsidRPr="00FD7DD1">
              <w:rPr>
                <w:rFonts w:ascii="Times New Roman" w:hAnsi="Times New Roman" w:cs="Times New Roman"/>
                <w:sz w:val="20"/>
                <w:szCs w:val="20"/>
              </w:rPr>
              <w:t>14</w:t>
            </w:r>
          </w:p>
        </w:tc>
        <w:tc>
          <w:tcPr>
            <w:tcW w:w="1161" w:type="dxa"/>
            <w:vMerge w:val="restart"/>
            <w:vAlign w:val="center"/>
          </w:tcPr>
          <w:p w14:paraId="6933EE49" w14:textId="622C5F37" w:rsidR="00FD7DD1" w:rsidRPr="00FD7DD1" w:rsidRDefault="00EE7DF4" w:rsidP="00FD7DD1">
            <w:pPr>
              <w:shd w:val="clear" w:color="auto" w:fill="FFFFFF"/>
              <w:spacing w:line="276"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$1,</w:t>
            </w:r>
            <w:r w:rsidR="00FD7DD1" w:rsidRPr="00FD7DD1">
              <w:rPr>
                <w:rFonts w:ascii="Times New Roman" w:eastAsia="Times New Roman" w:hAnsi="Times New Roman" w:cs="Times New Roman"/>
                <w:sz w:val="20"/>
                <w:szCs w:val="20"/>
                <w:lang w:eastAsia="en-GB"/>
              </w:rPr>
              <w:t>300</w:t>
            </w:r>
          </w:p>
        </w:tc>
        <w:tc>
          <w:tcPr>
            <w:tcW w:w="1053" w:type="dxa"/>
            <w:vAlign w:val="center"/>
          </w:tcPr>
          <w:p w14:paraId="08494BAD" w14:textId="0BC343FB" w:rsidR="00FD7DD1" w:rsidRPr="00FD7DD1" w:rsidRDefault="00EE7DF4" w:rsidP="00FD7DD1">
            <w:pPr>
              <w:spacing w:line="276" w:lineRule="auto"/>
              <w:rPr>
                <w:rFonts w:ascii="Times New Roman" w:hAnsi="Times New Roman" w:cs="Times New Roman"/>
                <w:sz w:val="20"/>
                <w:szCs w:val="20"/>
              </w:rPr>
            </w:pPr>
            <w:r>
              <w:rPr>
                <w:rFonts w:ascii="Times New Roman" w:hAnsi="Times New Roman" w:cs="Times New Roman"/>
                <w:sz w:val="20"/>
                <w:szCs w:val="20"/>
              </w:rPr>
              <w:t>$2.</w:t>
            </w:r>
            <w:r w:rsidR="00FD7DD1" w:rsidRPr="00FD7DD1">
              <w:rPr>
                <w:rFonts w:ascii="Times New Roman" w:hAnsi="Times New Roman" w:cs="Times New Roman"/>
                <w:sz w:val="20"/>
                <w:szCs w:val="20"/>
              </w:rPr>
              <w:t>14</w:t>
            </w:r>
          </w:p>
        </w:tc>
        <w:tc>
          <w:tcPr>
            <w:tcW w:w="1053" w:type="dxa"/>
            <w:vMerge w:val="restart"/>
            <w:vAlign w:val="center"/>
          </w:tcPr>
          <w:p w14:paraId="7EE8E790" w14:textId="3CFC606D" w:rsidR="00FD7DD1" w:rsidRPr="00FD7DD1" w:rsidRDefault="00EE7DF4" w:rsidP="00FD7DD1">
            <w:pPr>
              <w:spacing w:line="276"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$2,</w:t>
            </w:r>
            <w:r w:rsidR="00FD7DD1" w:rsidRPr="00FD7DD1">
              <w:rPr>
                <w:rFonts w:ascii="Times New Roman" w:eastAsia="Times New Roman" w:hAnsi="Times New Roman" w:cs="Times New Roman"/>
                <w:sz w:val="20"/>
                <w:szCs w:val="20"/>
                <w:lang w:eastAsia="en-GB"/>
              </w:rPr>
              <w:t>450</w:t>
            </w:r>
          </w:p>
        </w:tc>
      </w:tr>
      <w:tr w:rsidR="00FD7DD1" w:rsidRPr="00FD7DD1" w14:paraId="64AF847F" w14:textId="77777777" w:rsidTr="00FE5C16">
        <w:tc>
          <w:tcPr>
            <w:tcW w:w="2322" w:type="dxa"/>
            <w:shd w:val="clear" w:color="auto" w:fill="DDD9C3" w:themeFill="background2" w:themeFillShade="E6"/>
          </w:tcPr>
          <w:p w14:paraId="07BAAC05" w14:textId="77777777" w:rsidR="00FD7DD1" w:rsidRPr="00FD7DD1" w:rsidRDefault="00FD7DD1" w:rsidP="00FD7DD1">
            <w:pPr>
              <w:spacing w:line="276" w:lineRule="auto"/>
              <w:rPr>
                <w:rFonts w:ascii="Times New Roman" w:eastAsia="Times New Roman" w:hAnsi="Times New Roman" w:cs="Times New Roman"/>
                <w:sz w:val="20"/>
                <w:szCs w:val="20"/>
                <w:lang w:eastAsia="en-GB"/>
              </w:rPr>
            </w:pPr>
            <w:r w:rsidRPr="00FD7DD1">
              <w:rPr>
                <w:rFonts w:ascii="Times New Roman" w:eastAsia="Times New Roman" w:hAnsi="Times New Roman" w:cs="Times New Roman"/>
                <w:sz w:val="20"/>
                <w:szCs w:val="20"/>
                <w:lang w:eastAsia="en-GB"/>
              </w:rPr>
              <w:t xml:space="preserve">              Non-palletized</w:t>
            </w:r>
          </w:p>
        </w:tc>
        <w:tc>
          <w:tcPr>
            <w:tcW w:w="1161" w:type="dxa"/>
          </w:tcPr>
          <w:p w14:paraId="1F65E687" w14:textId="247A1107" w:rsidR="00FD7DD1" w:rsidRPr="00FD7DD1" w:rsidRDefault="00EE7DF4" w:rsidP="00FD7DD1">
            <w:pPr>
              <w:spacing w:line="276"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$2.</w:t>
            </w:r>
            <w:r w:rsidR="00FD7DD1" w:rsidRPr="00FD7DD1">
              <w:rPr>
                <w:rFonts w:ascii="Times New Roman" w:eastAsia="Times New Roman" w:hAnsi="Times New Roman" w:cs="Times New Roman"/>
                <w:sz w:val="20"/>
                <w:szCs w:val="20"/>
                <w:lang w:eastAsia="en-GB"/>
              </w:rPr>
              <w:t>49</w:t>
            </w:r>
          </w:p>
        </w:tc>
        <w:tc>
          <w:tcPr>
            <w:tcW w:w="1161" w:type="dxa"/>
            <w:vMerge/>
          </w:tcPr>
          <w:p w14:paraId="2349910D" w14:textId="77777777" w:rsidR="00FD7DD1" w:rsidRPr="00FD7DD1" w:rsidRDefault="00FD7DD1" w:rsidP="00FD7DD1">
            <w:pPr>
              <w:spacing w:line="276" w:lineRule="auto"/>
              <w:jc w:val="center"/>
              <w:rPr>
                <w:rFonts w:ascii="Times New Roman" w:eastAsia="Times New Roman" w:hAnsi="Times New Roman" w:cs="Times New Roman"/>
                <w:sz w:val="20"/>
                <w:szCs w:val="20"/>
                <w:lang w:eastAsia="en-GB"/>
              </w:rPr>
            </w:pPr>
          </w:p>
        </w:tc>
        <w:tc>
          <w:tcPr>
            <w:tcW w:w="1161" w:type="dxa"/>
            <w:vAlign w:val="center"/>
          </w:tcPr>
          <w:p w14:paraId="584E688D" w14:textId="0DF607F9" w:rsidR="00FD7DD1" w:rsidRPr="00FD7DD1" w:rsidRDefault="00EE7DF4" w:rsidP="00FD7DD1">
            <w:pPr>
              <w:spacing w:line="276" w:lineRule="auto"/>
              <w:rPr>
                <w:rFonts w:ascii="Times New Roman" w:hAnsi="Times New Roman" w:cs="Times New Roman"/>
                <w:sz w:val="20"/>
                <w:szCs w:val="20"/>
              </w:rPr>
            </w:pPr>
            <w:r>
              <w:rPr>
                <w:rFonts w:ascii="Times New Roman" w:hAnsi="Times New Roman" w:cs="Times New Roman"/>
                <w:sz w:val="20"/>
                <w:szCs w:val="20"/>
              </w:rPr>
              <w:t>$0.</w:t>
            </w:r>
            <w:r w:rsidR="00FD7DD1" w:rsidRPr="00FD7DD1">
              <w:rPr>
                <w:rFonts w:ascii="Times New Roman" w:hAnsi="Times New Roman" w:cs="Times New Roman"/>
                <w:sz w:val="20"/>
                <w:szCs w:val="20"/>
              </w:rPr>
              <w:t>92</w:t>
            </w:r>
          </w:p>
        </w:tc>
        <w:tc>
          <w:tcPr>
            <w:tcW w:w="1161" w:type="dxa"/>
            <w:vMerge/>
            <w:vAlign w:val="center"/>
          </w:tcPr>
          <w:p w14:paraId="530DD857" w14:textId="77777777" w:rsidR="00FD7DD1" w:rsidRPr="00FD7DD1" w:rsidRDefault="00FD7DD1" w:rsidP="00FD7DD1">
            <w:pPr>
              <w:shd w:val="clear" w:color="auto" w:fill="FFFFFF"/>
              <w:spacing w:line="276" w:lineRule="auto"/>
              <w:jc w:val="center"/>
              <w:rPr>
                <w:rFonts w:ascii="Times New Roman" w:eastAsia="Times New Roman" w:hAnsi="Times New Roman" w:cs="Times New Roman"/>
                <w:sz w:val="20"/>
                <w:szCs w:val="20"/>
                <w:lang w:eastAsia="en-GB"/>
              </w:rPr>
            </w:pPr>
          </w:p>
        </w:tc>
        <w:tc>
          <w:tcPr>
            <w:tcW w:w="1053" w:type="dxa"/>
            <w:vAlign w:val="center"/>
          </w:tcPr>
          <w:p w14:paraId="553169C1" w14:textId="3DBFB59B" w:rsidR="00FD7DD1" w:rsidRPr="00FD7DD1" w:rsidRDefault="00EE7DF4" w:rsidP="00FD7DD1">
            <w:pPr>
              <w:spacing w:line="276" w:lineRule="auto"/>
              <w:rPr>
                <w:rFonts w:ascii="Times New Roman" w:hAnsi="Times New Roman" w:cs="Times New Roman"/>
                <w:sz w:val="20"/>
                <w:szCs w:val="20"/>
              </w:rPr>
            </w:pPr>
            <w:r>
              <w:rPr>
                <w:rFonts w:ascii="Times New Roman" w:hAnsi="Times New Roman" w:cs="Times New Roman"/>
                <w:sz w:val="20"/>
                <w:szCs w:val="20"/>
              </w:rPr>
              <w:t>$1.</w:t>
            </w:r>
            <w:r w:rsidR="00FD7DD1" w:rsidRPr="00FD7DD1">
              <w:rPr>
                <w:rFonts w:ascii="Times New Roman" w:hAnsi="Times New Roman" w:cs="Times New Roman"/>
                <w:sz w:val="20"/>
                <w:szCs w:val="20"/>
              </w:rPr>
              <w:t>73</w:t>
            </w:r>
          </w:p>
        </w:tc>
        <w:tc>
          <w:tcPr>
            <w:tcW w:w="1053" w:type="dxa"/>
            <w:vMerge/>
            <w:vAlign w:val="center"/>
          </w:tcPr>
          <w:p w14:paraId="63B2FD62" w14:textId="77777777" w:rsidR="00FD7DD1" w:rsidRPr="00FD7DD1" w:rsidRDefault="00FD7DD1" w:rsidP="00FD7DD1">
            <w:pPr>
              <w:spacing w:line="276" w:lineRule="auto"/>
              <w:jc w:val="center"/>
              <w:rPr>
                <w:rFonts w:ascii="Times New Roman" w:eastAsia="Times New Roman" w:hAnsi="Times New Roman" w:cs="Times New Roman"/>
                <w:sz w:val="20"/>
                <w:szCs w:val="20"/>
                <w:lang w:eastAsia="en-GB"/>
              </w:rPr>
            </w:pPr>
          </w:p>
        </w:tc>
      </w:tr>
      <w:tr w:rsidR="00FD7DD1" w:rsidRPr="00FD7DD1" w14:paraId="30AE6AD8" w14:textId="77777777" w:rsidTr="00FE5C16">
        <w:tc>
          <w:tcPr>
            <w:tcW w:w="2322" w:type="dxa"/>
            <w:shd w:val="clear" w:color="auto" w:fill="DDD9C3" w:themeFill="background2" w:themeFillShade="E6"/>
          </w:tcPr>
          <w:p w14:paraId="3C7AEB8E" w14:textId="77777777" w:rsidR="00FD7DD1" w:rsidRPr="00FD7DD1" w:rsidRDefault="00FD7DD1" w:rsidP="00FD7DD1">
            <w:pPr>
              <w:spacing w:line="276" w:lineRule="auto"/>
              <w:rPr>
                <w:rFonts w:ascii="Times New Roman" w:eastAsia="Times New Roman" w:hAnsi="Times New Roman" w:cs="Times New Roman"/>
                <w:sz w:val="20"/>
                <w:szCs w:val="20"/>
                <w:lang w:eastAsia="en-GB"/>
              </w:rPr>
            </w:pPr>
            <w:r w:rsidRPr="00FD7DD1">
              <w:rPr>
                <w:rFonts w:ascii="Times New Roman" w:eastAsia="Times New Roman" w:hAnsi="Times New Roman" w:cs="Times New Roman"/>
                <w:sz w:val="20"/>
                <w:szCs w:val="20"/>
                <w:lang w:eastAsia="en-GB"/>
              </w:rPr>
              <w:t>40 DC - Palletized</w:t>
            </w:r>
          </w:p>
        </w:tc>
        <w:tc>
          <w:tcPr>
            <w:tcW w:w="1161" w:type="dxa"/>
          </w:tcPr>
          <w:p w14:paraId="52AB843F" w14:textId="2F33C670" w:rsidR="00FD7DD1" w:rsidRPr="00FD7DD1" w:rsidRDefault="00EE7DF4" w:rsidP="00FD7DD1">
            <w:pPr>
              <w:spacing w:line="276"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$2.</w:t>
            </w:r>
            <w:r w:rsidR="00FD7DD1" w:rsidRPr="00FD7DD1">
              <w:rPr>
                <w:rFonts w:ascii="Times New Roman" w:eastAsia="Times New Roman" w:hAnsi="Times New Roman" w:cs="Times New Roman"/>
                <w:sz w:val="20"/>
                <w:szCs w:val="20"/>
                <w:lang w:eastAsia="en-GB"/>
              </w:rPr>
              <w:t>55</w:t>
            </w:r>
          </w:p>
        </w:tc>
        <w:tc>
          <w:tcPr>
            <w:tcW w:w="1161" w:type="dxa"/>
            <w:vMerge w:val="restart"/>
          </w:tcPr>
          <w:p w14:paraId="18FD40AD" w14:textId="1AE63E09" w:rsidR="00FD7DD1" w:rsidRPr="00FD7DD1" w:rsidRDefault="00EE7DF4" w:rsidP="00FD7DD1">
            <w:pPr>
              <w:spacing w:line="276"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$6,</w:t>
            </w:r>
            <w:r w:rsidR="00FD7DD1" w:rsidRPr="00FD7DD1">
              <w:rPr>
                <w:rFonts w:ascii="Times New Roman" w:eastAsia="Times New Roman" w:hAnsi="Times New Roman" w:cs="Times New Roman"/>
                <w:sz w:val="20"/>
                <w:szCs w:val="20"/>
                <w:lang w:eastAsia="en-GB"/>
              </w:rPr>
              <w:t>105</w:t>
            </w:r>
          </w:p>
        </w:tc>
        <w:tc>
          <w:tcPr>
            <w:tcW w:w="1161" w:type="dxa"/>
            <w:vAlign w:val="center"/>
          </w:tcPr>
          <w:p w14:paraId="46A6F3E1" w14:textId="5BC09D90" w:rsidR="00FD7DD1" w:rsidRPr="00FD7DD1" w:rsidRDefault="00EE7DF4" w:rsidP="00FD7DD1">
            <w:pPr>
              <w:spacing w:line="276" w:lineRule="auto"/>
              <w:rPr>
                <w:rFonts w:ascii="Times New Roman" w:hAnsi="Times New Roman" w:cs="Times New Roman"/>
                <w:sz w:val="20"/>
                <w:szCs w:val="20"/>
              </w:rPr>
            </w:pPr>
            <w:r>
              <w:rPr>
                <w:rFonts w:ascii="Times New Roman" w:hAnsi="Times New Roman" w:cs="Times New Roman"/>
                <w:sz w:val="20"/>
                <w:szCs w:val="20"/>
              </w:rPr>
              <w:t>$0.</w:t>
            </w:r>
            <w:r w:rsidR="00FD7DD1" w:rsidRPr="00FD7DD1">
              <w:rPr>
                <w:rFonts w:ascii="Times New Roman" w:hAnsi="Times New Roman" w:cs="Times New Roman"/>
                <w:sz w:val="20"/>
                <w:szCs w:val="20"/>
              </w:rPr>
              <w:t>92</w:t>
            </w:r>
          </w:p>
        </w:tc>
        <w:tc>
          <w:tcPr>
            <w:tcW w:w="1161" w:type="dxa"/>
            <w:vMerge w:val="restart"/>
            <w:vAlign w:val="center"/>
          </w:tcPr>
          <w:p w14:paraId="0DE6E013" w14:textId="38532937" w:rsidR="00FD7DD1" w:rsidRPr="00FD7DD1" w:rsidRDefault="00EE7DF4" w:rsidP="00FD7DD1">
            <w:pPr>
              <w:shd w:val="clear" w:color="auto" w:fill="FFFFFF"/>
              <w:spacing w:line="276"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$2,</w:t>
            </w:r>
            <w:r w:rsidR="00FD7DD1" w:rsidRPr="00FD7DD1">
              <w:rPr>
                <w:rFonts w:ascii="Times New Roman" w:eastAsia="Times New Roman" w:hAnsi="Times New Roman" w:cs="Times New Roman"/>
                <w:sz w:val="20"/>
                <w:szCs w:val="20"/>
                <w:lang w:eastAsia="en-GB"/>
              </w:rPr>
              <w:t>200</w:t>
            </w:r>
          </w:p>
        </w:tc>
        <w:tc>
          <w:tcPr>
            <w:tcW w:w="1053" w:type="dxa"/>
            <w:vAlign w:val="center"/>
          </w:tcPr>
          <w:p w14:paraId="6D2EEA81" w14:textId="2BA328E7" w:rsidR="00FD7DD1" w:rsidRPr="00FD7DD1" w:rsidRDefault="00EE7DF4" w:rsidP="00FD7DD1">
            <w:pPr>
              <w:spacing w:line="276" w:lineRule="auto"/>
              <w:rPr>
                <w:rFonts w:ascii="Times New Roman" w:hAnsi="Times New Roman" w:cs="Times New Roman"/>
                <w:sz w:val="20"/>
                <w:szCs w:val="20"/>
              </w:rPr>
            </w:pPr>
            <w:r>
              <w:rPr>
                <w:rFonts w:ascii="Times New Roman" w:hAnsi="Times New Roman" w:cs="Times New Roman"/>
                <w:sz w:val="20"/>
                <w:szCs w:val="20"/>
              </w:rPr>
              <w:t>$1.</w:t>
            </w:r>
            <w:r w:rsidR="00FD7DD1" w:rsidRPr="00FD7DD1">
              <w:rPr>
                <w:rFonts w:ascii="Times New Roman" w:hAnsi="Times New Roman" w:cs="Times New Roman"/>
                <w:sz w:val="20"/>
                <w:szCs w:val="20"/>
              </w:rPr>
              <w:t>30</w:t>
            </w:r>
          </w:p>
        </w:tc>
        <w:tc>
          <w:tcPr>
            <w:tcW w:w="1053" w:type="dxa"/>
            <w:vMerge w:val="restart"/>
            <w:vAlign w:val="center"/>
          </w:tcPr>
          <w:p w14:paraId="3BE73A25" w14:textId="10980DCE" w:rsidR="00FD7DD1" w:rsidRPr="00FD7DD1" w:rsidRDefault="00EE7DF4" w:rsidP="00FD7DD1">
            <w:pPr>
              <w:spacing w:line="276"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$3,</w:t>
            </w:r>
            <w:r w:rsidR="00FD7DD1" w:rsidRPr="00FD7DD1">
              <w:rPr>
                <w:rFonts w:ascii="Times New Roman" w:eastAsia="Times New Roman" w:hAnsi="Times New Roman" w:cs="Times New Roman"/>
                <w:sz w:val="20"/>
                <w:szCs w:val="20"/>
                <w:lang w:eastAsia="en-GB"/>
              </w:rPr>
              <w:t>100</w:t>
            </w:r>
          </w:p>
        </w:tc>
      </w:tr>
      <w:tr w:rsidR="00FD7DD1" w:rsidRPr="00FD7DD1" w14:paraId="24366624" w14:textId="77777777" w:rsidTr="00FE5C16">
        <w:tc>
          <w:tcPr>
            <w:tcW w:w="2322" w:type="dxa"/>
            <w:shd w:val="clear" w:color="auto" w:fill="DDD9C3" w:themeFill="background2" w:themeFillShade="E6"/>
          </w:tcPr>
          <w:p w14:paraId="2E45AC4C" w14:textId="77777777" w:rsidR="00FD7DD1" w:rsidRPr="00FD7DD1" w:rsidRDefault="00FD7DD1" w:rsidP="00FD7DD1">
            <w:pPr>
              <w:spacing w:line="276" w:lineRule="auto"/>
              <w:rPr>
                <w:rFonts w:ascii="Times New Roman" w:eastAsia="Times New Roman" w:hAnsi="Times New Roman" w:cs="Times New Roman"/>
                <w:sz w:val="20"/>
                <w:szCs w:val="20"/>
                <w:lang w:eastAsia="en-GB"/>
              </w:rPr>
            </w:pPr>
            <w:r w:rsidRPr="00FD7DD1">
              <w:rPr>
                <w:rFonts w:ascii="Times New Roman" w:eastAsia="Times New Roman" w:hAnsi="Times New Roman" w:cs="Times New Roman"/>
                <w:sz w:val="20"/>
                <w:szCs w:val="20"/>
                <w:lang w:eastAsia="en-GB"/>
              </w:rPr>
              <w:t xml:space="preserve">              Non-palletized</w:t>
            </w:r>
          </w:p>
        </w:tc>
        <w:tc>
          <w:tcPr>
            <w:tcW w:w="1161" w:type="dxa"/>
          </w:tcPr>
          <w:p w14:paraId="41EFB28E" w14:textId="01BFD4D6" w:rsidR="00FD7DD1" w:rsidRPr="00FD7DD1" w:rsidRDefault="00EE7DF4" w:rsidP="00FD7DD1">
            <w:pPr>
              <w:spacing w:line="276"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$2.</w:t>
            </w:r>
            <w:r w:rsidR="00FD7DD1" w:rsidRPr="00FD7DD1">
              <w:rPr>
                <w:rFonts w:ascii="Times New Roman" w:eastAsia="Times New Roman" w:hAnsi="Times New Roman" w:cs="Times New Roman"/>
                <w:sz w:val="20"/>
                <w:szCs w:val="20"/>
                <w:lang w:eastAsia="en-GB"/>
              </w:rPr>
              <w:t>18</w:t>
            </w:r>
          </w:p>
        </w:tc>
        <w:tc>
          <w:tcPr>
            <w:tcW w:w="1161" w:type="dxa"/>
            <w:vMerge/>
          </w:tcPr>
          <w:p w14:paraId="23A1CE59" w14:textId="77777777" w:rsidR="00FD7DD1" w:rsidRPr="00FD7DD1" w:rsidRDefault="00FD7DD1" w:rsidP="00FD7DD1">
            <w:pPr>
              <w:spacing w:line="276" w:lineRule="auto"/>
              <w:rPr>
                <w:rFonts w:ascii="Times New Roman" w:eastAsia="Times New Roman" w:hAnsi="Times New Roman" w:cs="Times New Roman"/>
                <w:sz w:val="20"/>
                <w:szCs w:val="20"/>
                <w:lang w:eastAsia="en-GB"/>
              </w:rPr>
            </w:pPr>
          </w:p>
        </w:tc>
        <w:tc>
          <w:tcPr>
            <w:tcW w:w="1161" w:type="dxa"/>
            <w:vAlign w:val="center"/>
          </w:tcPr>
          <w:p w14:paraId="1176013B" w14:textId="5107F49B" w:rsidR="00FD7DD1" w:rsidRPr="00FD7DD1" w:rsidRDefault="00EE7DF4" w:rsidP="00FD7DD1">
            <w:pPr>
              <w:spacing w:line="276" w:lineRule="auto"/>
              <w:rPr>
                <w:rFonts w:ascii="Times New Roman" w:hAnsi="Times New Roman" w:cs="Times New Roman"/>
                <w:sz w:val="20"/>
                <w:szCs w:val="20"/>
              </w:rPr>
            </w:pPr>
            <w:r>
              <w:rPr>
                <w:rFonts w:ascii="Times New Roman" w:hAnsi="Times New Roman" w:cs="Times New Roman"/>
                <w:sz w:val="20"/>
                <w:szCs w:val="20"/>
              </w:rPr>
              <w:t>$0.</w:t>
            </w:r>
            <w:r w:rsidR="00FD7DD1" w:rsidRPr="00FD7DD1">
              <w:rPr>
                <w:rFonts w:ascii="Times New Roman" w:hAnsi="Times New Roman" w:cs="Times New Roman"/>
                <w:sz w:val="20"/>
                <w:szCs w:val="20"/>
              </w:rPr>
              <w:t>79</w:t>
            </w:r>
          </w:p>
        </w:tc>
        <w:tc>
          <w:tcPr>
            <w:tcW w:w="1161" w:type="dxa"/>
            <w:vMerge/>
          </w:tcPr>
          <w:p w14:paraId="7719E030" w14:textId="77777777" w:rsidR="00FD7DD1" w:rsidRPr="00FD7DD1" w:rsidRDefault="00FD7DD1" w:rsidP="00FD7DD1">
            <w:pPr>
              <w:spacing w:line="276" w:lineRule="auto"/>
              <w:rPr>
                <w:rFonts w:ascii="Times New Roman" w:eastAsia="Times New Roman" w:hAnsi="Times New Roman" w:cs="Times New Roman"/>
                <w:sz w:val="20"/>
                <w:szCs w:val="20"/>
                <w:lang w:eastAsia="en-GB"/>
              </w:rPr>
            </w:pPr>
          </w:p>
        </w:tc>
        <w:tc>
          <w:tcPr>
            <w:tcW w:w="1053" w:type="dxa"/>
            <w:vAlign w:val="center"/>
          </w:tcPr>
          <w:p w14:paraId="36BA94A3" w14:textId="19BEB112" w:rsidR="00FD7DD1" w:rsidRPr="00FD7DD1" w:rsidRDefault="00EE7DF4" w:rsidP="00FD7DD1">
            <w:pPr>
              <w:spacing w:line="276" w:lineRule="auto"/>
              <w:rPr>
                <w:rFonts w:ascii="Times New Roman" w:hAnsi="Times New Roman" w:cs="Times New Roman"/>
                <w:sz w:val="20"/>
                <w:szCs w:val="20"/>
              </w:rPr>
            </w:pPr>
            <w:r>
              <w:rPr>
                <w:rFonts w:ascii="Times New Roman" w:hAnsi="Times New Roman" w:cs="Times New Roman"/>
                <w:sz w:val="20"/>
                <w:szCs w:val="20"/>
              </w:rPr>
              <w:t>$1.</w:t>
            </w:r>
            <w:r w:rsidR="00FD7DD1" w:rsidRPr="00FD7DD1">
              <w:rPr>
                <w:rFonts w:ascii="Times New Roman" w:hAnsi="Times New Roman" w:cs="Times New Roman"/>
                <w:sz w:val="20"/>
                <w:szCs w:val="20"/>
              </w:rPr>
              <w:t>11</w:t>
            </w:r>
          </w:p>
        </w:tc>
        <w:tc>
          <w:tcPr>
            <w:tcW w:w="1053" w:type="dxa"/>
            <w:vMerge/>
          </w:tcPr>
          <w:p w14:paraId="2EE50D27" w14:textId="77777777" w:rsidR="00FD7DD1" w:rsidRPr="00FD7DD1" w:rsidRDefault="00FD7DD1" w:rsidP="00FD7DD1">
            <w:pPr>
              <w:spacing w:line="276" w:lineRule="auto"/>
              <w:rPr>
                <w:rFonts w:ascii="Times New Roman" w:eastAsia="Times New Roman" w:hAnsi="Times New Roman" w:cs="Times New Roman"/>
                <w:sz w:val="20"/>
                <w:szCs w:val="20"/>
                <w:lang w:eastAsia="en-GB"/>
              </w:rPr>
            </w:pPr>
          </w:p>
        </w:tc>
      </w:tr>
    </w:tbl>
    <w:p w14:paraId="55F925CE" w14:textId="77777777" w:rsidR="00FD7DD1" w:rsidRPr="00561F9A" w:rsidRDefault="00FD7DD1" w:rsidP="00FD7DD1">
      <w:pPr>
        <w:spacing w:line="360" w:lineRule="auto"/>
        <w:jc w:val="both"/>
        <w:rPr>
          <w:rFonts w:ascii="Times New Roman" w:hAnsi="Times New Roman" w:cs="Times New Roman"/>
          <w:b/>
          <w:sz w:val="16"/>
          <w:szCs w:val="16"/>
        </w:rPr>
      </w:pPr>
      <w:r w:rsidRPr="00561F9A">
        <w:rPr>
          <w:rFonts w:ascii="Times New Roman" w:hAnsi="Times New Roman" w:cs="Times New Roman"/>
          <w:b/>
          <w:sz w:val="16"/>
          <w:szCs w:val="16"/>
        </w:rPr>
        <w:t>Table 5 – Economic transport data International Sourcing</w:t>
      </w:r>
      <w:r w:rsidRPr="00561F9A">
        <w:rPr>
          <w:rFonts w:ascii="Times New Roman" w:hAnsi="Times New Roman" w:cs="Times New Roman"/>
          <w:b/>
          <w:sz w:val="16"/>
          <w:szCs w:val="16"/>
        </w:rPr>
        <w:tab/>
        <w:t xml:space="preserve"> (Source: UNHCR)</w:t>
      </w:r>
    </w:p>
    <w:p w14:paraId="522C288D" w14:textId="77777777" w:rsidR="00FD7DD1" w:rsidRPr="00FD7DD1" w:rsidRDefault="00FD7DD1" w:rsidP="00FD7DD1">
      <w:pPr>
        <w:spacing w:line="360" w:lineRule="auto"/>
        <w:rPr>
          <w:rFonts w:ascii="Times New Roman" w:hAnsi="Times New Roman" w:cs="Times New Roman"/>
          <w:sz w:val="20"/>
          <w:szCs w:val="20"/>
        </w:rPr>
      </w:pPr>
    </w:p>
    <w:p w14:paraId="031C8577" w14:textId="77777777" w:rsidR="00FE5C16" w:rsidRPr="00FD7DD1" w:rsidRDefault="00FE5C16" w:rsidP="00FD7DD1">
      <w:pPr>
        <w:spacing w:line="360" w:lineRule="auto"/>
        <w:rPr>
          <w:rFonts w:ascii="Times New Roman" w:hAnsi="Times New Roman" w:cs="Times New Roman"/>
          <w:sz w:val="20"/>
          <w:szCs w:val="20"/>
        </w:rPr>
      </w:pPr>
    </w:p>
    <w:sectPr w:rsidR="00FE5C16" w:rsidRPr="00FD7DD1">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C935C" w14:textId="77777777" w:rsidR="00030545" w:rsidRDefault="00030545" w:rsidP="00FD7DD1">
      <w:pPr>
        <w:spacing w:after="0" w:line="240" w:lineRule="auto"/>
      </w:pPr>
      <w:r>
        <w:separator/>
      </w:r>
    </w:p>
  </w:endnote>
  <w:endnote w:type="continuationSeparator" w:id="0">
    <w:p w14:paraId="53948049" w14:textId="77777777" w:rsidR="00030545" w:rsidRDefault="00030545" w:rsidP="00FD7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rPr>
      <w:id w:val="598691188"/>
      <w:docPartObj>
        <w:docPartGallery w:val="Page Numbers (Bottom of Page)"/>
        <w:docPartUnique/>
      </w:docPartObj>
    </w:sdtPr>
    <w:sdtEndPr/>
    <w:sdtContent>
      <w:p w14:paraId="68B4173B" w14:textId="77777777" w:rsidR="009650A1" w:rsidRPr="000004F8" w:rsidRDefault="009650A1">
        <w:pPr>
          <w:pStyle w:val="Fuzeile"/>
          <w:rPr>
            <w:rFonts w:ascii="Times New Roman" w:hAnsi="Times New Roman" w:cs="Times New Roman"/>
            <w:sz w:val="20"/>
          </w:rPr>
        </w:pPr>
        <w:r w:rsidRPr="000004F8">
          <w:rPr>
            <w:rFonts w:ascii="Times New Roman" w:hAnsi="Times New Roman" w:cs="Times New Roman"/>
            <w:sz w:val="20"/>
          </w:rPr>
          <w:fldChar w:fldCharType="begin"/>
        </w:r>
        <w:r w:rsidRPr="000004F8">
          <w:rPr>
            <w:rFonts w:ascii="Times New Roman" w:hAnsi="Times New Roman" w:cs="Times New Roman"/>
            <w:sz w:val="20"/>
          </w:rPr>
          <w:instrText>PAGE   \* MERGEFORMAT</w:instrText>
        </w:r>
        <w:r w:rsidRPr="000004F8">
          <w:rPr>
            <w:rFonts w:ascii="Times New Roman" w:hAnsi="Times New Roman" w:cs="Times New Roman"/>
            <w:sz w:val="20"/>
          </w:rPr>
          <w:fldChar w:fldCharType="separate"/>
        </w:r>
        <w:r w:rsidR="00A20C79" w:rsidRPr="00A20C79">
          <w:rPr>
            <w:rFonts w:ascii="Times New Roman" w:hAnsi="Times New Roman" w:cs="Times New Roman"/>
            <w:noProof/>
            <w:sz w:val="20"/>
            <w:lang w:val="nl-NL"/>
          </w:rPr>
          <w:t>11</w:t>
        </w:r>
        <w:r w:rsidRPr="000004F8">
          <w:rPr>
            <w:rFonts w:ascii="Times New Roman" w:hAnsi="Times New Roman" w:cs="Times New Roman"/>
            <w:sz w:val="20"/>
          </w:rPr>
          <w:fldChar w:fldCharType="end"/>
        </w:r>
      </w:p>
    </w:sdtContent>
  </w:sdt>
  <w:p w14:paraId="5FEC0F0B" w14:textId="77777777" w:rsidR="009650A1" w:rsidRDefault="009650A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6C4F50" w14:textId="77777777" w:rsidR="00030545" w:rsidRDefault="00030545" w:rsidP="00FD7DD1">
      <w:pPr>
        <w:spacing w:after="0" w:line="240" w:lineRule="auto"/>
      </w:pPr>
      <w:r>
        <w:separator/>
      </w:r>
    </w:p>
  </w:footnote>
  <w:footnote w:type="continuationSeparator" w:id="0">
    <w:p w14:paraId="44C8ACE3" w14:textId="77777777" w:rsidR="00030545" w:rsidRDefault="00030545" w:rsidP="00FD7DD1">
      <w:pPr>
        <w:spacing w:after="0" w:line="240" w:lineRule="auto"/>
      </w:pPr>
      <w:r>
        <w:continuationSeparator/>
      </w:r>
    </w:p>
  </w:footnote>
  <w:footnote w:id="1">
    <w:p w14:paraId="7F19C09E" w14:textId="77777777" w:rsidR="009650A1" w:rsidRPr="008B7839" w:rsidRDefault="009650A1" w:rsidP="00FD7DD1">
      <w:pPr>
        <w:pStyle w:val="Funotentext"/>
        <w:rPr>
          <w:rFonts w:ascii="Times New Roman" w:hAnsi="Times New Roman" w:cs="Times New Roman"/>
          <w:lang w:val="fr-FR"/>
        </w:rPr>
      </w:pPr>
      <w:r w:rsidRPr="008B7839">
        <w:rPr>
          <w:rStyle w:val="Funotenzeichen"/>
          <w:rFonts w:ascii="Times New Roman" w:hAnsi="Times New Roman" w:cs="Times New Roman"/>
        </w:rPr>
        <w:footnoteRef/>
      </w:r>
      <w:r w:rsidRPr="008B7839">
        <w:rPr>
          <w:rFonts w:ascii="Times New Roman" w:hAnsi="Times New Roman" w:cs="Times New Roman"/>
          <w:lang w:val="fr-FR"/>
        </w:rPr>
        <w:t xml:space="preserve"> ILO (2015) http://www.ilo.org/dyn/normlex/en/f?p=1000:11200:0::NO:11200:P11200_COUNTRY_ID:102691</w:t>
      </w:r>
    </w:p>
  </w:footnote>
  <w:footnote w:id="2">
    <w:p w14:paraId="19FF5E3E" w14:textId="77777777" w:rsidR="009650A1" w:rsidRPr="008B7839" w:rsidRDefault="009650A1" w:rsidP="00FD7DD1">
      <w:pPr>
        <w:pStyle w:val="Funotentext"/>
        <w:rPr>
          <w:rFonts w:ascii="Times New Roman" w:hAnsi="Times New Roman" w:cs="Times New Roman"/>
          <w:lang w:val="fr-FR"/>
        </w:rPr>
      </w:pPr>
      <w:r w:rsidRPr="008B7839">
        <w:rPr>
          <w:rStyle w:val="Funotenzeichen"/>
          <w:rFonts w:ascii="Times New Roman" w:hAnsi="Times New Roman" w:cs="Times New Roman"/>
        </w:rPr>
        <w:footnoteRef/>
      </w:r>
      <w:r w:rsidRPr="008B7839">
        <w:rPr>
          <w:rFonts w:ascii="Times New Roman" w:hAnsi="Times New Roman" w:cs="Times New Roman"/>
          <w:lang w:val="fr-FR"/>
        </w:rPr>
        <w:t xml:space="preserve"> http://pblabour.gov.in/pdf/acts_rules/inustrial_disputes_act_1947.pdf</w:t>
      </w:r>
    </w:p>
  </w:footnote>
  <w:footnote w:id="3">
    <w:p w14:paraId="74CF3947" w14:textId="77777777" w:rsidR="009650A1" w:rsidRPr="008B7839" w:rsidRDefault="009650A1" w:rsidP="00FD7DD1">
      <w:pPr>
        <w:pStyle w:val="Funotentext"/>
        <w:rPr>
          <w:rFonts w:ascii="Times New Roman" w:hAnsi="Times New Roman" w:cs="Times New Roman"/>
          <w:lang w:val="fr-FR"/>
        </w:rPr>
      </w:pPr>
      <w:r w:rsidRPr="008B7839">
        <w:rPr>
          <w:rStyle w:val="Funotenzeichen"/>
          <w:rFonts w:ascii="Times New Roman" w:hAnsi="Times New Roman" w:cs="Times New Roman"/>
        </w:rPr>
        <w:footnoteRef/>
      </w:r>
      <w:r w:rsidRPr="008B7839">
        <w:rPr>
          <w:rFonts w:ascii="Times New Roman" w:hAnsi="Times New Roman" w:cs="Times New Roman"/>
          <w:lang w:val="fr-FR"/>
        </w:rPr>
        <w:t xml:space="preserve"> http://www.industriall-union.org/sites/default/files/migration/imf/RelatedFiles/</w:t>
      </w:r>
      <w:r w:rsidRPr="008B7839">
        <w:rPr>
          <w:rFonts w:ascii="Times New Roman" w:hAnsi="Times New Roman" w:cs="Times New Roman"/>
          <w:lang w:val="fr-FR"/>
        </w:rPr>
        <w:br/>
        <w:t>08040111112266/IMF_Indian_steel_report.pdf</w:t>
      </w:r>
    </w:p>
  </w:footnote>
  <w:footnote w:id="4">
    <w:p w14:paraId="4CD540F1"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D.Singh (2008). Industrial Relations and Labour Laws. Excel Books: New Delhi. </w:t>
      </w:r>
    </w:p>
  </w:footnote>
  <w:footnote w:id="5">
    <w:p w14:paraId="2C2949F9"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http://www.indiannewsandtimes.com/2015/08/13/steel-associations-across-india-come-together-to-protest-proposed-bis-order/</w:t>
      </w:r>
    </w:p>
  </w:footnote>
  <w:footnote w:id="6">
    <w:p w14:paraId="4707A8ED"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ILO (2015) retrieved from http://www.ilo.org/ipec/Regionsandcountries/Asia/India/WCMS_203643/lang--en/index.htm</w:t>
      </w:r>
    </w:p>
  </w:footnote>
  <w:footnote w:id="7">
    <w:p w14:paraId="0BE87347"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http://www.ilo.org/global/about-the-ilo/media-centre/press-releases/WCMS_008058/lang--en/index.htm</w:t>
      </w:r>
    </w:p>
  </w:footnote>
  <w:footnote w:id="8">
    <w:p w14:paraId="6F9B22D6"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Kessentials (2015) retrieved 13-8-2015 from http://www.kessentials.com/about.html</w:t>
      </w:r>
    </w:p>
  </w:footnote>
  <w:footnote w:id="9">
    <w:p w14:paraId="2D9466DA"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http://www.ilo.org/dyn/normlex/en/f?p=1000:11200:0::NO:11200:P11200_COUNTRY_ID:102691</w:t>
      </w:r>
    </w:p>
  </w:footnote>
  <w:footnote w:id="10">
    <w:p w14:paraId="313A7D75"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http://www.reports-and-materials.org/sites/default/files/reports-and-materials/AI-NL-Forced-Labour-report-Feb-2006.pdf</w:t>
      </w:r>
    </w:p>
  </w:footnote>
  <w:footnote w:id="11">
    <w:p w14:paraId="2BEBB730"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ILO Global Wage Report 2014/2015 – Asia and the Pacific Supplement http://www.ilo.org/wcmsp5/groups</w:t>
      </w:r>
      <w:r w:rsidRPr="008B7839">
        <w:rPr>
          <w:rFonts w:ascii="Times New Roman" w:hAnsi="Times New Roman" w:cs="Times New Roman"/>
        </w:rPr>
        <w:br/>
        <w:t>/public/---asia/---ro-bangkok/---sro-bangkok/documents/publication/wcms_325219.pdf</w:t>
      </w:r>
    </w:p>
  </w:footnote>
  <w:footnote w:id="12">
    <w:p w14:paraId="0CDF836F"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http://www.ilo.org/dyn/travail/travmain.sectionReport1?p_lang=en&amp;p_countries=IN&amp;p_sc_</w:t>
      </w:r>
      <w:r w:rsidRPr="008B7839">
        <w:rPr>
          <w:rFonts w:ascii="Times New Roman" w:hAnsi="Times New Roman" w:cs="Times New Roman"/>
        </w:rPr>
        <w:br/>
        <w:t>id=1001&amp;p_year=2011&amp;p_structure=2</w:t>
      </w:r>
    </w:p>
  </w:footnote>
  <w:footnote w:id="13">
    <w:p w14:paraId="75C1E860"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http://www.ilo.org/ilostat/faces/home/statisticaldata/ContryProfileId?_afrLoop=</w:t>
      </w:r>
      <w:r w:rsidRPr="008B7839">
        <w:rPr>
          <w:rFonts w:ascii="Times New Roman" w:hAnsi="Times New Roman" w:cs="Times New Roman"/>
        </w:rPr>
        <w:br/>
        <w:t>633439487431192#%40%3F_afrLoop%3D633439487431192%26_adf.ctrl-state%3D163sq0yaap_190</w:t>
      </w:r>
    </w:p>
  </w:footnote>
  <w:footnote w:id="14">
    <w:p w14:paraId="2AFCADC7"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http://www.genderindex.org/ranking?order=field_sigi_value14_value&amp;sort=asc</w:t>
      </w:r>
    </w:p>
  </w:footnote>
  <w:footnote w:id="15">
    <w:p w14:paraId="3AA36B5B"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http://steel.gov.in/overview.htm</w:t>
      </w:r>
    </w:p>
  </w:footnote>
  <w:footnote w:id="16">
    <w:p w14:paraId="2A5A6783"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Unicef (2015) retrieved 15-8-2015 from http://www.unicef.org/infobycountry/india_statistics.html</w:t>
      </w:r>
    </w:p>
  </w:footnote>
  <w:footnote w:id="17">
    <w:p w14:paraId="6941E42E"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http://planningcommission.gov.in/aboutus/committee/wrkgrp12/wg_steel2212.pdf</w:t>
      </w:r>
    </w:p>
  </w:footnote>
  <w:footnote w:id="18">
    <w:p w14:paraId="1FDB9F84"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National Geographic (2015) retrieved 18-8 from http://ngm.nationalgeographic.com/2015/04/india-coal/conflict-map</w:t>
      </w:r>
    </w:p>
  </w:footnote>
  <w:footnote w:id="19">
    <w:p w14:paraId="47834685"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Dunham (2015) Freedom of the press 2015. Freedom House. https://freedomhouse.org/sites/</w:t>
      </w:r>
      <w:r w:rsidRPr="008B7839">
        <w:rPr>
          <w:rFonts w:ascii="Times New Roman" w:hAnsi="Times New Roman" w:cs="Times New Roman"/>
        </w:rPr>
        <w:br/>
        <w:t>default/files/FreedomofthePress_2015_FINAL.pdf</w:t>
      </w:r>
    </w:p>
  </w:footnote>
  <w:footnote w:id="20">
    <w:p w14:paraId="123545AB"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Economic Times (2014) http://articles.economictimes.indiatimes.com/2014-11-28/news/56540685</w:t>
      </w:r>
      <w:r w:rsidRPr="008B7839">
        <w:rPr>
          <w:rFonts w:ascii="Times New Roman" w:hAnsi="Times New Roman" w:cs="Times New Roman"/>
        </w:rPr>
        <w:br/>
        <w:t>_1_narendran-tata-steel-human-development-index</w:t>
      </w:r>
    </w:p>
  </w:footnote>
  <w:footnote w:id="21">
    <w:p w14:paraId="20BE736F"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IMO (2015) http://www.iom.int/countries/india/facts-and-figures</w:t>
      </w:r>
    </w:p>
  </w:footnote>
  <w:footnote w:id="22">
    <w:p w14:paraId="455F39A6"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http://www.ifrcmedia.org/assets/pages/wdr2012/styled/chapter5/indiasaga/index.html</w:t>
      </w:r>
    </w:p>
  </w:footnote>
  <w:footnote w:id="23">
    <w:p w14:paraId="7133645A"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http://www.tata.com/sustainability/articlesinside/The-rainbow-effect</w:t>
      </w:r>
    </w:p>
  </w:footnote>
  <w:footnote w:id="24">
    <w:p w14:paraId="5B9DC2BC"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http://www.iwgia.org/regions/asia/india</w:t>
      </w:r>
    </w:p>
  </w:footnote>
  <w:footnote w:id="25">
    <w:p w14:paraId="4E4491D2"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http://www.portal.gsi.gov.in/portal/page?_pageid=127,697649&amp;_dad=portal&amp;_schema=PORTAL</w:t>
      </w:r>
    </w:p>
  </w:footnote>
  <w:footnote w:id="26">
    <w:p w14:paraId="379AF1DE"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WHO (2013) http://apps.who.int/iris/bitstream/10665/170250/1/9789240694439_eng.pdf?ua=1&amp;ua=1</w:t>
      </w:r>
    </w:p>
  </w:footnote>
  <w:footnote w:id="27">
    <w:p w14:paraId="4E3D9D8D"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http://www.tbcindia.nic.in/key.html</w:t>
      </w:r>
    </w:p>
  </w:footnote>
  <w:footnote w:id="28">
    <w:p w14:paraId="2CD20423"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http://www.hindustantimes.com/india-news/india-s-cities-more-polluted-than-china-but-there-is-still-hope/article1-1355013.aspx</w:t>
      </w:r>
    </w:p>
  </w:footnote>
  <w:footnote w:id="29">
    <w:p w14:paraId="0FF58B5C"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Kanchan, S. (2013) Pollution and Control in steel industry. </w:t>
      </w:r>
    </w:p>
  </w:footnote>
  <w:footnote w:id="30">
    <w:p w14:paraId="59EFF753" w14:textId="77777777" w:rsidR="009650A1" w:rsidRDefault="009650A1" w:rsidP="00FD7DD1">
      <w:pPr>
        <w:pStyle w:val="Funotentext"/>
      </w:pPr>
      <w:r w:rsidRPr="008B7839">
        <w:rPr>
          <w:rStyle w:val="Funotenzeichen"/>
          <w:rFonts w:ascii="Times New Roman" w:hAnsi="Times New Roman" w:cs="Times New Roman"/>
        </w:rPr>
        <w:footnoteRef/>
      </w:r>
      <w:r w:rsidRPr="008B7839">
        <w:rPr>
          <w:rFonts w:ascii="Times New Roman" w:hAnsi="Times New Roman" w:cs="Times New Roman"/>
        </w:rPr>
        <w:t xml:space="preserve"> http://www.ilo.org/ilostat/faces/home/statisticaldata/ContryProfileId?</w:t>
      </w:r>
      <w:r w:rsidRPr="008B7839">
        <w:rPr>
          <w:rFonts w:ascii="Times New Roman" w:hAnsi="Times New Roman" w:cs="Times New Roman"/>
        </w:rPr>
        <w:br/>
        <w:t>_afrLoop=1132002665036949#%40%3F_afrLoop%3D1132002665036949%26_adf.ctrl-state%3Dndxftil0r_190</w:t>
      </w:r>
    </w:p>
  </w:footnote>
  <w:footnote w:id="31">
    <w:p w14:paraId="65F0201D"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http://alpinter.com/production.html</w:t>
      </w:r>
    </w:p>
  </w:footnote>
  <w:footnote w:id="32">
    <w:p w14:paraId="480CE721"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http://www.forbes.com/places/india/</w:t>
      </w:r>
    </w:p>
  </w:footnote>
  <w:footnote w:id="33">
    <w:p w14:paraId="320BBABA"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http://indiainbusiness.nic.in/newdesign/index.php?param=industryservices_landing/349/1</w:t>
      </w:r>
    </w:p>
  </w:footnote>
  <w:footnote w:id="34">
    <w:p w14:paraId="07072DF7"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http://www.geneva-academy.ch/RULAC/current_conflict.php?id_state=107</w:t>
      </w:r>
    </w:p>
  </w:footnote>
  <w:footnote w:id="35">
    <w:p w14:paraId="397B1FA4"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http://indiatoday.intoday.in/story/india-had-most-religious-conflicts-in-2013-china-restrictions-study/1/421277.html</w:t>
      </w:r>
    </w:p>
  </w:footnote>
  <w:footnote w:id="36">
    <w:p w14:paraId="4379B849"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http://www.bbc.com/news/world-asia-india-31705131</w:t>
      </w:r>
    </w:p>
  </w:footnote>
  <w:footnote w:id="37">
    <w:p w14:paraId="2F9F9CF7"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http://steel.gov.in/Scheme%20for%20promotion%20of%20Research%20&amp;%20Development%20in</w:t>
      </w:r>
      <w:r w:rsidRPr="008B7839">
        <w:rPr>
          <w:rFonts w:ascii="Times New Roman" w:hAnsi="Times New Roman" w:cs="Times New Roman"/>
        </w:rPr>
        <w:br/>
        <w:t>%20Indian%20Iron%20&amp;%20Steel%20Industry.htm</w:t>
      </w:r>
    </w:p>
  </w:footnote>
  <w:footnote w:id="38">
    <w:p w14:paraId="718AECC8" w14:textId="77777777" w:rsidR="009650A1" w:rsidRPr="008B7839" w:rsidRDefault="009650A1" w:rsidP="00861854">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http://www.ey.com/IN/en/Services/Assurance/Fraud-Investigation---Dispute-Services/Bribery-and-corruption-ground-reality-in-India</w:t>
      </w:r>
    </w:p>
  </w:footnote>
  <w:footnote w:id="39">
    <w:p w14:paraId="79AA99F5" w14:textId="77777777" w:rsidR="009650A1" w:rsidRPr="008B7839" w:rsidRDefault="009650A1" w:rsidP="00861854">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http://www.worldaudit.org/corruption.htm</w:t>
      </w:r>
    </w:p>
  </w:footnote>
  <w:footnote w:id="40">
    <w:p w14:paraId="2F80B8CD" w14:textId="77777777" w:rsidR="009650A1" w:rsidRPr="008B7839" w:rsidRDefault="009650A1" w:rsidP="00FD7DD1">
      <w:pPr>
        <w:pStyle w:val="Funotentext"/>
        <w:rPr>
          <w:rFonts w:ascii="Times New Roman" w:hAnsi="Times New Roman" w:cs="Times New Roman"/>
        </w:rPr>
      </w:pPr>
      <w:r w:rsidRPr="008B7839">
        <w:rPr>
          <w:rStyle w:val="Funotenzeichen"/>
          <w:rFonts w:ascii="Times New Roman" w:hAnsi="Times New Roman" w:cs="Times New Roman"/>
        </w:rPr>
        <w:footnoteRef/>
      </w:r>
      <w:r w:rsidRPr="008B7839">
        <w:rPr>
          <w:rFonts w:ascii="Times New Roman" w:hAnsi="Times New Roman" w:cs="Times New Roman"/>
        </w:rPr>
        <w:t xml:space="preserve"> UNEP/SETAC (2009) retrieved 11-05-2015 from http://www.unep.org/pdf/DTIE_PDFS/DTIx1164x PA-guidelines_sLCA.pdf</w:t>
      </w:r>
    </w:p>
  </w:footnote>
  <w:footnote w:id="41">
    <w:p w14:paraId="783E4D3D" w14:textId="77777777" w:rsidR="009650A1" w:rsidRPr="00A542FC" w:rsidRDefault="009650A1" w:rsidP="00FD7DD1">
      <w:pPr>
        <w:pStyle w:val="Funotentext"/>
      </w:pPr>
      <w:r>
        <w:rPr>
          <w:rStyle w:val="Funotenzeichen"/>
        </w:rPr>
        <w:footnoteRef/>
      </w:r>
      <w:r>
        <w:t xml:space="preserve"> </w:t>
      </w:r>
      <w:r w:rsidRPr="005C0BC8">
        <w:rPr>
          <w:rFonts w:ascii="Times New Roman" w:hAnsi="Times New Roman" w:cs="Times New Roman"/>
        </w:rPr>
        <w:t>According to method Ciroth and Franze (2011).</w:t>
      </w:r>
      <w:r w:rsidRPr="00A542FC">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6410D" w14:textId="5D26D41C" w:rsidR="009650A1" w:rsidRDefault="009650A1">
    <w:pPr>
      <w:pStyle w:val="Kopfzeile"/>
    </w:pPr>
  </w:p>
  <w:p w14:paraId="70F270C1" w14:textId="77777777" w:rsidR="009650A1" w:rsidRDefault="009650A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DD1"/>
    <w:rsid w:val="000004F8"/>
    <w:rsid w:val="00015FD8"/>
    <w:rsid w:val="00030545"/>
    <w:rsid w:val="00081259"/>
    <w:rsid w:val="00196684"/>
    <w:rsid w:val="001D38F9"/>
    <w:rsid w:val="002A472C"/>
    <w:rsid w:val="002E5538"/>
    <w:rsid w:val="002F30BE"/>
    <w:rsid w:val="00305F89"/>
    <w:rsid w:val="00312217"/>
    <w:rsid w:val="003436E5"/>
    <w:rsid w:val="003A6CAF"/>
    <w:rsid w:val="00416077"/>
    <w:rsid w:val="00446528"/>
    <w:rsid w:val="004A2526"/>
    <w:rsid w:val="004D2ABF"/>
    <w:rsid w:val="004F7773"/>
    <w:rsid w:val="00561F9A"/>
    <w:rsid w:val="00567EB7"/>
    <w:rsid w:val="005A07F5"/>
    <w:rsid w:val="005C5E1E"/>
    <w:rsid w:val="006045B1"/>
    <w:rsid w:val="00693C5C"/>
    <w:rsid w:val="007162CD"/>
    <w:rsid w:val="007519DF"/>
    <w:rsid w:val="00761F08"/>
    <w:rsid w:val="00861854"/>
    <w:rsid w:val="008A0389"/>
    <w:rsid w:val="008B6040"/>
    <w:rsid w:val="00955CCD"/>
    <w:rsid w:val="009650A1"/>
    <w:rsid w:val="009C55BA"/>
    <w:rsid w:val="009F54AC"/>
    <w:rsid w:val="00A20068"/>
    <w:rsid w:val="00A20C79"/>
    <w:rsid w:val="00AB772C"/>
    <w:rsid w:val="00B01A6D"/>
    <w:rsid w:val="00B24B32"/>
    <w:rsid w:val="00BA0EAF"/>
    <w:rsid w:val="00BC7C4F"/>
    <w:rsid w:val="00C23D60"/>
    <w:rsid w:val="00C244CE"/>
    <w:rsid w:val="00C41958"/>
    <w:rsid w:val="00C67148"/>
    <w:rsid w:val="00C86456"/>
    <w:rsid w:val="00CA3C86"/>
    <w:rsid w:val="00D746B5"/>
    <w:rsid w:val="00DB7CA3"/>
    <w:rsid w:val="00DE6918"/>
    <w:rsid w:val="00E020BB"/>
    <w:rsid w:val="00E76932"/>
    <w:rsid w:val="00EB1958"/>
    <w:rsid w:val="00EB258E"/>
    <w:rsid w:val="00EE7DF4"/>
    <w:rsid w:val="00EF4C3D"/>
    <w:rsid w:val="00F12800"/>
    <w:rsid w:val="00F352A9"/>
    <w:rsid w:val="00F35E1F"/>
    <w:rsid w:val="00FD0E92"/>
    <w:rsid w:val="00FD7DD1"/>
    <w:rsid w:val="00FE5C16"/>
    <w:rsid w:val="00FF1A8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C00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FD7D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D7DD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D7DD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D7DD1"/>
  </w:style>
  <w:style w:type="paragraph" w:styleId="Fuzeile">
    <w:name w:val="footer"/>
    <w:basedOn w:val="Standard"/>
    <w:link w:val="FuzeileZchn"/>
    <w:uiPriority w:val="99"/>
    <w:unhideWhenUsed/>
    <w:rsid w:val="00FD7DD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D7DD1"/>
  </w:style>
  <w:style w:type="paragraph" w:styleId="Sprechblasentext">
    <w:name w:val="Balloon Text"/>
    <w:basedOn w:val="Standard"/>
    <w:link w:val="SprechblasentextZchn"/>
    <w:uiPriority w:val="99"/>
    <w:semiHidden/>
    <w:unhideWhenUsed/>
    <w:rsid w:val="00FD7DD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D7DD1"/>
    <w:rPr>
      <w:rFonts w:ascii="Tahoma" w:hAnsi="Tahoma" w:cs="Tahoma"/>
      <w:sz w:val="16"/>
      <w:szCs w:val="16"/>
    </w:rPr>
  </w:style>
  <w:style w:type="character" w:customStyle="1" w:styleId="berschrift1Zchn">
    <w:name w:val="Überschrift 1 Zchn"/>
    <w:basedOn w:val="Absatz-Standardschriftart"/>
    <w:link w:val="berschrift1"/>
    <w:uiPriority w:val="9"/>
    <w:rsid w:val="00FD7DD1"/>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D7DD1"/>
    <w:rPr>
      <w:rFonts w:asciiTheme="majorHAnsi" w:eastAsiaTheme="majorEastAsia" w:hAnsiTheme="majorHAnsi" w:cstheme="majorBidi"/>
      <w:b/>
      <w:bCs/>
      <w:color w:val="4F81BD" w:themeColor="accent1"/>
      <w:sz w:val="26"/>
      <w:szCs w:val="26"/>
    </w:rPr>
  </w:style>
  <w:style w:type="table" w:styleId="Tabellenraster">
    <w:name w:val="Table Grid"/>
    <w:basedOn w:val="NormaleTabelle"/>
    <w:uiPriority w:val="59"/>
    <w:rsid w:val="00FD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FD7DD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D7DD1"/>
    <w:rPr>
      <w:sz w:val="20"/>
      <w:szCs w:val="20"/>
    </w:rPr>
  </w:style>
  <w:style w:type="character" w:styleId="Funotenzeichen">
    <w:name w:val="footnote reference"/>
    <w:basedOn w:val="Absatz-Standardschriftart"/>
    <w:uiPriority w:val="99"/>
    <w:semiHidden/>
    <w:unhideWhenUsed/>
    <w:rsid w:val="00FD7DD1"/>
    <w:rPr>
      <w:vertAlign w:val="superscript"/>
    </w:rPr>
  </w:style>
  <w:style w:type="paragraph" w:styleId="Inhaltsverzeichnisberschrift">
    <w:name w:val="TOC Heading"/>
    <w:basedOn w:val="berschrift1"/>
    <w:next w:val="Standard"/>
    <w:uiPriority w:val="39"/>
    <w:unhideWhenUsed/>
    <w:qFormat/>
    <w:rsid w:val="00FD7DD1"/>
    <w:pPr>
      <w:outlineLvl w:val="9"/>
    </w:pPr>
    <w:rPr>
      <w:lang w:eastAsia="en-GB"/>
    </w:rPr>
  </w:style>
  <w:style w:type="table" w:styleId="MittlereSchattierung1-Akzent1">
    <w:name w:val="Medium Shading 1 Accent 1"/>
    <w:basedOn w:val="NormaleTabelle"/>
    <w:uiPriority w:val="63"/>
    <w:rsid w:val="00FD7DD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HelleListe-Akzent1">
    <w:name w:val="Light List Accent 1"/>
    <w:basedOn w:val="NormaleTabelle"/>
    <w:uiPriority w:val="61"/>
    <w:rsid w:val="00FD7DD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Kommentarzeichen">
    <w:name w:val="annotation reference"/>
    <w:basedOn w:val="Absatz-Standardschriftart"/>
    <w:uiPriority w:val="99"/>
    <w:semiHidden/>
    <w:unhideWhenUsed/>
    <w:rsid w:val="00FD7DD1"/>
    <w:rPr>
      <w:sz w:val="18"/>
      <w:szCs w:val="18"/>
    </w:rPr>
  </w:style>
  <w:style w:type="paragraph" w:styleId="Kommentartext">
    <w:name w:val="annotation text"/>
    <w:basedOn w:val="Standard"/>
    <w:link w:val="KommentartextZchn"/>
    <w:uiPriority w:val="99"/>
    <w:semiHidden/>
    <w:unhideWhenUsed/>
    <w:rsid w:val="00FD7DD1"/>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FD7DD1"/>
    <w:rPr>
      <w:sz w:val="24"/>
      <w:szCs w:val="24"/>
    </w:rPr>
  </w:style>
  <w:style w:type="paragraph" w:styleId="Listenabsatz">
    <w:name w:val="List Paragraph"/>
    <w:basedOn w:val="Standard"/>
    <w:uiPriority w:val="34"/>
    <w:qFormat/>
    <w:rsid w:val="00861854"/>
    <w:pPr>
      <w:ind w:left="720"/>
      <w:contextualSpacing/>
    </w:pPr>
  </w:style>
  <w:style w:type="character" w:styleId="Hyperlink">
    <w:name w:val="Hyperlink"/>
    <w:basedOn w:val="Absatz-Standardschriftart"/>
    <w:uiPriority w:val="99"/>
    <w:unhideWhenUsed/>
    <w:rsid w:val="004F777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FD7D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D7DD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D7DD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D7DD1"/>
  </w:style>
  <w:style w:type="paragraph" w:styleId="Fuzeile">
    <w:name w:val="footer"/>
    <w:basedOn w:val="Standard"/>
    <w:link w:val="FuzeileZchn"/>
    <w:uiPriority w:val="99"/>
    <w:unhideWhenUsed/>
    <w:rsid w:val="00FD7DD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D7DD1"/>
  </w:style>
  <w:style w:type="paragraph" w:styleId="Sprechblasentext">
    <w:name w:val="Balloon Text"/>
    <w:basedOn w:val="Standard"/>
    <w:link w:val="SprechblasentextZchn"/>
    <w:uiPriority w:val="99"/>
    <w:semiHidden/>
    <w:unhideWhenUsed/>
    <w:rsid w:val="00FD7DD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D7DD1"/>
    <w:rPr>
      <w:rFonts w:ascii="Tahoma" w:hAnsi="Tahoma" w:cs="Tahoma"/>
      <w:sz w:val="16"/>
      <w:szCs w:val="16"/>
    </w:rPr>
  </w:style>
  <w:style w:type="character" w:customStyle="1" w:styleId="berschrift1Zchn">
    <w:name w:val="Überschrift 1 Zchn"/>
    <w:basedOn w:val="Absatz-Standardschriftart"/>
    <w:link w:val="berschrift1"/>
    <w:uiPriority w:val="9"/>
    <w:rsid w:val="00FD7DD1"/>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D7DD1"/>
    <w:rPr>
      <w:rFonts w:asciiTheme="majorHAnsi" w:eastAsiaTheme="majorEastAsia" w:hAnsiTheme="majorHAnsi" w:cstheme="majorBidi"/>
      <w:b/>
      <w:bCs/>
      <w:color w:val="4F81BD" w:themeColor="accent1"/>
      <w:sz w:val="26"/>
      <w:szCs w:val="26"/>
    </w:rPr>
  </w:style>
  <w:style w:type="table" w:styleId="Tabellenraster">
    <w:name w:val="Table Grid"/>
    <w:basedOn w:val="NormaleTabelle"/>
    <w:uiPriority w:val="59"/>
    <w:rsid w:val="00FD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FD7DD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D7DD1"/>
    <w:rPr>
      <w:sz w:val="20"/>
      <w:szCs w:val="20"/>
    </w:rPr>
  </w:style>
  <w:style w:type="character" w:styleId="Funotenzeichen">
    <w:name w:val="footnote reference"/>
    <w:basedOn w:val="Absatz-Standardschriftart"/>
    <w:uiPriority w:val="99"/>
    <w:semiHidden/>
    <w:unhideWhenUsed/>
    <w:rsid w:val="00FD7DD1"/>
    <w:rPr>
      <w:vertAlign w:val="superscript"/>
    </w:rPr>
  </w:style>
  <w:style w:type="paragraph" w:styleId="Inhaltsverzeichnisberschrift">
    <w:name w:val="TOC Heading"/>
    <w:basedOn w:val="berschrift1"/>
    <w:next w:val="Standard"/>
    <w:uiPriority w:val="39"/>
    <w:unhideWhenUsed/>
    <w:qFormat/>
    <w:rsid w:val="00FD7DD1"/>
    <w:pPr>
      <w:outlineLvl w:val="9"/>
    </w:pPr>
    <w:rPr>
      <w:lang w:eastAsia="en-GB"/>
    </w:rPr>
  </w:style>
  <w:style w:type="table" w:styleId="MittlereSchattierung1-Akzent1">
    <w:name w:val="Medium Shading 1 Accent 1"/>
    <w:basedOn w:val="NormaleTabelle"/>
    <w:uiPriority w:val="63"/>
    <w:rsid w:val="00FD7DD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HelleListe-Akzent1">
    <w:name w:val="Light List Accent 1"/>
    <w:basedOn w:val="NormaleTabelle"/>
    <w:uiPriority w:val="61"/>
    <w:rsid w:val="00FD7DD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Kommentarzeichen">
    <w:name w:val="annotation reference"/>
    <w:basedOn w:val="Absatz-Standardschriftart"/>
    <w:uiPriority w:val="99"/>
    <w:semiHidden/>
    <w:unhideWhenUsed/>
    <w:rsid w:val="00FD7DD1"/>
    <w:rPr>
      <w:sz w:val="18"/>
      <w:szCs w:val="18"/>
    </w:rPr>
  </w:style>
  <w:style w:type="paragraph" w:styleId="Kommentartext">
    <w:name w:val="annotation text"/>
    <w:basedOn w:val="Standard"/>
    <w:link w:val="KommentartextZchn"/>
    <w:uiPriority w:val="99"/>
    <w:semiHidden/>
    <w:unhideWhenUsed/>
    <w:rsid w:val="00FD7DD1"/>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FD7DD1"/>
    <w:rPr>
      <w:sz w:val="24"/>
      <w:szCs w:val="24"/>
    </w:rPr>
  </w:style>
  <w:style w:type="paragraph" w:styleId="Listenabsatz">
    <w:name w:val="List Paragraph"/>
    <w:basedOn w:val="Standard"/>
    <w:uiPriority w:val="34"/>
    <w:qFormat/>
    <w:rsid w:val="00861854"/>
    <w:pPr>
      <w:ind w:left="720"/>
      <w:contextualSpacing/>
    </w:pPr>
  </w:style>
  <w:style w:type="character" w:styleId="Hyperlink">
    <w:name w:val="Hyperlink"/>
    <w:basedOn w:val="Absatz-Standardschriftart"/>
    <w:uiPriority w:val="99"/>
    <w:unhideWhenUsed/>
    <w:rsid w:val="004F77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410881">
      <w:bodyDiv w:val="1"/>
      <w:marLeft w:val="0"/>
      <w:marRight w:val="0"/>
      <w:marTop w:val="0"/>
      <w:marBottom w:val="0"/>
      <w:divBdr>
        <w:top w:val="none" w:sz="0" w:space="0" w:color="auto"/>
        <w:left w:val="none" w:sz="0" w:space="0" w:color="auto"/>
        <w:bottom w:val="none" w:sz="0" w:space="0" w:color="auto"/>
        <w:right w:val="none" w:sz="0" w:space="0" w:color="auto"/>
      </w:divBdr>
    </w:div>
    <w:div w:id="1188829355">
      <w:bodyDiv w:val="1"/>
      <w:marLeft w:val="0"/>
      <w:marRight w:val="0"/>
      <w:marTop w:val="0"/>
      <w:marBottom w:val="0"/>
      <w:divBdr>
        <w:top w:val="none" w:sz="0" w:space="0" w:color="auto"/>
        <w:left w:val="none" w:sz="0" w:space="0" w:color="auto"/>
        <w:bottom w:val="none" w:sz="0" w:space="0" w:color="auto"/>
        <w:right w:val="none" w:sz="0" w:space="0" w:color="auto"/>
      </w:divBdr>
    </w:div>
    <w:div w:id="1358894186">
      <w:bodyDiv w:val="1"/>
      <w:marLeft w:val="0"/>
      <w:marRight w:val="0"/>
      <w:marTop w:val="0"/>
      <w:marBottom w:val="0"/>
      <w:divBdr>
        <w:top w:val="none" w:sz="0" w:space="0" w:color="auto"/>
        <w:left w:val="none" w:sz="0" w:space="0" w:color="auto"/>
        <w:bottom w:val="none" w:sz="0" w:space="0" w:color="auto"/>
        <w:right w:val="none" w:sz="0" w:space="0" w:color="auto"/>
      </w:divBdr>
    </w:div>
    <w:div w:id="209180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Elisah\Documents\Supplement%203.%20Environmental%20LC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lisah\Documents\Supplement%203.%20Environmental%20LC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Elisah\Documents\Supplement%203.%20Environmental%20LC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lisah\Documents\Supplement%203.%20Environmental%20LC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col"/>
        <c:grouping val="percentStacked"/>
        <c:varyColors val="0"/>
        <c:ser>
          <c:idx val="0"/>
          <c:order val="0"/>
          <c:tx>
            <c:strRef>
              <c:f>India!$J$7</c:f>
              <c:strCache>
                <c:ptCount val="1"/>
                <c:pt idx="0">
                  <c:v>Human Health</c:v>
                </c:pt>
              </c:strCache>
            </c:strRef>
          </c:tx>
          <c:invertIfNegative val="0"/>
          <c:dLbls>
            <c:showLegendKey val="0"/>
            <c:showVal val="1"/>
            <c:showCatName val="0"/>
            <c:showSerName val="0"/>
            <c:showPercent val="0"/>
            <c:showBubbleSize val="0"/>
            <c:showLeaderLines val="0"/>
          </c:dLbls>
          <c:cat>
            <c:strRef>
              <c:f>India!$C$6</c:f>
              <c:strCache>
                <c:ptCount val="1"/>
                <c:pt idx="0">
                  <c:v>Production for 1 ton of product</c:v>
                </c:pt>
              </c:strCache>
            </c:strRef>
          </c:cat>
          <c:val>
            <c:numRef>
              <c:f>India!$J$9</c:f>
              <c:numCache>
                <c:formatCode>0.00%</c:formatCode>
                <c:ptCount val="1"/>
                <c:pt idx="0">
                  <c:v>0.99436837482182905</c:v>
                </c:pt>
              </c:numCache>
            </c:numRef>
          </c:val>
        </c:ser>
        <c:ser>
          <c:idx val="1"/>
          <c:order val="1"/>
          <c:tx>
            <c:strRef>
              <c:f>India!$L$7</c:f>
              <c:strCache>
                <c:ptCount val="1"/>
                <c:pt idx="0">
                  <c:v>Ecosystems</c:v>
                </c:pt>
              </c:strCache>
            </c:strRef>
          </c:tx>
          <c:invertIfNegative val="0"/>
          <c:dLbls>
            <c:showLegendKey val="0"/>
            <c:showVal val="1"/>
            <c:showCatName val="0"/>
            <c:showSerName val="0"/>
            <c:showPercent val="0"/>
            <c:showBubbleSize val="0"/>
            <c:showLeaderLines val="0"/>
          </c:dLbls>
          <c:cat>
            <c:strRef>
              <c:f>India!$C$6</c:f>
              <c:strCache>
                <c:ptCount val="1"/>
                <c:pt idx="0">
                  <c:v>Production for 1 ton of product</c:v>
                </c:pt>
              </c:strCache>
            </c:strRef>
          </c:cat>
          <c:val>
            <c:numRef>
              <c:f>India!$L$9</c:f>
              <c:numCache>
                <c:formatCode>0.00%</c:formatCode>
                <c:ptCount val="1"/>
                <c:pt idx="0">
                  <c:v>5.6316170928646788E-3</c:v>
                </c:pt>
              </c:numCache>
            </c:numRef>
          </c:val>
        </c:ser>
        <c:ser>
          <c:idx val="2"/>
          <c:order val="2"/>
          <c:tx>
            <c:strRef>
              <c:f>India!$N$7</c:f>
              <c:strCache>
                <c:ptCount val="1"/>
                <c:pt idx="0">
                  <c:v>Resources</c:v>
                </c:pt>
              </c:strCache>
            </c:strRef>
          </c:tx>
          <c:invertIfNegative val="0"/>
          <c:cat>
            <c:strRef>
              <c:f>India!$C$6</c:f>
              <c:strCache>
                <c:ptCount val="1"/>
                <c:pt idx="0">
                  <c:v>Production for 1 ton of product</c:v>
                </c:pt>
              </c:strCache>
            </c:strRef>
          </c:cat>
          <c:val>
            <c:numRef>
              <c:f>India!$N$8</c:f>
              <c:numCache>
                <c:formatCode>General</c:formatCode>
                <c:ptCount val="1"/>
                <c:pt idx="0">
                  <c:v>0</c:v>
                </c:pt>
              </c:numCache>
            </c:numRef>
          </c:val>
        </c:ser>
        <c:dLbls>
          <c:showLegendKey val="0"/>
          <c:showVal val="0"/>
          <c:showCatName val="0"/>
          <c:showSerName val="0"/>
          <c:showPercent val="0"/>
          <c:showBubbleSize val="0"/>
        </c:dLbls>
        <c:gapWidth val="150"/>
        <c:overlap val="100"/>
        <c:axId val="256655360"/>
        <c:axId val="127385600"/>
      </c:barChart>
      <c:catAx>
        <c:axId val="256655360"/>
        <c:scaling>
          <c:orientation val="minMax"/>
        </c:scaling>
        <c:delete val="1"/>
        <c:axPos val="b"/>
        <c:title>
          <c:tx>
            <c:rich>
              <a:bodyPr/>
              <a:lstStyle/>
              <a:p>
                <a:pPr>
                  <a:defRPr/>
                </a:pPr>
                <a:r>
                  <a:rPr lang="en-GB"/>
                  <a:t>Production for 1 ton of product</a:t>
                </a:r>
              </a:p>
            </c:rich>
          </c:tx>
          <c:overlay val="0"/>
        </c:title>
        <c:majorTickMark val="out"/>
        <c:minorTickMark val="none"/>
        <c:tickLblPos val="nextTo"/>
        <c:crossAx val="127385600"/>
        <c:crosses val="autoZero"/>
        <c:auto val="1"/>
        <c:lblAlgn val="ctr"/>
        <c:lblOffset val="100"/>
        <c:noMultiLvlLbl val="0"/>
      </c:catAx>
      <c:valAx>
        <c:axId val="127385600"/>
        <c:scaling>
          <c:orientation val="minMax"/>
          <c:min val="0.99"/>
        </c:scaling>
        <c:delete val="0"/>
        <c:axPos val="l"/>
        <c:majorGridlines/>
        <c:numFmt formatCode="0.00%" sourceLinked="0"/>
        <c:majorTickMark val="out"/>
        <c:minorTickMark val="none"/>
        <c:tickLblPos val="nextTo"/>
        <c:crossAx val="256655360"/>
        <c:crosses val="autoZero"/>
        <c:crossBetween val="between"/>
      </c:valAx>
    </c:plotArea>
    <c:legend>
      <c:legendPos val="r"/>
      <c:overlay val="0"/>
    </c:legend>
    <c:plotVisOnly val="1"/>
    <c:dispBlanksAs val="gap"/>
    <c:showDLblsOverMax val="0"/>
  </c:chart>
  <c:txPr>
    <a:bodyPr/>
    <a:lstStyle/>
    <a:p>
      <a:pPr>
        <a:defRPr sz="800"/>
      </a:pPr>
      <a:endParaRPr lang="de-DE"/>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Contribution to endpoint impacts</a:t>
            </a:r>
          </a:p>
        </c:rich>
      </c:tx>
      <c:overlay val="0"/>
    </c:title>
    <c:autoTitleDeleted val="0"/>
    <c:plotArea>
      <c:layout/>
      <c:barChart>
        <c:barDir val="col"/>
        <c:grouping val="percentStacked"/>
        <c:varyColors val="0"/>
        <c:ser>
          <c:idx val="0"/>
          <c:order val="0"/>
          <c:tx>
            <c:strRef>
              <c:f>India!$I$56</c:f>
              <c:strCache>
                <c:ptCount val="1"/>
                <c:pt idx="0">
                  <c:v>Production</c:v>
                </c:pt>
              </c:strCache>
            </c:strRef>
          </c:tx>
          <c:invertIfNegative val="0"/>
          <c:cat>
            <c:strRef>
              <c:f>(India!$K$55;India!$M$55;India!$N$55)</c:f>
              <c:strCache>
                <c:ptCount val="3"/>
                <c:pt idx="0">
                  <c:v>Human Health</c:v>
                </c:pt>
                <c:pt idx="1">
                  <c:v>Ecosystems</c:v>
                </c:pt>
                <c:pt idx="2">
                  <c:v>Resources</c:v>
                </c:pt>
              </c:strCache>
            </c:strRef>
          </c:cat>
          <c:val>
            <c:numRef>
              <c:f>(India!$K$56;India!$M$56;India!$N$56)</c:f>
              <c:numCache>
                <c:formatCode>0.0%</c:formatCode>
                <c:ptCount val="3"/>
                <c:pt idx="0">
                  <c:v>0.9622925844237773</c:v>
                </c:pt>
                <c:pt idx="1">
                  <c:v>0.96546115111079245</c:v>
                </c:pt>
              </c:numCache>
            </c:numRef>
          </c:val>
        </c:ser>
        <c:ser>
          <c:idx val="1"/>
          <c:order val="1"/>
          <c:tx>
            <c:strRef>
              <c:f>India!$I$57</c:f>
              <c:strCache>
                <c:ptCount val="1"/>
                <c:pt idx="0">
                  <c:v>Transportation</c:v>
                </c:pt>
              </c:strCache>
            </c:strRef>
          </c:tx>
          <c:invertIfNegative val="0"/>
          <c:cat>
            <c:strRef>
              <c:f>(India!$K$55;India!$M$55;India!$N$55)</c:f>
              <c:strCache>
                <c:ptCount val="3"/>
                <c:pt idx="0">
                  <c:v>Human Health</c:v>
                </c:pt>
                <c:pt idx="1">
                  <c:v>Ecosystems</c:v>
                </c:pt>
                <c:pt idx="2">
                  <c:v>Resources</c:v>
                </c:pt>
              </c:strCache>
            </c:strRef>
          </c:cat>
          <c:val>
            <c:numRef>
              <c:f>(India!$K$57;India!$M$57;India!$N$57)</c:f>
              <c:numCache>
                <c:formatCode>0.0%</c:formatCode>
                <c:ptCount val="3"/>
                <c:pt idx="0">
                  <c:v>3.7707415576222682E-2</c:v>
                </c:pt>
                <c:pt idx="1">
                  <c:v>3.4538848889207573E-2</c:v>
                </c:pt>
              </c:numCache>
            </c:numRef>
          </c:val>
        </c:ser>
        <c:dLbls>
          <c:dLblPos val="ctr"/>
          <c:showLegendKey val="0"/>
          <c:showVal val="1"/>
          <c:showCatName val="0"/>
          <c:showSerName val="0"/>
          <c:showPercent val="0"/>
          <c:showBubbleSize val="0"/>
        </c:dLbls>
        <c:gapWidth val="150"/>
        <c:overlap val="100"/>
        <c:axId val="256655872"/>
        <c:axId val="127387328"/>
      </c:barChart>
      <c:catAx>
        <c:axId val="256655872"/>
        <c:scaling>
          <c:orientation val="minMax"/>
        </c:scaling>
        <c:delete val="0"/>
        <c:axPos val="b"/>
        <c:numFmt formatCode="General" sourceLinked="1"/>
        <c:majorTickMark val="out"/>
        <c:minorTickMark val="none"/>
        <c:tickLblPos val="nextTo"/>
        <c:crossAx val="127387328"/>
        <c:crosses val="autoZero"/>
        <c:auto val="1"/>
        <c:lblAlgn val="ctr"/>
        <c:lblOffset val="100"/>
        <c:noMultiLvlLbl val="0"/>
      </c:catAx>
      <c:valAx>
        <c:axId val="127387328"/>
        <c:scaling>
          <c:orientation val="minMax"/>
        </c:scaling>
        <c:delete val="0"/>
        <c:axPos val="l"/>
        <c:majorGridlines/>
        <c:numFmt formatCode="0.00%" sourceLinked="0"/>
        <c:majorTickMark val="out"/>
        <c:minorTickMark val="none"/>
        <c:tickLblPos val="nextTo"/>
        <c:crossAx val="256655872"/>
        <c:crosses val="autoZero"/>
        <c:crossBetween val="between"/>
        <c:majorUnit val="5.000000000000001E-3"/>
      </c:valAx>
    </c:plotArea>
    <c:legend>
      <c:legendPos val="r"/>
      <c:overlay val="0"/>
    </c:legend>
    <c:plotVisOnly val="1"/>
    <c:dispBlanksAs val="gap"/>
    <c:showDLblsOverMax val="0"/>
  </c:chart>
  <c:txPr>
    <a:bodyPr/>
    <a:lstStyle/>
    <a:p>
      <a:pPr>
        <a:defRPr sz="800"/>
      </a:pPr>
      <a:endParaRPr lang="de-DE"/>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Contribution to midpoint impacts</a:t>
            </a:r>
          </a:p>
        </c:rich>
      </c:tx>
      <c:overlay val="0"/>
    </c:title>
    <c:autoTitleDeleted val="0"/>
    <c:plotArea>
      <c:layout/>
      <c:barChart>
        <c:barDir val="col"/>
        <c:grouping val="clustered"/>
        <c:varyColors val="0"/>
        <c:ser>
          <c:idx val="0"/>
          <c:order val="0"/>
          <c:invertIfNegative val="0"/>
          <c:dLbls>
            <c:numFmt formatCode="0.00%" sourceLinked="0"/>
            <c:dLblPos val="ctr"/>
            <c:showLegendKey val="0"/>
            <c:showVal val="1"/>
            <c:showCatName val="0"/>
            <c:showSerName val="0"/>
            <c:showPercent val="0"/>
            <c:showBubbleSize val="0"/>
            <c:showLeaderLines val="0"/>
          </c:dLbls>
          <c:cat>
            <c:multiLvlStrRef>
              <c:f>India!$E$59:$F$64</c:f>
              <c:multiLvlStrCache>
                <c:ptCount val="6"/>
                <c:lvl>
                  <c:pt idx="0">
                    <c:v>Climate Change</c:v>
                  </c:pt>
                  <c:pt idx="1">
                    <c:v>Marine Eutroph</c:v>
                  </c:pt>
                  <c:pt idx="2">
                    <c:v>Terrestrial acidification</c:v>
                  </c:pt>
                  <c:pt idx="3">
                    <c:v>Climate Change</c:v>
                  </c:pt>
                  <c:pt idx="4">
                    <c:v>Photochemical Oxidant Formation</c:v>
                  </c:pt>
                  <c:pt idx="5">
                    <c:v>Particulate Matter Formation</c:v>
                  </c:pt>
                </c:lvl>
                <c:lvl>
                  <c:pt idx="0">
                    <c:v>Production</c:v>
                  </c:pt>
                  <c:pt idx="1">
                    <c:v>Transportation</c:v>
                  </c:pt>
                </c:lvl>
              </c:multiLvlStrCache>
            </c:multiLvlStrRef>
          </c:cat>
          <c:val>
            <c:numRef>
              <c:f>India!$H$59:$H$64</c:f>
              <c:numCache>
                <c:formatCode>0.00000%</c:formatCode>
                <c:ptCount val="6"/>
                <c:pt idx="0">
                  <c:v>0.96540751567376282</c:v>
                </c:pt>
                <c:pt idx="1">
                  <c:v>7.5114679527527885E-6</c:v>
                </c:pt>
                <c:pt idx="2">
                  <c:v>1.1026008004040791E-4</c:v>
                </c:pt>
                <c:pt idx="3">
                  <c:v>3.445627501262747E-2</c:v>
                </c:pt>
                <c:pt idx="4">
                  <c:v>2.743863598978539E-7</c:v>
                </c:pt>
                <c:pt idx="5">
                  <c:v>1.8163379256656481E-5</c:v>
                </c:pt>
              </c:numCache>
            </c:numRef>
          </c:val>
        </c:ser>
        <c:dLbls>
          <c:dLblPos val="ctr"/>
          <c:showLegendKey val="0"/>
          <c:showVal val="1"/>
          <c:showCatName val="0"/>
          <c:showSerName val="0"/>
          <c:showPercent val="0"/>
          <c:showBubbleSize val="0"/>
        </c:dLbls>
        <c:gapWidth val="150"/>
        <c:axId val="256656384"/>
        <c:axId val="127389632"/>
      </c:barChart>
      <c:catAx>
        <c:axId val="256656384"/>
        <c:scaling>
          <c:orientation val="minMax"/>
        </c:scaling>
        <c:delete val="0"/>
        <c:axPos val="b"/>
        <c:majorTickMark val="out"/>
        <c:minorTickMark val="none"/>
        <c:tickLblPos val="nextTo"/>
        <c:crossAx val="127389632"/>
        <c:crosses val="autoZero"/>
        <c:auto val="1"/>
        <c:lblAlgn val="ctr"/>
        <c:lblOffset val="100"/>
        <c:noMultiLvlLbl val="0"/>
      </c:catAx>
      <c:valAx>
        <c:axId val="127389632"/>
        <c:scaling>
          <c:orientation val="minMax"/>
          <c:max val="1"/>
        </c:scaling>
        <c:delete val="1"/>
        <c:axPos val="l"/>
        <c:numFmt formatCode="0%" sourceLinked="0"/>
        <c:majorTickMark val="out"/>
        <c:minorTickMark val="none"/>
        <c:tickLblPos val="nextTo"/>
        <c:crossAx val="256656384"/>
        <c:crosses val="autoZero"/>
        <c:crossBetween val="between"/>
      </c:valAx>
    </c:plotArea>
    <c:plotVisOnly val="1"/>
    <c:dispBlanksAs val="gap"/>
    <c:showDLblsOverMax val="0"/>
  </c:chart>
  <c:txPr>
    <a:bodyPr/>
    <a:lstStyle/>
    <a:p>
      <a:pPr>
        <a:defRPr sz="800"/>
      </a:pPr>
      <a:endParaRPr lang="de-DE"/>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11"/>
    </mc:Choice>
    <mc:Fallback>
      <c:style val="11"/>
    </mc:Fallback>
  </mc:AlternateContent>
  <c:chart>
    <c:title>
      <c:tx>
        <c:rich>
          <a:bodyPr/>
          <a:lstStyle/>
          <a:p>
            <a:pPr>
              <a:defRPr/>
            </a:pPr>
            <a:r>
              <a:rPr lang="en-US"/>
              <a:t>Contribution to Climate Change impacts</a:t>
            </a:r>
          </a:p>
        </c:rich>
      </c:tx>
      <c:overlay val="0"/>
    </c:title>
    <c:autoTitleDeleted val="0"/>
    <c:plotArea>
      <c:layout/>
      <c:pieChart>
        <c:varyColors val="1"/>
        <c:ser>
          <c:idx val="0"/>
          <c:order val="0"/>
          <c:tx>
            <c:strRef>
              <c:f>India!$D$57</c:f>
              <c:strCache>
                <c:ptCount val="1"/>
                <c:pt idx="0">
                  <c:v>Climate change</c:v>
                </c:pt>
              </c:strCache>
            </c:strRef>
          </c:tx>
          <c:dLbls>
            <c:showLegendKey val="0"/>
            <c:showVal val="0"/>
            <c:showCatName val="0"/>
            <c:showSerName val="0"/>
            <c:showPercent val="1"/>
            <c:showBubbleSize val="0"/>
            <c:showLeaderLines val="1"/>
          </c:dLbls>
          <c:cat>
            <c:strRef>
              <c:f>India!$C$58:$C$59</c:f>
              <c:strCache>
                <c:ptCount val="2"/>
                <c:pt idx="0">
                  <c:v>Production</c:v>
                </c:pt>
                <c:pt idx="1">
                  <c:v>Transportation</c:v>
                </c:pt>
              </c:strCache>
            </c:strRef>
          </c:cat>
          <c:val>
            <c:numRef>
              <c:f>India!$D$58:$D$59</c:f>
              <c:numCache>
                <c:formatCode>General</c:formatCode>
                <c:ptCount val="2"/>
                <c:pt idx="0">
                  <c:v>3922.567141828149</c:v>
                </c:pt>
                <c:pt idx="1">
                  <c:v>140</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txPr>
    <a:bodyPr/>
    <a:lstStyle/>
    <a:p>
      <a:pPr>
        <a:defRPr sz="800"/>
      </a:pPr>
      <a:endParaRPr lang="de-DE"/>
    </a:p>
  </c:txPr>
  <c:externalData r:id="rId1">
    <c:autoUpdate val="0"/>
  </c:externalData>
</c:chartSpac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2431</Words>
  <Characters>15321</Characters>
  <Application>Microsoft Office Word</Application>
  <DocSecurity>0</DocSecurity>
  <Lines>127</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17717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Elisah</dc:creator>
  <cp:lastModifiedBy>HP</cp:lastModifiedBy>
  <cp:revision>4</cp:revision>
  <cp:lastPrinted>2016-07-12T11:01:00Z</cp:lastPrinted>
  <dcterms:created xsi:type="dcterms:W3CDTF">2016-11-29T06:52:00Z</dcterms:created>
  <dcterms:modified xsi:type="dcterms:W3CDTF">2016-11-29T06:54:00Z</dcterms:modified>
</cp:coreProperties>
</file>