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FDD" w:rsidRPr="00FD7DD1" w:rsidRDefault="006F1FDD" w:rsidP="006F1FDD">
      <w:pPr>
        <w:pStyle w:val="Inhaltsverzeichnisberschrift"/>
        <w:spacing w:before="0" w:line="360" w:lineRule="auto"/>
        <w:rPr>
          <w:rFonts w:ascii="Times New Roman" w:hAnsi="Times New Roman" w:cs="Times New Roman"/>
          <w:color w:val="auto"/>
          <w:sz w:val="20"/>
          <w:szCs w:val="20"/>
        </w:rPr>
      </w:pPr>
      <w:r w:rsidRPr="00FD7DD1">
        <w:rPr>
          <w:rFonts w:ascii="Times New Roman" w:hAnsi="Times New Roman" w:cs="Times New Roman"/>
          <w:color w:val="auto"/>
          <w:sz w:val="20"/>
          <w:szCs w:val="20"/>
        </w:rPr>
        <w:t xml:space="preserve">SUPPLEMENT </w:t>
      </w:r>
      <w:r>
        <w:rPr>
          <w:rFonts w:ascii="Times New Roman" w:hAnsi="Times New Roman" w:cs="Times New Roman"/>
          <w:color w:val="auto"/>
          <w:sz w:val="20"/>
          <w:szCs w:val="20"/>
        </w:rPr>
        <w:t>2</w:t>
      </w:r>
      <w:r w:rsidRPr="00FD7DD1">
        <w:rPr>
          <w:rFonts w:ascii="Times New Roman" w:hAnsi="Times New Roman" w:cs="Times New Roman"/>
          <w:color w:val="auto"/>
          <w:sz w:val="20"/>
          <w:szCs w:val="20"/>
        </w:rPr>
        <w:t xml:space="preserve">. DATA </w:t>
      </w:r>
      <w:r>
        <w:rPr>
          <w:rFonts w:ascii="Times New Roman" w:hAnsi="Times New Roman" w:cs="Times New Roman"/>
          <w:color w:val="auto"/>
          <w:sz w:val="20"/>
          <w:szCs w:val="20"/>
        </w:rPr>
        <w:t>LOCAL</w:t>
      </w:r>
      <w:r w:rsidRPr="00FD7DD1">
        <w:rPr>
          <w:rFonts w:ascii="Times New Roman" w:hAnsi="Times New Roman" w:cs="Times New Roman"/>
          <w:color w:val="auto"/>
          <w:sz w:val="20"/>
          <w:szCs w:val="20"/>
        </w:rPr>
        <w:t xml:space="preserve"> SOURCING SCENARIO</w:t>
      </w:r>
    </w:p>
    <w:p w:rsidR="006F1FDD" w:rsidRDefault="006F1FDD" w:rsidP="006F1FDD">
      <w:pPr>
        <w:autoSpaceDE w:val="0"/>
        <w:autoSpaceDN w:val="0"/>
        <w:adjustRightInd w:val="0"/>
        <w:spacing w:after="0" w:line="480" w:lineRule="auto"/>
        <w:jc w:val="center"/>
        <w:rPr>
          <w:rFonts w:ascii="Times New Roman" w:hAnsi="Times New Roman" w:cs="Times New Roman"/>
          <w:sz w:val="20"/>
          <w:szCs w:val="20"/>
          <w:lang w:val="en"/>
        </w:rPr>
      </w:pPr>
    </w:p>
    <w:p w:rsidR="008920DE" w:rsidRPr="00D20450" w:rsidRDefault="008920DE" w:rsidP="008920DE">
      <w:pPr>
        <w:autoSpaceDE w:val="0"/>
        <w:autoSpaceDN w:val="0"/>
        <w:adjustRightInd w:val="0"/>
        <w:spacing w:after="0" w:line="480" w:lineRule="auto"/>
        <w:rPr>
          <w:rFonts w:ascii="Times New Roman" w:hAnsi="Times New Roman" w:cs="Times New Roman"/>
          <w:sz w:val="16"/>
          <w:szCs w:val="16"/>
          <w:lang w:val="nl-NL"/>
        </w:rPr>
      </w:pPr>
    </w:p>
    <w:p w:rsidR="006F1FDD" w:rsidRPr="005A07F5" w:rsidRDefault="006F1FDD" w:rsidP="006F1FDD">
      <w:pPr>
        <w:spacing w:after="240" w:line="360" w:lineRule="auto"/>
        <w:jc w:val="both"/>
        <w:rPr>
          <w:rFonts w:ascii="Times New Roman" w:hAnsi="Times New Roman" w:cs="Times New Roman"/>
          <w:b/>
          <w:sz w:val="20"/>
          <w:szCs w:val="20"/>
        </w:rPr>
      </w:pPr>
      <w:r w:rsidRPr="005A07F5">
        <w:rPr>
          <w:rFonts w:ascii="Times New Roman" w:hAnsi="Times New Roman" w:cs="Times New Roman"/>
          <w:b/>
          <w:sz w:val="20"/>
          <w:szCs w:val="20"/>
        </w:rPr>
        <w:t>Section 1.  Environmental LCA International Sourcing</w:t>
      </w:r>
      <w:r>
        <w:rPr>
          <w:rFonts w:ascii="Times New Roman" w:hAnsi="Times New Roman" w:cs="Times New Roman"/>
          <w:b/>
          <w:sz w:val="20"/>
          <w:szCs w:val="20"/>
        </w:rPr>
        <w:t xml:space="preserve"> Scenario</w:t>
      </w:r>
    </w:p>
    <w:p w:rsidR="006F1FDD" w:rsidRPr="00FD7DD1" w:rsidRDefault="006F1FDD" w:rsidP="006F1FDD">
      <w:pPr>
        <w:spacing w:line="360" w:lineRule="auto"/>
        <w:jc w:val="both"/>
        <w:rPr>
          <w:rFonts w:ascii="Times New Roman" w:hAnsi="Times New Roman" w:cs="Times New Roman"/>
          <w:b/>
          <w:bCs/>
          <w:sz w:val="20"/>
          <w:szCs w:val="20"/>
        </w:rPr>
      </w:pPr>
      <w:r w:rsidRPr="00FD7DD1">
        <w:rPr>
          <w:rFonts w:ascii="Times New Roman" w:hAnsi="Times New Roman" w:cs="Times New Roman"/>
          <w:b/>
          <w:bCs/>
          <w:sz w:val="20"/>
          <w:szCs w:val="20"/>
        </w:rPr>
        <w:t>Inventory Data</w:t>
      </w:r>
    </w:p>
    <w:p w:rsidR="006F1FDD" w:rsidRPr="00FD7DD1" w:rsidRDefault="006F1FDD" w:rsidP="006F1FDD">
      <w:pPr>
        <w:spacing w:line="360" w:lineRule="auto"/>
        <w:rPr>
          <w:rFonts w:ascii="Times New Roman" w:eastAsiaTheme="majorEastAsia" w:hAnsi="Times New Roman" w:cs="Times New Roman"/>
          <w:b/>
          <w:bCs/>
          <w:sz w:val="20"/>
          <w:szCs w:val="20"/>
        </w:rPr>
      </w:pPr>
      <w:r>
        <w:rPr>
          <w:rFonts w:ascii="Times New Roman" w:hAnsi="Times New Roman" w:cs="Times New Roman"/>
          <w:noProof/>
          <w:sz w:val="20"/>
          <w:szCs w:val="20"/>
          <w:lang w:eastAsia="en-GB"/>
        </w:rPr>
        <w:t>Table 1</w:t>
      </w:r>
      <w:r w:rsidRPr="00FD7DD1">
        <w:rPr>
          <w:rFonts w:ascii="Times New Roman" w:hAnsi="Times New Roman" w:cs="Times New Roman"/>
          <w:noProof/>
          <w:sz w:val="20"/>
          <w:szCs w:val="20"/>
          <w:lang w:eastAsia="en-GB"/>
        </w:rPr>
        <w:t xml:space="preserve"> presents general product data concerning weight and volume of the kitchen set. </w:t>
      </w:r>
    </w:p>
    <w:tbl>
      <w:tblPr>
        <w:tblStyle w:val="Tabellenraster"/>
        <w:tblW w:w="9072" w:type="dxa"/>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410"/>
        <w:gridCol w:w="2268"/>
        <w:gridCol w:w="2835"/>
        <w:gridCol w:w="1559"/>
      </w:tblGrid>
      <w:tr w:rsidR="00074C05" w:rsidRPr="00074C05" w:rsidTr="00500D0D">
        <w:tc>
          <w:tcPr>
            <w:tcW w:w="2410" w:type="dxa"/>
            <w:shd w:val="clear" w:color="auto" w:fill="4F81BD" w:themeFill="accent1"/>
          </w:tcPr>
          <w:p w:rsidR="00074C05" w:rsidRPr="00074C05" w:rsidRDefault="00074C05" w:rsidP="00074C05">
            <w:pPr>
              <w:autoSpaceDE w:val="0"/>
              <w:autoSpaceDN w:val="0"/>
              <w:adjustRightInd w:val="0"/>
              <w:spacing w:line="360" w:lineRule="auto"/>
              <w:jc w:val="both"/>
              <w:rPr>
                <w:rFonts w:ascii="Times New Roman" w:hAnsi="Times New Roman" w:cs="Times New Roman"/>
                <w:b/>
                <w:color w:val="FFFFFF" w:themeColor="background1"/>
                <w:sz w:val="20"/>
                <w:szCs w:val="20"/>
              </w:rPr>
            </w:pPr>
            <w:r w:rsidRPr="00074C05">
              <w:rPr>
                <w:rFonts w:ascii="Times New Roman" w:hAnsi="Times New Roman" w:cs="Times New Roman"/>
                <w:b/>
                <w:color w:val="FFFFFF" w:themeColor="background1"/>
                <w:sz w:val="20"/>
                <w:szCs w:val="20"/>
              </w:rPr>
              <w:t>Component</w:t>
            </w:r>
          </w:p>
        </w:tc>
        <w:tc>
          <w:tcPr>
            <w:tcW w:w="2268" w:type="dxa"/>
            <w:shd w:val="clear" w:color="auto" w:fill="4F81BD" w:themeFill="accent1"/>
          </w:tcPr>
          <w:p w:rsidR="00074C05" w:rsidRPr="00074C05" w:rsidRDefault="00074C05" w:rsidP="00074C05">
            <w:pPr>
              <w:autoSpaceDE w:val="0"/>
              <w:autoSpaceDN w:val="0"/>
              <w:adjustRightInd w:val="0"/>
              <w:spacing w:line="360" w:lineRule="auto"/>
              <w:jc w:val="both"/>
              <w:rPr>
                <w:rFonts w:ascii="Times New Roman" w:hAnsi="Times New Roman" w:cs="Times New Roman"/>
                <w:b/>
                <w:color w:val="FFFFFF" w:themeColor="background1"/>
                <w:sz w:val="20"/>
                <w:szCs w:val="20"/>
              </w:rPr>
            </w:pPr>
            <w:r w:rsidRPr="00074C05">
              <w:rPr>
                <w:rFonts w:ascii="Times New Roman" w:hAnsi="Times New Roman" w:cs="Times New Roman"/>
                <w:b/>
                <w:color w:val="FFFFFF" w:themeColor="background1"/>
                <w:sz w:val="20"/>
                <w:szCs w:val="20"/>
              </w:rPr>
              <w:t>Material</w:t>
            </w:r>
          </w:p>
        </w:tc>
        <w:tc>
          <w:tcPr>
            <w:tcW w:w="2835" w:type="dxa"/>
            <w:shd w:val="clear" w:color="auto" w:fill="4F81BD" w:themeFill="accent1"/>
          </w:tcPr>
          <w:p w:rsidR="00074C05" w:rsidRPr="00074C05" w:rsidRDefault="00074C05" w:rsidP="00074C05">
            <w:pPr>
              <w:autoSpaceDE w:val="0"/>
              <w:autoSpaceDN w:val="0"/>
              <w:adjustRightInd w:val="0"/>
              <w:spacing w:line="360" w:lineRule="auto"/>
              <w:jc w:val="both"/>
              <w:rPr>
                <w:rFonts w:ascii="Times New Roman" w:hAnsi="Times New Roman" w:cs="Times New Roman"/>
                <w:b/>
                <w:color w:val="FFFFFF" w:themeColor="background1"/>
                <w:sz w:val="20"/>
                <w:szCs w:val="20"/>
              </w:rPr>
            </w:pPr>
            <w:r w:rsidRPr="00074C05">
              <w:rPr>
                <w:rFonts w:ascii="Times New Roman" w:hAnsi="Times New Roman" w:cs="Times New Roman"/>
                <w:b/>
                <w:color w:val="FFFFFF" w:themeColor="background1"/>
                <w:sz w:val="20"/>
                <w:szCs w:val="20"/>
              </w:rPr>
              <w:t>Weight</w:t>
            </w:r>
          </w:p>
        </w:tc>
        <w:tc>
          <w:tcPr>
            <w:tcW w:w="1559" w:type="dxa"/>
            <w:shd w:val="clear" w:color="auto" w:fill="4F81BD" w:themeFill="accent1"/>
          </w:tcPr>
          <w:p w:rsidR="00074C05" w:rsidRPr="00074C05" w:rsidRDefault="00074C05" w:rsidP="00074C05">
            <w:pPr>
              <w:autoSpaceDE w:val="0"/>
              <w:autoSpaceDN w:val="0"/>
              <w:adjustRightInd w:val="0"/>
              <w:spacing w:line="360" w:lineRule="auto"/>
              <w:jc w:val="both"/>
              <w:rPr>
                <w:rFonts w:ascii="Times New Roman" w:hAnsi="Times New Roman" w:cs="Times New Roman"/>
                <w:b/>
                <w:color w:val="FFFFFF" w:themeColor="background1"/>
                <w:sz w:val="20"/>
                <w:szCs w:val="20"/>
              </w:rPr>
            </w:pPr>
            <w:r w:rsidRPr="00074C05">
              <w:rPr>
                <w:rFonts w:ascii="Times New Roman" w:hAnsi="Times New Roman" w:cs="Times New Roman"/>
                <w:b/>
                <w:color w:val="FFFFFF" w:themeColor="background1"/>
                <w:sz w:val="20"/>
                <w:szCs w:val="20"/>
              </w:rPr>
              <w:t>Volume</w:t>
            </w:r>
          </w:p>
        </w:tc>
      </w:tr>
      <w:tr w:rsidR="00074C05" w:rsidRPr="00074C05" w:rsidTr="00500D0D">
        <w:tc>
          <w:tcPr>
            <w:tcW w:w="2410" w:type="dxa"/>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Kitchen set</w:t>
            </w:r>
          </w:p>
        </w:tc>
        <w:tc>
          <w:tcPr>
            <w:tcW w:w="2268" w:type="dxa"/>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 xml:space="preserve">Mainly Stainless Steel </w:t>
            </w:r>
          </w:p>
        </w:tc>
        <w:tc>
          <w:tcPr>
            <w:tcW w:w="2835" w:type="dxa"/>
            <w:shd w:val="clear" w:color="auto" w:fill="auto"/>
          </w:tcPr>
          <w:p w:rsidR="00074C05" w:rsidRPr="00074C05" w:rsidRDefault="00074C05" w:rsidP="005713EE">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Net weight 1kg/set</w:t>
            </w:r>
          </w:p>
        </w:tc>
        <w:tc>
          <w:tcPr>
            <w:tcW w:w="1559" w:type="dxa"/>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p>
        </w:tc>
      </w:tr>
      <w:tr w:rsidR="00074C05" w:rsidRPr="00074C05" w:rsidTr="00500D0D">
        <w:tc>
          <w:tcPr>
            <w:tcW w:w="2410" w:type="dxa"/>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Packaging</w:t>
            </w:r>
          </w:p>
        </w:tc>
        <w:tc>
          <w:tcPr>
            <w:tcW w:w="2268" w:type="dxa"/>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Double corrugated, export quality cardboard</w:t>
            </w:r>
          </w:p>
        </w:tc>
        <w:tc>
          <w:tcPr>
            <w:tcW w:w="2835" w:type="dxa"/>
            <w:shd w:val="clear" w:color="auto" w:fill="auto"/>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Gross weight p</w:t>
            </w:r>
            <w:r w:rsidR="00D20450">
              <w:rPr>
                <w:rFonts w:ascii="Times New Roman" w:hAnsi="Times New Roman" w:cs="Times New Roman"/>
                <w:sz w:val="20"/>
                <w:szCs w:val="20"/>
              </w:rPr>
              <w:t>er export carton with 4 sets: 4.</w:t>
            </w:r>
            <w:r w:rsidRPr="00074C05">
              <w:rPr>
                <w:rFonts w:ascii="Times New Roman" w:hAnsi="Times New Roman" w:cs="Times New Roman"/>
                <w:sz w:val="20"/>
                <w:szCs w:val="20"/>
              </w:rPr>
              <w:t xml:space="preserve">7 kg. </w:t>
            </w:r>
          </w:p>
        </w:tc>
        <w:tc>
          <w:tcPr>
            <w:tcW w:w="1559" w:type="dxa"/>
          </w:tcPr>
          <w:p w:rsidR="00074C05" w:rsidRPr="00074C05" w:rsidRDefault="00D20450" w:rsidP="00074C05">
            <w:pPr>
              <w:autoSpaceDE w:val="0"/>
              <w:autoSpaceDN w:val="0"/>
              <w:adjustRightInd w:val="0"/>
              <w:spacing w:line="276" w:lineRule="auto"/>
              <w:jc w:val="both"/>
              <w:rPr>
                <w:rFonts w:ascii="Times New Roman" w:hAnsi="Times New Roman" w:cs="Times New Roman"/>
                <w:sz w:val="20"/>
                <w:szCs w:val="20"/>
              </w:rPr>
            </w:pPr>
            <w:r>
              <w:rPr>
                <w:rFonts w:ascii="Times New Roman" w:hAnsi="Times New Roman" w:cs="Times New Roman"/>
                <w:sz w:val="20"/>
                <w:szCs w:val="20"/>
              </w:rPr>
              <w:t>± 0.</w:t>
            </w:r>
            <w:r w:rsidR="00074C05" w:rsidRPr="00074C05">
              <w:rPr>
                <w:rFonts w:ascii="Times New Roman" w:hAnsi="Times New Roman" w:cs="Times New Roman"/>
                <w:sz w:val="20"/>
                <w:szCs w:val="20"/>
              </w:rPr>
              <w:t>022 m</w:t>
            </w:r>
            <w:r w:rsidR="00074C05" w:rsidRPr="00074C05">
              <w:rPr>
                <w:rFonts w:ascii="Times New Roman" w:hAnsi="Times New Roman" w:cs="Times New Roman"/>
                <w:sz w:val="20"/>
                <w:szCs w:val="20"/>
                <w:vertAlign w:val="superscript"/>
              </w:rPr>
              <w:t>3</w:t>
            </w:r>
            <w:r>
              <w:rPr>
                <w:rFonts w:ascii="Times New Roman" w:hAnsi="Times New Roman" w:cs="Times New Roman"/>
                <w:sz w:val="20"/>
                <w:szCs w:val="20"/>
              </w:rPr>
              <w:t xml:space="preserve"> (0.3 x 0.3 x 0.</w:t>
            </w:r>
            <w:r w:rsidR="00074C05" w:rsidRPr="00074C05">
              <w:rPr>
                <w:rFonts w:ascii="Times New Roman" w:hAnsi="Times New Roman" w:cs="Times New Roman"/>
                <w:sz w:val="20"/>
                <w:szCs w:val="20"/>
              </w:rPr>
              <w:t>25m.)</w:t>
            </w:r>
          </w:p>
        </w:tc>
      </w:tr>
      <w:tr w:rsidR="00074C05" w:rsidRPr="00074C05" w:rsidTr="00500D0D">
        <w:tc>
          <w:tcPr>
            <w:tcW w:w="2410" w:type="dxa"/>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Seal</w:t>
            </w:r>
          </w:p>
        </w:tc>
        <w:tc>
          <w:tcPr>
            <w:tcW w:w="2268" w:type="dxa"/>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Plastic 10 mm straps</w:t>
            </w:r>
          </w:p>
        </w:tc>
        <w:tc>
          <w:tcPr>
            <w:tcW w:w="2835" w:type="dxa"/>
            <w:shd w:val="clear" w:color="auto" w:fill="auto"/>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w:t>
            </w:r>
          </w:p>
        </w:tc>
        <w:tc>
          <w:tcPr>
            <w:tcW w:w="1559" w:type="dxa"/>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p>
        </w:tc>
      </w:tr>
    </w:tbl>
    <w:p w:rsidR="00074C05" w:rsidRPr="006F1FDD" w:rsidRDefault="00074C05" w:rsidP="00074C05">
      <w:pPr>
        <w:spacing w:line="360" w:lineRule="auto"/>
        <w:jc w:val="both"/>
        <w:rPr>
          <w:rStyle w:val="berschrift2Zchn"/>
          <w:rFonts w:ascii="Times New Roman" w:hAnsi="Times New Roman" w:cs="Times New Roman"/>
          <w:sz w:val="16"/>
          <w:szCs w:val="16"/>
        </w:rPr>
      </w:pPr>
      <w:r w:rsidRPr="006F1FDD">
        <w:rPr>
          <w:rFonts w:ascii="Times New Roman" w:hAnsi="Times New Roman" w:cs="Times New Roman"/>
          <w:b/>
          <w:sz w:val="16"/>
          <w:szCs w:val="16"/>
        </w:rPr>
        <w:t>Table 1 – Weight and volume of kitchen set (Source: UNHCR)</w:t>
      </w:r>
    </w:p>
    <w:p w:rsidR="00074C05" w:rsidRPr="00074C05" w:rsidRDefault="00074C05" w:rsidP="00074C05">
      <w:pPr>
        <w:spacing w:line="360" w:lineRule="auto"/>
        <w:jc w:val="both"/>
        <w:rPr>
          <w:rFonts w:ascii="Times New Roman" w:hAnsi="Times New Roman" w:cs="Times New Roman"/>
          <w:noProof/>
          <w:sz w:val="20"/>
          <w:szCs w:val="20"/>
          <w:lang w:eastAsia="en-GB"/>
        </w:rPr>
      </w:pPr>
      <w:r w:rsidRPr="00074C05">
        <w:rPr>
          <w:rStyle w:val="berschrift2Zchn"/>
          <w:rFonts w:ascii="Times New Roman" w:hAnsi="Times New Roman" w:cs="Times New Roman"/>
          <w:color w:val="auto"/>
          <w:sz w:val="20"/>
          <w:szCs w:val="20"/>
        </w:rPr>
        <w:t>Impact Assessment</w:t>
      </w:r>
    </w:p>
    <w:p w:rsidR="007A4C44" w:rsidRDefault="006F1FDD" w:rsidP="007A4C44">
      <w:pPr>
        <w:spacing w:line="360" w:lineRule="auto"/>
        <w:jc w:val="both"/>
        <w:rPr>
          <w:rFonts w:ascii="Times New Roman" w:hAnsi="Times New Roman" w:cs="Times New Roman"/>
          <w:noProof/>
          <w:sz w:val="20"/>
          <w:szCs w:val="20"/>
          <w:lang w:eastAsia="en-GB"/>
        </w:rPr>
      </w:pPr>
      <w:r w:rsidRPr="00FD7DD1">
        <w:rPr>
          <w:rFonts w:ascii="Times New Roman" w:hAnsi="Times New Roman" w:cs="Times New Roman"/>
          <w:noProof/>
          <w:sz w:val="20"/>
          <w:szCs w:val="20"/>
          <w:lang w:eastAsia="en-GB"/>
        </w:rPr>
        <w:t xml:space="preserve">Using the ReCiPe method (See </w:t>
      </w:r>
      <w:r>
        <w:rPr>
          <w:rFonts w:ascii="Times New Roman" w:hAnsi="Times New Roman" w:cs="Times New Roman"/>
          <w:noProof/>
          <w:sz w:val="20"/>
          <w:szCs w:val="20"/>
          <w:lang w:eastAsia="en-GB"/>
        </w:rPr>
        <w:t>Supplement</w:t>
      </w:r>
      <w:r w:rsidRPr="00FD7DD1">
        <w:rPr>
          <w:rFonts w:ascii="Times New Roman" w:hAnsi="Times New Roman" w:cs="Times New Roman"/>
          <w:noProof/>
          <w:sz w:val="20"/>
          <w:szCs w:val="20"/>
          <w:lang w:eastAsia="en-GB"/>
        </w:rPr>
        <w:t xml:space="preserve"> 3),</w:t>
      </w:r>
      <w:r>
        <w:rPr>
          <w:rFonts w:ascii="Times New Roman" w:hAnsi="Times New Roman" w:cs="Times New Roman"/>
          <w:noProof/>
          <w:sz w:val="20"/>
          <w:szCs w:val="20"/>
          <w:lang w:eastAsia="en-GB"/>
        </w:rPr>
        <w:t xml:space="preserve"> </w:t>
      </w:r>
      <w:r w:rsidRPr="00FD7DD1">
        <w:rPr>
          <w:rFonts w:ascii="Times New Roman" w:hAnsi="Times New Roman" w:cs="Times New Roman"/>
          <w:noProof/>
          <w:sz w:val="20"/>
          <w:szCs w:val="20"/>
          <w:lang w:eastAsia="en-GB"/>
        </w:rPr>
        <w:t>we</w:t>
      </w:r>
      <w:r>
        <w:rPr>
          <w:rFonts w:ascii="Times New Roman" w:hAnsi="Times New Roman" w:cs="Times New Roman"/>
          <w:noProof/>
          <w:sz w:val="20"/>
          <w:szCs w:val="20"/>
          <w:lang w:eastAsia="en-GB"/>
        </w:rPr>
        <w:t xml:space="preserve"> analyzed the inventory data </w:t>
      </w:r>
      <w:r w:rsidRPr="00FD7DD1">
        <w:rPr>
          <w:rFonts w:ascii="Times New Roman" w:hAnsi="Times New Roman" w:cs="Times New Roman"/>
          <w:noProof/>
          <w:sz w:val="20"/>
          <w:szCs w:val="20"/>
          <w:lang w:eastAsia="en-GB"/>
        </w:rPr>
        <w:t xml:space="preserve">in order to determine the impacts of </w:t>
      </w:r>
      <w:r w:rsidR="00675453">
        <w:rPr>
          <w:rFonts w:ascii="Times New Roman" w:hAnsi="Times New Roman" w:cs="Times New Roman"/>
          <w:noProof/>
          <w:sz w:val="20"/>
          <w:szCs w:val="20"/>
          <w:lang w:eastAsia="en-GB"/>
        </w:rPr>
        <w:t>local sourcing</w:t>
      </w:r>
      <w:r w:rsidRPr="00FD7DD1">
        <w:rPr>
          <w:rFonts w:ascii="Times New Roman" w:hAnsi="Times New Roman" w:cs="Times New Roman"/>
          <w:noProof/>
          <w:sz w:val="20"/>
          <w:szCs w:val="20"/>
          <w:lang w:eastAsia="en-GB"/>
        </w:rPr>
        <w:t xml:space="preserve"> (production and transportation)</w:t>
      </w:r>
      <w:r>
        <w:rPr>
          <w:rFonts w:ascii="Times New Roman" w:hAnsi="Times New Roman" w:cs="Times New Roman"/>
          <w:noProof/>
          <w:sz w:val="20"/>
          <w:szCs w:val="20"/>
          <w:lang w:eastAsia="en-GB"/>
        </w:rPr>
        <w:t xml:space="preserve"> on the environment (</w:t>
      </w:r>
      <w:r w:rsidRPr="00FD7DD1">
        <w:rPr>
          <w:rFonts w:ascii="Times New Roman" w:hAnsi="Times New Roman" w:cs="Times New Roman"/>
          <w:noProof/>
          <w:sz w:val="20"/>
          <w:szCs w:val="20"/>
          <w:lang w:eastAsia="en-GB"/>
        </w:rPr>
        <w:t>impact assessment</w:t>
      </w:r>
      <w:r>
        <w:rPr>
          <w:rFonts w:ascii="Times New Roman" w:hAnsi="Times New Roman" w:cs="Times New Roman"/>
          <w:noProof/>
          <w:sz w:val="20"/>
          <w:szCs w:val="20"/>
          <w:lang w:eastAsia="en-GB"/>
        </w:rPr>
        <w:t>).</w:t>
      </w:r>
      <w:r w:rsidRPr="00FD7DD1">
        <w:rPr>
          <w:rFonts w:ascii="Times New Roman" w:hAnsi="Times New Roman" w:cs="Times New Roman"/>
          <w:noProof/>
          <w:sz w:val="20"/>
          <w:szCs w:val="20"/>
          <w:lang w:eastAsia="en-GB"/>
        </w:rPr>
        <w:t xml:space="preserve"> The figures below </w:t>
      </w:r>
      <w:r>
        <w:rPr>
          <w:rFonts w:ascii="Times New Roman" w:hAnsi="Times New Roman" w:cs="Times New Roman"/>
          <w:noProof/>
          <w:sz w:val="20"/>
          <w:szCs w:val="20"/>
          <w:lang w:eastAsia="en-GB"/>
        </w:rPr>
        <w:t>present</w:t>
      </w:r>
      <w:r w:rsidRPr="00FD7DD1">
        <w:rPr>
          <w:rFonts w:ascii="Times New Roman" w:hAnsi="Times New Roman" w:cs="Times New Roman"/>
          <w:noProof/>
          <w:sz w:val="20"/>
          <w:szCs w:val="20"/>
          <w:lang w:eastAsia="en-GB"/>
        </w:rPr>
        <w:t xml:space="preserve"> the results of the en</w:t>
      </w:r>
      <w:r>
        <w:rPr>
          <w:rFonts w:ascii="Times New Roman" w:hAnsi="Times New Roman" w:cs="Times New Roman"/>
          <w:noProof/>
          <w:sz w:val="20"/>
          <w:szCs w:val="20"/>
          <w:lang w:eastAsia="en-GB"/>
        </w:rPr>
        <w:t xml:space="preserve">viornmental impact assessment. These impact categories are described </w:t>
      </w:r>
      <w:r w:rsidRPr="00FD7DD1">
        <w:rPr>
          <w:rFonts w:ascii="Times New Roman" w:hAnsi="Times New Roman" w:cs="Times New Roman"/>
          <w:noProof/>
          <w:sz w:val="20"/>
          <w:szCs w:val="20"/>
          <w:lang w:eastAsia="en-GB"/>
        </w:rPr>
        <w:t xml:space="preserve">in Section 4 of the paper. </w:t>
      </w:r>
      <w:r w:rsidR="007A4C44">
        <w:rPr>
          <w:rFonts w:ascii="Times New Roman" w:hAnsi="Times New Roman" w:cs="Times New Roman"/>
          <w:noProof/>
          <w:sz w:val="20"/>
          <w:szCs w:val="20"/>
          <w:lang w:eastAsia="en-GB"/>
        </w:rPr>
        <w:t xml:space="preserve">The impact categories are shown in Table 2. </w:t>
      </w:r>
      <w:r w:rsidR="007A4C44" w:rsidRPr="00FD7DD1">
        <w:rPr>
          <w:rFonts w:ascii="Times New Roman" w:hAnsi="Times New Roman" w:cs="Times New Roman"/>
          <w:noProof/>
          <w:sz w:val="20"/>
          <w:szCs w:val="20"/>
          <w:lang w:eastAsia="en-GB"/>
        </w:rPr>
        <w:t xml:space="preserve">The background calculations can be found in </w:t>
      </w:r>
      <w:r w:rsidR="007A4C44">
        <w:rPr>
          <w:rFonts w:ascii="Times New Roman" w:hAnsi="Times New Roman" w:cs="Times New Roman"/>
          <w:noProof/>
          <w:sz w:val="20"/>
          <w:szCs w:val="20"/>
          <w:lang w:eastAsia="en-GB"/>
        </w:rPr>
        <w:t>Supplement</w:t>
      </w:r>
      <w:r w:rsidR="007A4C44" w:rsidRPr="00FD7DD1">
        <w:rPr>
          <w:rFonts w:ascii="Times New Roman" w:hAnsi="Times New Roman" w:cs="Times New Roman"/>
          <w:noProof/>
          <w:sz w:val="20"/>
          <w:szCs w:val="20"/>
          <w:lang w:eastAsia="en-GB"/>
        </w:rPr>
        <w:t xml:space="preserve"> 3 (Excelsheet E-LCA). </w:t>
      </w:r>
    </w:p>
    <w:p w:rsidR="007A4C44" w:rsidRDefault="007A4C44" w:rsidP="007A4C44">
      <w:pPr>
        <w:rPr>
          <w:rFonts w:ascii="Times New Roman" w:hAnsi="Times New Roman" w:cs="Times New Roman"/>
          <w:noProof/>
          <w:sz w:val="20"/>
          <w:szCs w:val="20"/>
          <w:lang w:eastAsia="en-GB"/>
        </w:rPr>
      </w:pPr>
      <w:r>
        <w:rPr>
          <w:rFonts w:ascii="Times New Roman" w:hAnsi="Times New Roman" w:cs="Times New Roman"/>
          <w:noProof/>
          <w:sz w:val="20"/>
          <w:szCs w:val="20"/>
          <w:lang w:eastAsia="en-GB"/>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3402"/>
      </w:tblGrid>
      <w:tr w:rsidR="007A4C44" w:rsidTr="001644EA">
        <w:trPr>
          <w:trHeight w:val="90"/>
        </w:trPr>
        <w:tc>
          <w:tcPr>
            <w:tcW w:w="354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hideMark/>
          </w:tcPr>
          <w:p w:rsidR="007A4C44" w:rsidRDefault="007A4C44" w:rsidP="001644EA">
            <w:pPr>
              <w:autoSpaceDE w:val="0"/>
              <w:autoSpaceDN w:val="0"/>
              <w:adjustRightInd w:val="0"/>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Midpoint Impact category</w:t>
            </w:r>
          </w:p>
        </w:tc>
        <w:tc>
          <w:tcPr>
            <w:tcW w:w="3402" w:type="dxa"/>
            <w:tcBorders>
              <w:top w:val="nil"/>
              <w:left w:val="single" w:sz="4" w:space="0" w:color="4F81BD" w:themeColor="accent1"/>
              <w:bottom w:val="single" w:sz="4" w:space="0" w:color="4F81BD" w:themeColor="accent1"/>
              <w:right w:val="nil"/>
            </w:tcBorders>
            <w:shd w:val="clear" w:color="auto" w:fill="4F81BD" w:themeFill="accent1"/>
            <w:hideMark/>
          </w:tcPr>
          <w:p w:rsidR="007A4C44" w:rsidRDefault="007A4C44" w:rsidP="001644EA">
            <w:pPr>
              <w:autoSpaceDE w:val="0"/>
              <w:autoSpaceDN w:val="0"/>
              <w:adjustRightInd w:val="0"/>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Endpoint Impact category</w:t>
            </w:r>
          </w:p>
        </w:tc>
      </w:tr>
      <w:tr w:rsidR="007A4C44" w:rsidTr="001644EA">
        <w:trPr>
          <w:trHeight w:val="4221"/>
        </w:trPr>
        <w:tc>
          <w:tcPr>
            <w:tcW w:w="354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lang w:val="fr-FR"/>
              </w:rPr>
            </w:pPr>
            <w:r>
              <w:rPr>
                <w:rFonts w:ascii="Times New Roman" w:hAnsi="Times New Roman" w:cs="Times New Roman"/>
                <w:color w:val="000000"/>
                <w:sz w:val="20"/>
                <w:szCs w:val="20"/>
                <w:lang w:val="fr-FR"/>
              </w:rPr>
              <w:t>Climate change  (CC)</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lang w:val="fr-FR"/>
              </w:rPr>
            </w:pPr>
            <w:r>
              <w:rPr>
                <w:rFonts w:ascii="Times New Roman" w:hAnsi="Times New Roman" w:cs="Times New Roman"/>
                <w:color w:val="000000"/>
                <w:sz w:val="20"/>
                <w:szCs w:val="20"/>
                <w:lang w:val="fr-FR"/>
              </w:rPr>
              <w:t>Ozone depletion  (OZ)</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lang w:val="fr-FR"/>
              </w:rPr>
            </w:pPr>
            <w:r>
              <w:rPr>
                <w:rFonts w:ascii="Times New Roman" w:hAnsi="Times New Roman" w:cs="Times New Roman"/>
                <w:color w:val="000000"/>
                <w:sz w:val="20"/>
                <w:szCs w:val="20"/>
                <w:lang w:val="fr-FR"/>
              </w:rPr>
              <w:t xml:space="preserve">Terrestrial acidification (TA) </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Freshwater eutrophication (FE)</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Marine eutrophication (ME)</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Human toxicity (HT)</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Photochemical oxidant formation (POF)</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Particulate matter formation  (PMF)</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Terrestrial ecotoxicity (TET)</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Freshwater ecotoxicity (FET)</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Marine ecotoxicity (MET)</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Ionising radiation (IR)</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Agricultural land occupation (ALO)</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Urban land occupation (ULO)</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Natural land transformation (NLT)</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Water depletion (WD)</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Mineral resource depletion (MRD)</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Fossil fuel depletion (FD)</w:t>
            </w:r>
          </w:p>
        </w:tc>
        <w:tc>
          <w:tcPr>
            <w:tcW w:w="340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Damage to Human Health (HH)</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Damage to Ecosystem Diversity (ED)</w:t>
            </w:r>
          </w:p>
          <w:p w:rsidR="007A4C44" w:rsidRDefault="007A4C44" w:rsidP="001644E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Damage to Resource Availability (RA)</w:t>
            </w:r>
          </w:p>
        </w:tc>
      </w:tr>
    </w:tbl>
    <w:p w:rsidR="007A4C44" w:rsidRPr="00FF1A81" w:rsidRDefault="007A4C44" w:rsidP="007A4C44">
      <w:pPr>
        <w:spacing w:line="360" w:lineRule="auto"/>
        <w:jc w:val="both"/>
        <w:rPr>
          <w:rFonts w:ascii="Times New Roman" w:hAnsi="Times New Roman" w:cs="Times New Roman"/>
          <w:noProof/>
          <w:sz w:val="16"/>
          <w:szCs w:val="20"/>
          <w:lang w:val="fr-FR" w:eastAsia="en-GB"/>
        </w:rPr>
      </w:pPr>
      <w:r w:rsidRPr="00BB03D6">
        <w:rPr>
          <w:rFonts w:ascii="Times New Roman" w:hAnsi="Times New Roman" w:cs="Times New Roman"/>
          <w:b/>
          <w:sz w:val="16"/>
          <w:highlight w:val="lightGray"/>
          <w:lang w:val="fr-FR"/>
        </w:rPr>
        <w:t>Table 2 – Environmental Impact Categories (Goedkoop et al., 2013)</w:t>
      </w:r>
    </w:p>
    <w:p w:rsidR="008920DE" w:rsidRDefault="008920DE" w:rsidP="006F1FDD">
      <w:pPr>
        <w:spacing w:line="360" w:lineRule="auto"/>
        <w:jc w:val="both"/>
        <w:rPr>
          <w:rFonts w:ascii="Times New Roman" w:hAnsi="Times New Roman" w:cs="Times New Roman"/>
          <w:noProof/>
          <w:sz w:val="20"/>
          <w:szCs w:val="20"/>
          <w:lang w:eastAsia="en-GB"/>
        </w:rPr>
      </w:pPr>
      <w:r w:rsidRPr="00FD7DD1">
        <w:rPr>
          <w:rFonts w:ascii="Times New Roman" w:hAnsi="Times New Roman" w:cs="Times New Roman"/>
          <w:noProof/>
          <w:sz w:val="20"/>
          <w:szCs w:val="20"/>
          <w:lang w:eastAsia="en-GB"/>
        </w:rPr>
        <w:t xml:space="preserve">Figure 1 shows the environmental endpoint impacts of the </w:t>
      </w:r>
      <w:r>
        <w:rPr>
          <w:rFonts w:ascii="Times New Roman" w:hAnsi="Times New Roman" w:cs="Times New Roman"/>
          <w:noProof/>
          <w:sz w:val="20"/>
          <w:szCs w:val="20"/>
          <w:lang w:eastAsia="en-GB"/>
        </w:rPr>
        <w:t>local</w:t>
      </w:r>
      <w:r w:rsidRPr="00FD7DD1">
        <w:rPr>
          <w:rFonts w:ascii="Times New Roman" w:hAnsi="Times New Roman" w:cs="Times New Roman"/>
          <w:noProof/>
          <w:sz w:val="20"/>
          <w:szCs w:val="20"/>
          <w:lang w:eastAsia="en-GB"/>
        </w:rPr>
        <w:t xml:space="preserve"> sourcing strategy</w:t>
      </w:r>
      <w:r>
        <w:rPr>
          <w:rFonts w:ascii="Times New Roman" w:hAnsi="Times New Roman" w:cs="Times New Roman"/>
          <w:noProof/>
          <w:sz w:val="20"/>
          <w:szCs w:val="20"/>
          <w:lang w:eastAsia="en-GB"/>
        </w:rPr>
        <w:t>.</w:t>
      </w:r>
    </w:p>
    <w:p w:rsidR="008920DE" w:rsidRPr="00FD7DD1" w:rsidRDefault="007A4C44" w:rsidP="008920DE">
      <w:pPr>
        <w:spacing w:after="0" w:line="360" w:lineRule="auto"/>
        <w:jc w:val="center"/>
        <w:rPr>
          <w:rFonts w:ascii="Times New Roman" w:hAnsi="Times New Roman" w:cs="Times New Roman"/>
          <w:noProof/>
          <w:sz w:val="20"/>
          <w:szCs w:val="20"/>
          <w:lang w:eastAsia="en-GB"/>
        </w:rPr>
      </w:pPr>
      <w:r>
        <w:rPr>
          <w:noProof/>
          <w:lang w:val="de-DE" w:eastAsia="de-DE"/>
        </w:rPr>
        <w:drawing>
          <wp:inline distT="0" distB="0" distL="0" distR="0" wp14:anchorId="07C170CE" wp14:editId="65864720">
            <wp:extent cx="2352675" cy="1895475"/>
            <wp:effectExtent l="0" t="0" r="9525" b="9525"/>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920DE" w:rsidRPr="00F352A9" w:rsidRDefault="008920DE" w:rsidP="008920DE">
      <w:pPr>
        <w:spacing w:line="360" w:lineRule="auto"/>
        <w:jc w:val="center"/>
        <w:rPr>
          <w:rFonts w:ascii="Times New Roman" w:hAnsi="Times New Roman" w:cs="Times New Roman"/>
          <w:noProof/>
          <w:sz w:val="20"/>
          <w:szCs w:val="20"/>
          <w:lang w:eastAsia="en-GB"/>
        </w:rPr>
      </w:pPr>
      <w:r w:rsidRPr="00F352A9">
        <w:rPr>
          <w:rFonts w:ascii="Times New Roman" w:hAnsi="Times New Roman" w:cs="Times New Roman"/>
          <w:b/>
          <w:sz w:val="16"/>
          <w:szCs w:val="16"/>
        </w:rPr>
        <w:t xml:space="preserve">Figure 1- Environmental Endpoint Impacts of </w:t>
      </w:r>
      <w:r>
        <w:rPr>
          <w:rFonts w:ascii="Times New Roman" w:hAnsi="Times New Roman" w:cs="Times New Roman"/>
          <w:b/>
          <w:sz w:val="16"/>
          <w:szCs w:val="16"/>
        </w:rPr>
        <w:t>Local</w:t>
      </w:r>
      <w:r w:rsidRPr="00F352A9">
        <w:rPr>
          <w:rFonts w:ascii="Times New Roman" w:hAnsi="Times New Roman" w:cs="Times New Roman"/>
          <w:b/>
          <w:sz w:val="16"/>
          <w:szCs w:val="16"/>
        </w:rPr>
        <w:t xml:space="preserve"> Sourcing (based on emissions according to ReCiPe).</w:t>
      </w:r>
    </w:p>
    <w:p w:rsidR="00675453" w:rsidRDefault="00675453" w:rsidP="00074C05">
      <w:pPr>
        <w:spacing w:line="360" w:lineRule="auto"/>
        <w:jc w:val="both"/>
        <w:rPr>
          <w:rFonts w:ascii="Times New Roman" w:hAnsi="Times New Roman" w:cs="Times New Roman"/>
          <w:noProof/>
          <w:sz w:val="20"/>
          <w:szCs w:val="20"/>
          <w:lang w:eastAsia="en-GB"/>
        </w:rPr>
      </w:pPr>
    </w:p>
    <w:p w:rsidR="008920DE" w:rsidRDefault="008920DE" w:rsidP="008920DE">
      <w:pPr>
        <w:spacing w:line="360" w:lineRule="auto"/>
        <w:jc w:val="both"/>
        <w:rPr>
          <w:rFonts w:ascii="Times New Roman" w:hAnsi="Times New Roman" w:cs="Times New Roman"/>
          <w:noProof/>
          <w:sz w:val="20"/>
          <w:szCs w:val="20"/>
          <w:lang w:eastAsia="en-GB"/>
        </w:rPr>
      </w:pPr>
      <w:r w:rsidRPr="00FD7DD1">
        <w:rPr>
          <w:rFonts w:ascii="Times New Roman" w:hAnsi="Times New Roman" w:cs="Times New Roman"/>
          <w:noProof/>
          <w:sz w:val="20"/>
          <w:szCs w:val="20"/>
          <w:lang w:eastAsia="en-GB"/>
        </w:rPr>
        <w:t xml:space="preserve">Figure </w:t>
      </w:r>
      <w:r>
        <w:rPr>
          <w:rFonts w:ascii="Times New Roman" w:hAnsi="Times New Roman" w:cs="Times New Roman"/>
          <w:noProof/>
          <w:sz w:val="20"/>
          <w:szCs w:val="20"/>
          <w:lang w:eastAsia="en-GB"/>
        </w:rPr>
        <w:t>2</w:t>
      </w:r>
      <w:r w:rsidRPr="00FD7DD1">
        <w:rPr>
          <w:rFonts w:ascii="Times New Roman" w:hAnsi="Times New Roman" w:cs="Times New Roman"/>
          <w:noProof/>
          <w:sz w:val="20"/>
          <w:szCs w:val="20"/>
          <w:lang w:eastAsia="en-GB"/>
        </w:rPr>
        <w:t xml:space="preserve"> shows </w:t>
      </w:r>
      <w:r>
        <w:rPr>
          <w:rFonts w:ascii="Times New Roman" w:hAnsi="Times New Roman" w:cs="Times New Roman"/>
          <w:noProof/>
          <w:sz w:val="20"/>
          <w:szCs w:val="20"/>
          <w:lang w:eastAsia="en-GB"/>
        </w:rPr>
        <w:t>how production and transportation phases contribute to</w:t>
      </w:r>
      <w:r w:rsidRPr="00FD7DD1">
        <w:rPr>
          <w:rFonts w:ascii="Times New Roman" w:hAnsi="Times New Roman" w:cs="Times New Roman"/>
          <w:noProof/>
          <w:sz w:val="20"/>
          <w:szCs w:val="20"/>
          <w:lang w:eastAsia="en-GB"/>
        </w:rPr>
        <w:t xml:space="preserve"> environmental endpoint impacts </w:t>
      </w:r>
      <w:r>
        <w:rPr>
          <w:rFonts w:ascii="Times New Roman" w:hAnsi="Times New Roman" w:cs="Times New Roman"/>
          <w:noProof/>
          <w:sz w:val="20"/>
          <w:szCs w:val="20"/>
          <w:lang w:eastAsia="en-GB"/>
        </w:rPr>
        <w:t>in</w:t>
      </w:r>
      <w:r w:rsidRPr="00FD7DD1">
        <w:rPr>
          <w:rFonts w:ascii="Times New Roman" w:hAnsi="Times New Roman" w:cs="Times New Roman"/>
          <w:noProof/>
          <w:sz w:val="20"/>
          <w:szCs w:val="20"/>
          <w:lang w:eastAsia="en-GB"/>
        </w:rPr>
        <w:t xml:space="preserve"> the</w:t>
      </w:r>
      <w:r>
        <w:rPr>
          <w:rFonts w:ascii="Times New Roman" w:hAnsi="Times New Roman" w:cs="Times New Roman"/>
          <w:noProof/>
          <w:sz w:val="20"/>
          <w:szCs w:val="20"/>
          <w:lang w:eastAsia="en-GB"/>
        </w:rPr>
        <w:t xml:space="preserve"> case of</w:t>
      </w:r>
      <w:r w:rsidRPr="00FD7DD1">
        <w:rPr>
          <w:rFonts w:ascii="Times New Roman" w:hAnsi="Times New Roman" w:cs="Times New Roman"/>
          <w:noProof/>
          <w:sz w:val="20"/>
          <w:szCs w:val="20"/>
          <w:lang w:eastAsia="en-GB"/>
        </w:rPr>
        <w:t xml:space="preserve"> international sourcing.</w:t>
      </w:r>
      <w:r>
        <w:rPr>
          <w:rFonts w:ascii="Times New Roman" w:hAnsi="Times New Roman" w:cs="Times New Roman"/>
          <w:noProof/>
          <w:sz w:val="20"/>
          <w:szCs w:val="20"/>
          <w:lang w:eastAsia="en-GB"/>
        </w:rPr>
        <w:t xml:space="preserve"> </w:t>
      </w:r>
      <w:r w:rsidR="00074C05" w:rsidRPr="00074C05">
        <w:rPr>
          <w:rFonts w:ascii="Times New Roman" w:hAnsi="Times New Roman" w:cs="Times New Roman"/>
          <w:noProof/>
          <w:sz w:val="20"/>
          <w:szCs w:val="20"/>
          <w:lang w:eastAsia="en-GB"/>
        </w:rPr>
        <w:t>We conclude</w:t>
      </w:r>
      <w:r w:rsidRPr="008920DE">
        <w:rPr>
          <w:rFonts w:ascii="Times New Roman" w:hAnsi="Times New Roman" w:cs="Times New Roman"/>
          <w:noProof/>
          <w:sz w:val="20"/>
          <w:szCs w:val="20"/>
          <w:lang w:eastAsia="en-GB"/>
        </w:rPr>
        <w:t xml:space="preserve"> </w:t>
      </w:r>
      <w:r>
        <w:rPr>
          <w:rFonts w:ascii="Times New Roman" w:hAnsi="Times New Roman" w:cs="Times New Roman"/>
          <w:noProof/>
          <w:sz w:val="20"/>
          <w:szCs w:val="20"/>
          <w:lang w:eastAsia="en-GB"/>
        </w:rPr>
        <w:t>that the production phase</w:t>
      </w:r>
      <w:r w:rsidRPr="00FD7DD1">
        <w:rPr>
          <w:rFonts w:ascii="Times New Roman" w:hAnsi="Times New Roman" w:cs="Times New Roman"/>
          <w:noProof/>
          <w:sz w:val="20"/>
          <w:szCs w:val="20"/>
          <w:lang w:eastAsia="en-GB"/>
        </w:rPr>
        <w:t xml:space="preserve"> </w:t>
      </w:r>
      <w:r>
        <w:rPr>
          <w:rFonts w:ascii="Times New Roman" w:hAnsi="Times New Roman" w:cs="Times New Roman"/>
          <w:noProof/>
          <w:sz w:val="20"/>
          <w:szCs w:val="20"/>
          <w:lang w:eastAsia="en-GB"/>
        </w:rPr>
        <w:t>is responsible for more than</w:t>
      </w:r>
      <w:r w:rsidRPr="00FD7DD1">
        <w:rPr>
          <w:rFonts w:ascii="Times New Roman" w:hAnsi="Times New Roman" w:cs="Times New Roman"/>
          <w:noProof/>
          <w:sz w:val="20"/>
          <w:szCs w:val="20"/>
          <w:lang w:eastAsia="en-GB"/>
        </w:rPr>
        <w:t xml:space="preserve"> </w:t>
      </w:r>
      <w:r>
        <w:rPr>
          <w:rFonts w:ascii="Times New Roman" w:hAnsi="Times New Roman" w:cs="Times New Roman"/>
          <w:noProof/>
          <w:sz w:val="20"/>
          <w:szCs w:val="20"/>
          <w:lang w:eastAsia="en-GB"/>
        </w:rPr>
        <w:t xml:space="preserve">89% of impacts both on </w:t>
      </w:r>
      <w:r w:rsidRPr="00FD7DD1">
        <w:rPr>
          <w:rFonts w:ascii="Times New Roman" w:hAnsi="Times New Roman" w:cs="Times New Roman"/>
          <w:noProof/>
          <w:sz w:val="20"/>
          <w:szCs w:val="20"/>
          <w:lang w:eastAsia="en-GB"/>
        </w:rPr>
        <w:t>human health</w:t>
      </w:r>
      <w:r>
        <w:rPr>
          <w:rFonts w:ascii="Times New Roman" w:hAnsi="Times New Roman" w:cs="Times New Roman"/>
          <w:noProof/>
          <w:sz w:val="20"/>
          <w:szCs w:val="20"/>
          <w:lang w:eastAsia="en-GB"/>
        </w:rPr>
        <w:t xml:space="preserve"> and on ecosystems</w:t>
      </w:r>
      <w:r w:rsidRPr="00FD7DD1">
        <w:rPr>
          <w:rFonts w:ascii="Times New Roman" w:hAnsi="Times New Roman" w:cs="Times New Roman"/>
          <w:noProof/>
          <w:sz w:val="20"/>
          <w:szCs w:val="20"/>
          <w:lang w:eastAsia="en-GB"/>
        </w:rPr>
        <w:t>.</w:t>
      </w:r>
      <w:r>
        <w:rPr>
          <w:rFonts w:ascii="Times New Roman" w:hAnsi="Times New Roman" w:cs="Times New Roman"/>
          <w:noProof/>
          <w:sz w:val="20"/>
          <w:szCs w:val="20"/>
          <w:lang w:eastAsia="en-GB"/>
        </w:rPr>
        <w:t xml:space="preserve"> Interestingly this percentage is smaller compared to the international sourcing case.</w:t>
      </w:r>
      <w:r w:rsidRPr="00FD7DD1">
        <w:rPr>
          <w:rFonts w:ascii="Times New Roman" w:hAnsi="Times New Roman" w:cs="Times New Roman"/>
          <w:noProof/>
          <w:sz w:val="20"/>
          <w:szCs w:val="20"/>
          <w:lang w:eastAsia="en-GB"/>
        </w:rPr>
        <w:t xml:space="preserve"> </w:t>
      </w:r>
    </w:p>
    <w:p w:rsidR="00712EB5" w:rsidRDefault="003F4728" w:rsidP="008920DE">
      <w:pPr>
        <w:spacing w:after="0" w:line="360" w:lineRule="auto"/>
        <w:jc w:val="center"/>
        <w:rPr>
          <w:rFonts w:ascii="Times New Roman" w:hAnsi="Times New Roman" w:cs="Times New Roman"/>
          <w:noProof/>
          <w:sz w:val="20"/>
          <w:szCs w:val="20"/>
          <w:lang w:eastAsia="en-GB"/>
        </w:rPr>
      </w:pPr>
      <w:r>
        <w:rPr>
          <w:noProof/>
          <w:lang w:val="de-DE" w:eastAsia="de-DE"/>
        </w:rPr>
        <w:lastRenderedPageBreak/>
        <w:drawing>
          <wp:inline distT="0" distB="0" distL="0" distR="0" wp14:anchorId="5D4B32B6" wp14:editId="0410171B">
            <wp:extent cx="3609975" cy="2105025"/>
            <wp:effectExtent l="0" t="0" r="9525" b="9525"/>
            <wp:docPr id="4"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imes New Roman" w:hAnsi="Times New Roman" w:cs="Times New Roman"/>
          <w:noProof/>
          <w:sz w:val="20"/>
          <w:szCs w:val="20"/>
          <w:lang w:eastAsia="en-GB"/>
        </w:rPr>
        <w:t xml:space="preserve"> </w:t>
      </w:r>
    </w:p>
    <w:p w:rsidR="008920DE" w:rsidRPr="008920DE" w:rsidRDefault="008920DE" w:rsidP="008920DE">
      <w:pPr>
        <w:spacing w:line="360" w:lineRule="auto"/>
        <w:jc w:val="center"/>
        <w:rPr>
          <w:rFonts w:ascii="Times New Roman" w:hAnsi="Times New Roman" w:cs="Times New Roman"/>
          <w:b/>
          <w:sz w:val="16"/>
          <w:szCs w:val="16"/>
        </w:rPr>
      </w:pPr>
      <w:r w:rsidRPr="00F352A9">
        <w:rPr>
          <w:rFonts w:ascii="Times New Roman" w:hAnsi="Times New Roman" w:cs="Times New Roman"/>
          <w:b/>
          <w:sz w:val="16"/>
          <w:szCs w:val="16"/>
        </w:rPr>
        <w:t xml:space="preserve">Figure 2- The relative impact of Production and Transportation phase on Endpoint Impacts, </w:t>
      </w:r>
      <w:r>
        <w:rPr>
          <w:rFonts w:ascii="Times New Roman" w:hAnsi="Times New Roman" w:cs="Times New Roman"/>
          <w:b/>
          <w:sz w:val="16"/>
          <w:szCs w:val="16"/>
        </w:rPr>
        <w:t>Local</w:t>
      </w:r>
      <w:r w:rsidRPr="00F352A9">
        <w:rPr>
          <w:rFonts w:ascii="Times New Roman" w:hAnsi="Times New Roman" w:cs="Times New Roman"/>
          <w:b/>
          <w:sz w:val="16"/>
          <w:szCs w:val="16"/>
        </w:rPr>
        <w:t xml:space="preserve"> Sourcing</w:t>
      </w:r>
    </w:p>
    <w:p w:rsidR="008920DE" w:rsidRDefault="008920DE" w:rsidP="008920DE">
      <w:pPr>
        <w:spacing w:line="360" w:lineRule="auto"/>
        <w:jc w:val="both"/>
        <w:rPr>
          <w:rFonts w:ascii="Times New Roman" w:hAnsi="Times New Roman" w:cs="Times New Roman"/>
          <w:noProof/>
          <w:sz w:val="20"/>
          <w:szCs w:val="20"/>
          <w:lang w:eastAsia="en-GB"/>
        </w:rPr>
      </w:pPr>
      <w:r w:rsidRPr="00074C05">
        <w:rPr>
          <w:rFonts w:ascii="Times New Roman" w:hAnsi="Times New Roman" w:cs="Times New Roman"/>
          <w:noProof/>
          <w:sz w:val="20"/>
          <w:szCs w:val="20"/>
          <w:lang w:eastAsia="en-GB"/>
        </w:rPr>
        <w:t xml:space="preserve">Figure </w:t>
      </w:r>
      <w:r>
        <w:rPr>
          <w:rFonts w:ascii="Times New Roman" w:hAnsi="Times New Roman" w:cs="Times New Roman"/>
          <w:noProof/>
          <w:sz w:val="20"/>
          <w:szCs w:val="20"/>
          <w:lang w:eastAsia="en-GB"/>
        </w:rPr>
        <w:t>3</w:t>
      </w:r>
      <w:r w:rsidRPr="00074C05">
        <w:rPr>
          <w:rFonts w:ascii="Times New Roman" w:hAnsi="Times New Roman" w:cs="Times New Roman"/>
          <w:noProof/>
          <w:sz w:val="20"/>
          <w:szCs w:val="20"/>
          <w:lang w:eastAsia="en-GB"/>
        </w:rPr>
        <w:t xml:space="preserve"> shows the environmental midpoint impacts </w:t>
      </w:r>
      <w:r>
        <w:rPr>
          <w:rFonts w:ascii="Times New Roman" w:hAnsi="Times New Roman" w:cs="Times New Roman"/>
          <w:noProof/>
          <w:sz w:val="20"/>
          <w:szCs w:val="20"/>
          <w:lang w:eastAsia="en-GB"/>
        </w:rPr>
        <w:t>of production and</w:t>
      </w:r>
      <w:r w:rsidRPr="00074C05">
        <w:rPr>
          <w:rFonts w:ascii="Times New Roman" w:hAnsi="Times New Roman" w:cs="Times New Roman"/>
          <w:noProof/>
          <w:sz w:val="20"/>
          <w:szCs w:val="20"/>
          <w:lang w:eastAsia="en-GB"/>
        </w:rPr>
        <w:t xml:space="preserve"> transportation </w:t>
      </w:r>
      <w:r>
        <w:rPr>
          <w:rFonts w:ascii="Times New Roman" w:hAnsi="Times New Roman" w:cs="Times New Roman"/>
          <w:noProof/>
          <w:sz w:val="20"/>
          <w:szCs w:val="20"/>
          <w:lang w:eastAsia="en-GB"/>
        </w:rPr>
        <w:t>under the local</w:t>
      </w:r>
      <w:r w:rsidRPr="00074C05">
        <w:rPr>
          <w:rFonts w:ascii="Times New Roman" w:hAnsi="Times New Roman" w:cs="Times New Roman"/>
          <w:noProof/>
          <w:sz w:val="20"/>
          <w:szCs w:val="20"/>
          <w:lang w:eastAsia="en-GB"/>
        </w:rPr>
        <w:t xml:space="preserve"> sourcing </w:t>
      </w:r>
      <w:r>
        <w:rPr>
          <w:rFonts w:ascii="Times New Roman" w:hAnsi="Times New Roman" w:cs="Times New Roman"/>
          <w:noProof/>
          <w:sz w:val="20"/>
          <w:szCs w:val="20"/>
          <w:lang w:eastAsia="en-GB"/>
        </w:rPr>
        <w:t>scenario</w:t>
      </w:r>
      <w:r w:rsidRPr="00074C05">
        <w:rPr>
          <w:rFonts w:ascii="Times New Roman" w:hAnsi="Times New Roman" w:cs="Times New Roman"/>
          <w:noProof/>
          <w:sz w:val="20"/>
          <w:szCs w:val="20"/>
          <w:lang w:eastAsia="en-GB"/>
        </w:rPr>
        <w:t xml:space="preserve">. The main impact </w:t>
      </w:r>
      <w:r>
        <w:rPr>
          <w:rFonts w:ascii="Times New Roman" w:hAnsi="Times New Roman" w:cs="Times New Roman"/>
          <w:noProof/>
          <w:sz w:val="20"/>
          <w:szCs w:val="20"/>
          <w:lang w:eastAsia="en-GB"/>
        </w:rPr>
        <w:t>here</w:t>
      </w:r>
      <w:r w:rsidRPr="00074C05">
        <w:rPr>
          <w:rFonts w:ascii="Times New Roman" w:hAnsi="Times New Roman" w:cs="Times New Roman"/>
          <w:noProof/>
          <w:sz w:val="20"/>
          <w:szCs w:val="20"/>
          <w:lang w:eastAsia="en-GB"/>
        </w:rPr>
        <w:t xml:space="preserve"> is </w:t>
      </w:r>
      <w:r>
        <w:rPr>
          <w:rFonts w:ascii="Times New Roman" w:hAnsi="Times New Roman" w:cs="Times New Roman"/>
          <w:noProof/>
          <w:sz w:val="20"/>
          <w:szCs w:val="20"/>
          <w:lang w:eastAsia="en-GB"/>
        </w:rPr>
        <w:t>again</w:t>
      </w:r>
      <w:r w:rsidRPr="00074C05">
        <w:rPr>
          <w:rFonts w:ascii="Times New Roman" w:hAnsi="Times New Roman" w:cs="Times New Roman"/>
          <w:noProof/>
          <w:sz w:val="20"/>
          <w:szCs w:val="20"/>
          <w:lang w:eastAsia="en-GB"/>
        </w:rPr>
        <w:t xml:space="preserve"> climate change. The relative impact on climate change of production and transportation (Figure </w:t>
      </w:r>
      <w:r>
        <w:rPr>
          <w:rFonts w:ascii="Times New Roman" w:hAnsi="Times New Roman" w:cs="Times New Roman"/>
          <w:noProof/>
          <w:sz w:val="20"/>
          <w:szCs w:val="20"/>
          <w:lang w:eastAsia="en-GB"/>
        </w:rPr>
        <w:t>4</w:t>
      </w:r>
      <w:r w:rsidRPr="00074C05">
        <w:rPr>
          <w:rFonts w:ascii="Times New Roman" w:hAnsi="Times New Roman" w:cs="Times New Roman"/>
          <w:noProof/>
          <w:sz w:val="20"/>
          <w:szCs w:val="20"/>
          <w:lang w:eastAsia="en-GB"/>
        </w:rPr>
        <w:t>) shows a dominance of production.</w:t>
      </w:r>
      <w:r>
        <w:rPr>
          <w:rFonts w:ascii="Times New Roman" w:hAnsi="Times New Roman" w:cs="Times New Roman"/>
          <w:noProof/>
          <w:sz w:val="20"/>
          <w:szCs w:val="20"/>
          <w:lang w:eastAsia="en-GB"/>
        </w:rPr>
        <w:t xml:space="preserve"> </w:t>
      </w:r>
    </w:p>
    <w:p w:rsidR="008920DE" w:rsidRDefault="003F4728" w:rsidP="008920DE">
      <w:pPr>
        <w:spacing w:line="360" w:lineRule="auto"/>
        <w:jc w:val="center"/>
        <w:rPr>
          <w:rFonts w:ascii="Times New Roman" w:hAnsi="Times New Roman" w:cs="Times New Roman"/>
          <w:sz w:val="20"/>
          <w:szCs w:val="20"/>
        </w:rPr>
      </w:pPr>
      <w:r>
        <w:rPr>
          <w:noProof/>
          <w:lang w:val="de-DE" w:eastAsia="de-DE"/>
        </w:rPr>
        <w:drawing>
          <wp:inline distT="0" distB="0" distL="0" distR="0" wp14:anchorId="525071DF" wp14:editId="2C39CEEA">
            <wp:extent cx="4591050" cy="2686050"/>
            <wp:effectExtent l="0" t="0" r="19050" b="19050"/>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074C05" w:rsidRPr="00074C05">
        <w:rPr>
          <w:rFonts w:ascii="Times New Roman" w:hAnsi="Times New Roman" w:cs="Times New Roman"/>
          <w:sz w:val="20"/>
          <w:szCs w:val="20"/>
        </w:rPr>
        <w:br/>
      </w:r>
      <w:r w:rsidR="00712EB5" w:rsidRPr="008920DE">
        <w:rPr>
          <w:rFonts w:ascii="Times New Roman" w:hAnsi="Times New Roman" w:cs="Times New Roman"/>
          <w:b/>
          <w:sz w:val="16"/>
          <w:szCs w:val="16"/>
        </w:rPr>
        <w:t xml:space="preserve">Figure </w:t>
      </w:r>
      <w:r w:rsidR="008920DE" w:rsidRPr="008920DE">
        <w:rPr>
          <w:rFonts w:ascii="Times New Roman" w:hAnsi="Times New Roman" w:cs="Times New Roman"/>
          <w:b/>
          <w:sz w:val="16"/>
          <w:szCs w:val="16"/>
        </w:rPr>
        <w:t>3</w:t>
      </w:r>
      <w:r w:rsidR="00074C05" w:rsidRPr="008920DE">
        <w:rPr>
          <w:rFonts w:ascii="Times New Roman" w:hAnsi="Times New Roman" w:cs="Times New Roman"/>
          <w:b/>
          <w:sz w:val="16"/>
          <w:szCs w:val="16"/>
        </w:rPr>
        <w:t xml:space="preserve"> – Environmental Midpoint Impacts Local Sourcing (based on emissions according to  ReCiPe).</w:t>
      </w:r>
    </w:p>
    <w:p w:rsidR="008920DE" w:rsidRDefault="00473E50" w:rsidP="008920DE">
      <w:pPr>
        <w:spacing w:line="360" w:lineRule="auto"/>
        <w:jc w:val="center"/>
        <w:rPr>
          <w:rFonts w:ascii="Times New Roman" w:hAnsi="Times New Roman" w:cs="Times New Roman"/>
          <w:sz w:val="20"/>
          <w:szCs w:val="20"/>
        </w:rPr>
      </w:pPr>
      <w:r>
        <w:rPr>
          <w:noProof/>
          <w:lang w:val="de-DE" w:eastAsia="de-DE"/>
        </w:rPr>
        <w:drawing>
          <wp:inline distT="0" distB="0" distL="0" distR="0" wp14:anchorId="0FE1A878" wp14:editId="6AB4D29C">
            <wp:extent cx="3057525" cy="2324100"/>
            <wp:effectExtent l="0" t="0" r="9525" b="19050"/>
            <wp:docPr id="7"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74C05" w:rsidRPr="00074C05">
        <w:rPr>
          <w:rFonts w:ascii="Times New Roman" w:hAnsi="Times New Roman" w:cs="Times New Roman"/>
          <w:sz w:val="20"/>
          <w:szCs w:val="20"/>
        </w:rPr>
        <w:br/>
      </w:r>
      <w:r w:rsidR="00074C05" w:rsidRPr="008920DE">
        <w:rPr>
          <w:rFonts w:ascii="Times New Roman" w:hAnsi="Times New Roman" w:cs="Times New Roman"/>
          <w:b/>
          <w:sz w:val="16"/>
          <w:szCs w:val="16"/>
        </w:rPr>
        <w:t xml:space="preserve">Figure </w:t>
      </w:r>
      <w:r w:rsidR="008920DE" w:rsidRPr="008920DE">
        <w:rPr>
          <w:rFonts w:ascii="Times New Roman" w:hAnsi="Times New Roman" w:cs="Times New Roman"/>
          <w:b/>
          <w:sz w:val="16"/>
          <w:szCs w:val="16"/>
        </w:rPr>
        <w:t>4</w:t>
      </w:r>
      <w:r w:rsidR="00074C05" w:rsidRPr="008920DE">
        <w:rPr>
          <w:rFonts w:ascii="Times New Roman" w:hAnsi="Times New Roman" w:cs="Times New Roman"/>
          <w:b/>
          <w:sz w:val="16"/>
          <w:szCs w:val="16"/>
        </w:rPr>
        <w:t xml:space="preserve"> – The production and transportation relative impact on climate change (based on CO2 emissions according to ReCiPe) </w:t>
      </w:r>
      <w:r w:rsidR="00074C05" w:rsidRPr="008920DE">
        <w:rPr>
          <w:rFonts w:ascii="Times New Roman" w:hAnsi="Times New Roman" w:cs="Times New Roman"/>
          <w:b/>
          <w:sz w:val="16"/>
          <w:szCs w:val="16"/>
        </w:rPr>
        <w:lastRenderedPageBreak/>
        <w:t>Local Sourcing</w:t>
      </w:r>
      <w:r w:rsidR="00074C05">
        <w:rPr>
          <w:rFonts w:ascii="Times New Roman" w:hAnsi="Times New Roman" w:cs="Times New Roman"/>
          <w:b/>
          <w:sz w:val="20"/>
          <w:szCs w:val="20"/>
        </w:rPr>
        <w:tab/>
      </w:r>
      <w:r w:rsidR="00074C05" w:rsidRPr="00074C05">
        <w:rPr>
          <w:rFonts w:ascii="Times New Roman" w:hAnsi="Times New Roman" w:cs="Times New Roman"/>
          <w:sz w:val="20"/>
          <w:szCs w:val="20"/>
        </w:rPr>
        <w:br/>
      </w:r>
    </w:p>
    <w:p w:rsidR="008920DE" w:rsidRDefault="008920DE" w:rsidP="008920DE">
      <w:pPr>
        <w:spacing w:after="0" w:line="360" w:lineRule="auto"/>
        <w:jc w:val="both"/>
        <w:rPr>
          <w:rFonts w:ascii="Times New Roman" w:hAnsi="Times New Roman" w:cs="Times New Roman"/>
          <w:noProof/>
          <w:sz w:val="20"/>
          <w:szCs w:val="20"/>
          <w:lang w:eastAsia="en-GB"/>
        </w:rPr>
      </w:pPr>
      <w:r>
        <w:rPr>
          <w:rFonts w:ascii="Times New Roman" w:hAnsi="Times New Roman" w:cs="Times New Roman"/>
          <w:noProof/>
          <w:sz w:val="20"/>
          <w:szCs w:val="20"/>
          <w:lang w:eastAsia="en-GB"/>
        </w:rPr>
        <w:t xml:space="preserve">Going back to end point impacts, the ultimate effects of interest, Figure 5 shows a comparison between the international and local sourcing scenario. </w:t>
      </w:r>
    </w:p>
    <w:p w:rsidR="00074C05" w:rsidRPr="00074C05" w:rsidRDefault="00074C05" w:rsidP="008920DE">
      <w:pPr>
        <w:spacing w:line="360" w:lineRule="auto"/>
        <w:jc w:val="center"/>
        <w:rPr>
          <w:rFonts w:ascii="Times New Roman" w:hAnsi="Times New Roman" w:cs="Times New Roman"/>
          <w:noProof/>
          <w:sz w:val="20"/>
          <w:szCs w:val="20"/>
          <w:lang w:eastAsia="en-GB"/>
        </w:rPr>
      </w:pPr>
      <w:r w:rsidRPr="00074C05">
        <w:rPr>
          <w:rFonts w:ascii="Times New Roman" w:hAnsi="Times New Roman" w:cs="Times New Roman"/>
          <w:sz w:val="20"/>
          <w:szCs w:val="20"/>
        </w:rPr>
        <w:br/>
      </w:r>
      <w:r w:rsidR="00473E50">
        <w:rPr>
          <w:noProof/>
          <w:lang w:val="de-DE" w:eastAsia="de-DE"/>
        </w:rPr>
        <w:drawing>
          <wp:inline distT="0" distB="0" distL="0" distR="0" wp14:anchorId="63AEED80" wp14:editId="4A122167">
            <wp:extent cx="5972810" cy="2334260"/>
            <wp:effectExtent l="0" t="0" r="27940" b="27940"/>
            <wp:docPr id="9" name="Grafie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473E50" w:rsidRPr="008920DE">
        <w:rPr>
          <w:rFonts w:ascii="Times New Roman" w:hAnsi="Times New Roman" w:cs="Times New Roman"/>
          <w:b/>
          <w:sz w:val="16"/>
          <w:szCs w:val="16"/>
        </w:rPr>
        <w:t xml:space="preserve"> </w:t>
      </w:r>
      <w:r w:rsidRPr="008920DE">
        <w:rPr>
          <w:rFonts w:ascii="Times New Roman" w:hAnsi="Times New Roman" w:cs="Times New Roman"/>
          <w:b/>
          <w:sz w:val="16"/>
          <w:szCs w:val="16"/>
        </w:rPr>
        <w:t xml:space="preserve">Figure </w:t>
      </w:r>
      <w:r w:rsidR="008920DE" w:rsidRPr="008920DE">
        <w:rPr>
          <w:rFonts w:ascii="Times New Roman" w:hAnsi="Times New Roman" w:cs="Times New Roman"/>
          <w:b/>
          <w:sz w:val="16"/>
          <w:szCs w:val="16"/>
        </w:rPr>
        <w:t>5</w:t>
      </w:r>
      <w:r w:rsidRPr="008920DE">
        <w:rPr>
          <w:rFonts w:ascii="Times New Roman" w:hAnsi="Times New Roman" w:cs="Times New Roman"/>
          <w:b/>
          <w:sz w:val="16"/>
          <w:szCs w:val="16"/>
        </w:rPr>
        <w:t xml:space="preserve"> – Comparison of endpoint impacts international versus local sourcing</w:t>
      </w:r>
      <w:r w:rsidRPr="008920DE">
        <w:rPr>
          <w:rFonts w:ascii="Times New Roman" w:hAnsi="Times New Roman" w:cs="Times New Roman"/>
          <w:b/>
          <w:sz w:val="16"/>
          <w:szCs w:val="16"/>
        </w:rPr>
        <w:tab/>
      </w:r>
      <w:r w:rsidRPr="00074C05">
        <w:rPr>
          <w:rFonts w:ascii="Times New Roman" w:hAnsi="Times New Roman" w:cs="Times New Roman"/>
          <w:sz w:val="20"/>
          <w:szCs w:val="20"/>
        </w:rPr>
        <w:br/>
      </w:r>
      <w:r w:rsidRPr="00074C05">
        <w:rPr>
          <w:rFonts w:ascii="Times New Roman" w:hAnsi="Times New Roman" w:cs="Times New Roman"/>
          <w:sz w:val="20"/>
          <w:szCs w:val="20"/>
        </w:rPr>
        <w:br w:type="page"/>
      </w:r>
    </w:p>
    <w:p w:rsidR="00D4149B" w:rsidRPr="00861854" w:rsidRDefault="00D4149B" w:rsidP="00D4149B">
      <w:pPr>
        <w:pStyle w:val="berschrift1"/>
        <w:spacing w:before="240" w:after="240" w:line="360" w:lineRule="auto"/>
        <w:rPr>
          <w:rFonts w:ascii="Times New Roman" w:hAnsi="Times New Roman" w:cs="Times New Roman"/>
          <w:color w:val="auto"/>
          <w:sz w:val="20"/>
          <w:szCs w:val="20"/>
        </w:rPr>
      </w:pPr>
      <w:r w:rsidRPr="00861854">
        <w:rPr>
          <w:rFonts w:ascii="Times New Roman" w:hAnsi="Times New Roman" w:cs="Times New Roman"/>
          <w:color w:val="auto"/>
          <w:sz w:val="20"/>
          <w:szCs w:val="20"/>
        </w:rPr>
        <w:lastRenderedPageBreak/>
        <w:t>Section 2: Social LCA</w:t>
      </w:r>
    </w:p>
    <w:p w:rsidR="00074C05" w:rsidRPr="00074C05" w:rsidRDefault="00D4149B" w:rsidP="00D4149B">
      <w:pPr>
        <w:spacing w:line="360" w:lineRule="auto"/>
        <w:jc w:val="both"/>
        <w:rPr>
          <w:rFonts w:ascii="Times New Roman" w:hAnsi="Times New Roman" w:cs="Times New Roman"/>
          <w:sz w:val="20"/>
          <w:szCs w:val="20"/>
        </w:rPr>
      </w:pPr>
      <w:r w:rsidRPr="00FD7DD1">
        <w:rPr>
          <w:rStyle w:val="berschrift2Zchn"/>
          <w:rFonts w:ascii="Times New Roman" w:hAnsi="Times New Roman" w:cs="Times New Roman"/>
          <w:color w:val="auto"/>
          <w:sz w:val="20"/>
          <w:szCs w:val="20"/>
        </w:rPr>
        <w:t>Inventory Data</w:t>
      </w:r>
      <w:r w:rsidRPr="00FD7DD1">
        <w:rPr>
          <w:rStyle w:val="berschrift2Zchn"/>
          <w:rFonts w:ascii="Times New Roman" w:hAnsi="Times New Roman" w:cs="Times New Roman"/>
          <w:color w:val="auto"/>
          <w:sz w:val="20"/>
          <w:szCs w:val="20"/>
        </w:rPr>
        <w:tab/>
      </w:r>
      <w:r w:rsidRPr="00FD7DD1">
        <w:rPr>
          <w:rStyle w:val="berschrift2Zchn"/>
          <w:rFonts w:ascii="Times New Roman" w:hAnsi="Times New Roman" w:cs="Times New Roman"/>
          <w:color w:val="auto"/>
          <w:sz w:val="20"/>
          <w:szCs w:val="20"/>
        </w:rPr>
        <w:br/>
      </w:r>
      <w:r w:rsidR="00074C05" w:rsidRPr="00074C05">
        <w:rPr>
          <w:rFonts w:ascii="Times New Roman" w:hAnsi="Times New Roman" w:cs="Times New Roman"/>
          <w:sz w:val="20"/>
          <w:szCs w:val="20"/>
        </w:rPr>
        <w:t xml:space="preserve">Data for the social life cycle assessment have been obtained via online (statistics) databases (amongst others databases of UNICEF and the International Labour Organization (ILO)), and additional company and government online resources. </w:t>
      </w:r>
      <w:r w:rsidR="00074C05" w:rsidRPr="00074C05">
        <w:rPr>
          <w:rFonts w:ascii="Times New Roman" w:hAnsi="Times New Roman" w:cs="Times New Roman"/>
          <w:bCs/>
          <w:sz w:val="20"/>
          <w:szCs w:val="20"/>
        </w:rPr>
        <w:t xml:space="preserve">Indicators Social-LCA According to UNEP/SETAC (Ciroth &amp; Franze, 2011). </w:t>
      </w:r>
    </w:p>
    <w:p w:rsidR="00074C05" w:rsidRPr="00074C05" w:rsidRDefault="00074C05" w:rsidP="00074C05">
      <w:pPr>
        <w:spacing w:line="360" w:lineRule="auto"/>
        <w:jc w:val="both"/>
        <w:rPr>
          <w:rFonts w:ascii="Times New Roman" w:hAnsi="Times New Roman" w:cs="Times New Roman"/>
          <w:sz w:val="20"/>
          <w:szCs w:val="20"/>
        </w:rPr>
      </w:pPr>
      <w:r w:rsidRPr="00074C05">
        <w:rPr>
          <w:rFonts w:ascii="Times New Roman" w:hAnsi="Times New Roman" w:cs="Times New Roman"/>
          <w:b/>
          <w:sz w:val="20"/>
          <w:szCs w:val="20"/>
        </w:rPr>
        <w:t>Stakeholder group Workers – production in Kenya</w:t>
      </w:r>
    </w:p>
    <w:tbl>
      <w:tblPr>
        <w:tblStyle w:val="Tabellenraster"/>
        <w:tblW w:w="0" w:type="auto"/>
        <w:tblLook w:val="04A0" w:firstRow="1" w:lastRow="0" w:firstColumn="1" w:lastColumn="0" w:noHBand="0" w:noVBand="1"/>
      </w:tblPr>
      <w:tblGrid>
        <w:gridCol w:w="1668"/>
        <w:gridCol w:w="2409"/>
        <w:gridCol w:w="5209"/>
      </w:tblGrid>
      <w:tr w:rsidR="00074C05" w:rsidRPr="00074C05" w:rsidTr="00D9411E">
        <w:tc>
          <w:tcPr>
            <w:tcW w:w="1668" w:type="dxa"/>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Subcategory</w:t>
            </w:r>
          </w:p>
        </w:tc>
        <w:tc>
          <w:tcPr>
            <w:tcW w:w="2409" w:type="dxa"/>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Indicator</w:t>
            </w:r>
          </w:p>
        </w:tc>
        <w:tc>
          <w:tcPr>
            <w:tcW w:w="5209" w:type="dxa"/>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Status</w:t>
            </w:r>
          </w:p>
        </w:tc>
      </w:tr>
      <w:tr w:rsidR="00074C05" w:rsidRPr="00074C05" w:rsidTr="00D9411E">
        <w:tc>
          <w:tcPr>
            <w:tcW w:w="1668" w:type="dxa"/>
            <w:vMerge w:val="restart"/>
            <w:vAlign w:val="center"/>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Freedom of association and collective bargaining</w:t>
            </w:r>
          </w:p>
        </w:tc>
        <w:tc>
          <w:tcPr>
            <w:tcW w:w="24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Evidence of restriction freedom of association and collective bargaining in country/ sector</w:t>
            </w:r>
          </w:p>
        </w:tc>
        <w:tc>
          <w:tcPr>
            <w:tcW w:w="52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Kenya did ratify the core convention of the international labor organization C.98 (Right to organize and collective bargaining convention), but did not ratify C.87 (Freedom of association and Protection of the right to organize convention)</w:t>
            </w:r>
            <w:r w:rsidRPr="00074C05">
              <w:rPr>
                <w:rStyle w:val="Funotenzeichen"/>
                <w:rFonts w:ascii="Times New Roman" w:hAnsi="Times New Roman" w:cs="Times New Roman"/>
                <w:sz w:val="20"/>
                <w:szCs w:val="20"/>
              </w:rPr>
              <w:footnoteReference w:id="1"/>
            </w:r>
            <w:r w:rsidRPr="00074C05">
              <w:rPr>
                <w:rFonts w:ascii="Times New Roman" w:hAnsi="Times New Roman" w:cs="Times New Roman"/>
                <w:sz w:val="20"/>
                <w:szCs w:val="20"/>
              </w:rPr>
              <w:t>. The process of collective bargaining is not specifically provided for in law.</w:t>
            </w:r>
            <w:r w:rsidRPr="00074C05">
              <w:rPr>
                <w:rStyle w:val="Funotenzeichen"/>
                <w:rFonts w:ascii="Times New Roman" w:hAnsi="Times New Roman" w:cs="Times New Roman"/>
                <w:sz w:val="20"/>
                <w:szCs w:val="20"/>
              </w:rPr>
              <w:footnoteReference w:id="2"/>
            </w:r>
            <w:r w:rsidRPr="00074C05">
              <w:rPr>
                <w:rFonts w:ascii="Times New Roman" w:hAnsi="Times New Roman" w:cs="Times New Roman"/>
                <w:sz w:val="20"/>
                <w:szCs w:val="20"/>
              </w:rPr>
              <w:t xml:space="preserve"> </w:t>
            </w:r>
          </w:p>
        </w:tc>
      </w:tr>
      <w:tr w:rsidR="00074C05" w:rsidRPr="00074C05" w:rsidTr="00D9411E">
        <w:tc>
          <w:tcPr>
            <w:tcW w:w="1668" w:type="dxa"/>
            <w:vMerge/>
            <w:vAlign w:val="center"/>
          </w:tcPr>
          <w:p w:rsidR="00074C05" w:rsidRPr="00074C05" w:rsidRDefault="00074C05" w:rsidP="00D9411E">
            <w:pPr>
              <w:spacing w:line="276" w:lineRule="auto"/>
              <w:rPr>
                <w:rFonts w:ascii="Times New Roman" w:hAnsi="Times New Roman" w:cs="Times New Roman"/>
                <w:sz w:val="20"/>
                <w:szCs w:val="20"/>
              </w:rPr>
            </w:pPr>
          </w:p>
        </w:tc>
        <w:tc>
          <w:tcPr>
            <w:tcW w:w="24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Presence of unions within the sector and description of their influence</w:t>
            </w:r>
          </w:p>
        </w:tc>
        <w:tc>
          <w:tcPr>
            <w:tcW w:w="52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The Central Organization of Trade Unions has 40 affiliated unions and represents around 1 million workers.</w:t>
            </w:r>
            <w:r w:rsidRPr="00074C05">
              <w:rPr>
                <w:rStyle w:val="Funotenzeichen"/>
                <w:rFonts w:ascii="Times New Roman" w:hAnsi="Times New Roman" w:cs="Times New Roman"/>
                <w:sz w:val="20"/>
                <w:szCs w:val="20"/>
              </w:rPr>
              <w:footnoteReference w:id="3"/>
            </w:r>
            <w:r w:rsidRPr="00074C05">
              <w:rPr>
                <w:rFonts w:ascii="Times New Roman" w:hAnsi="Times New Roman" w:cs="Times New Roman"/>
                <w:sz w:val="20"/>
                <w:szCs w:val="20"/>
              </w:rPr>
              <w:t xml:space="preserve"> Unions seem to be quite successful in negotiating collective agreements.</w:t>
            </w:r>
            <w:r w:rsidRPr="00074C05">
              <w:rPr>
                <w:rStyle w:val="Funotenzeichen"/>
                <w:rFonts w:ascii="Times New Roman" w:hAnsi="Times New Roman" w:cs="Times New Roman"/>
                <w:sz w:val="20"/>
                <w:szCs w:val="20"/>
              </w:rPr>
              <w:footnoteReference w:id="4"/>
            </w:r>
            <w:r w:rsidRPr="00074C05">
              <w:rPr>
                <w:rFonts w:ascii="Times New Roman" w:hAnsi="Times New Roman" w:cs="Times New Roman"/>
                <w:sz w:val="20"/>
                <w:szCs w:val="20"/>
              </w:rPr>
              <w:t xml:space="preserve"> </w:t>
            </w:r>
          </w:p>
        </w:tc>
      </w:tr>
      <w:tr w:rsidR="00074C05" w:rsidRPr="009A23B7" w:rsidTr="00D9411E">
        <w:tc>
          <w:tcPr>
            <w:tcW w:w="1668" w:type="dxa"/>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Child labour</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Percentage of child labour in country/ sector</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Kenya did ratify the core conventions concerning child labour C.138 and C.182 of ILO.</w:t>
            </w:r>
            <w:r w:rsidRPr="009A23B7">
              <w:rPr>
                <w:rStyle w:val="Funotenzeichen"/>
                <w:rFonts w:ascii="Times New Roman" w:hAnsi="Times New Roman" w:cs="Times New Roman"/>
                <w:sz w:val="20"/>
                <w:szCs w:val="20"/>
              </w:rPr>
              <w:footnoteReference w:id="5"/>
            </w:r>
            <w:r w:rsidRPr="009A23B7">
              <w:rPr>
                <w:rFonts w:ascii="Times New Roman" w:hAnsi="Times New Roman" w:cs="Times New Roman"/>
                <w:sz w:val="20"/>
                <w:szCs w:val="20"/>
              </w:rPr>
              <w:t xml:space="preserve"> Minimum working age is 16 years. However, light work is allowed for children aged 13-16 years and the minimum age restriction does not apply to employees who belong at the same family as the employer.</w:t>
            </w:r>
            <w:r w:rsidRPr="009A23B7">
              <w:rPr>
                <w:rStyle w:val="Funotenzeichen"/>
                <w:rFonts w:ascii="Times New Roman" w:hAnsi="Times New Roman" w:cs="Times New Roman"/>
                <w:sz w:val="20"/>
                <w:szCs w:val="20"/>
              </w:rPr>
              <w:footnoteReference w:id="6"/>
            </w:r>
            <w:r w:rsidRPr="009A23B7">
              <w:rPr>
                <w:rFonts w:ascii="Times New Roman" w:hAnsi="Times New Roman" w:cs="Times New Roman"/>
                <w:sz w:val="20"/>
                <w:szCs w:val="20"/>
              </w:rPr>
              <w:t xml:space="preserve"> Evidence can be found that the government supported programs to address child labour in 2014.</w:t>
            </w:r>
            <w:r w:rsidRPr="009A23B7">
              <w:rPr>
                <w:rStyle w:val="Funotenzeichen"/>
                <w:rFonts w:ascii="Times New Roman" w:hAnsi="Times New Roman" w:cs="Times New Roman"/>
                <w:sz w:val="20"/>
                <w:szCs w:val="20"/>
              </w:rPr>
              <w:footnoteReference w:id="7"/>
            </w:r>
          </w:p>
        </w:tc>
      </w:tr>
      <w:tr w:rsidR="00074C05" w:rsidRPr="009A23B7" w:rsidTr="00D9411E">
        <w:tc>
          <w:tcPr>
            <w:tcW w:w="1668" w:type="dxa"/>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Forced Labour</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Frequency of forced labour in country/ sector</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 xml:space="preserve">Kenya ratified the ILO conventions C.29 and C.105 concerning forced labour. </w:t>
            </w:r>
            <w:r w:rsidRPr="009A23B7">
              <w:rPr>
                <w:rStyle w:val="Funotenzeichen"/>
                <w:rFonts w:ascii="Times New Roman" w:hAnsi="Times New Roman" w:cs="Times New Roman"/>
                <w:sz w:val="20"/>
                <w:szCs w:val="20"/>
              </w:rPr>
              <w:footnoteReference w:id="8"/>
            </w:r>
            <w:r w:rsidRPr="009A23B7">
              <w:rPr>
                <w:rFonts w:ascii="Times New Roman" w:hAnsi="Times New Roman" w:cs="Times New Roman"/>
                <w:sz w:val="20"/>
                <w:szCs w:val="20"/>
              </w:rPr>
              <w:t xml:space="preserve"> According to some sources however, these laws are not enforced properly.</w:t>
            </w:r>
            <w:r w:rsidRPr="009A23B7">
              <w:rPr>
                <w:rStyle w:val="Funotenzeichen"/>
                <w:rFonts w:ascii="Times New Roman" w:hAnsi="Times New Roman" w:cs="Times New Roman"/>
                <w:sz w:val="20"/>
                <w:szCs w:val="20"/>
              </w:rPr>
              <w:footnoteReference w:id="9"/>
            </w:r>
          </w:p>
        </w:tc>
      </w:tr>
      <w:tr w:rsidR="00074C05" w:rsidRPr="009A23B7" w:rsidTr="00D9411E">
        <w:tc>
          <w:tcPr>
            <w:tcW w:w="1668" w:type="dxa"/>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Fair Salary</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Specification of living wage and minimum wage in the country</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According to the Labour Institutions Act 2007, wages are required to be set at least equal to the minimum wage, this varies per sector.</w:t>
            </w:r>
            <w:r w:rsidRPr="009A23B7">
              <w:rPr>
                <w:rStyle w:val="Funotenzeichen"/>
                <w:rFonts w:ascii="Times New Roman" w:hAnsi="Times New Roman" w:cs="Times New Roman"/>
                <w:sz w:val="20"/>
                <w:szCs w:val="20"/>
              </w:rPr>
              <w:footnoteReference w:id="10"/>
            </w:r>
            <w:r w:rsidRPr="009A23B7">
              <w:rPr>
                <w:rFonts w:ascii="Times New Roman" w:hAnsi="Times New Roman" w:cs="Times New Roman"/>
                <w:sz w:val="20"/>
                <w:szCs w:val="20"/>
              </w:rPr>
              <w:t xml:space="preserve"> Minimum wages for low skilled at medium skilled work does not cover the minimum living wage, for high skilled work it does.</w:t>
            </w:r>
            <w:r w:rsidRPr="009A23B7">
              <w:rPr>
                <w:rStyle w:val="Funotenzeichen"/>
                <w:rFonts w:ascii="Times New Roman" w:hAnsi="Times New Roman" w:cs="Times New Roman"/>
                <w:sz w:val="20"/>
                <w:szCs w:val="20"/>
              </w:rPr>
              <w:footnoteReference w:id="11"/>
            </w:r>
            <w:r w:rsidR="00C54510" w:rsidRPr="009A23B7">
              <w:rPr>
                <w:rFonts w:ascii="Times New Roman" w:hAnsi="Times New Roman" w:cs="Times New Roman"/>
                <w:sz w:val="20"/>
                <w:szCs w:val="20"/>
              </w:rPr>
              <w:t xml:space="preserve"> Spartan Relief reports average wages compared to the rest of the sector.</w:t>
            </w:r>
          </w:p>
        </w:tc>
      </w:tr>
      <w:tr w:rsidR="00074C05" w:rsidRPr="009A23B7" w:rsidTr="00D9411E">
        <w:tc>
          <w:tcPr>
            <w:tcW w:w="1668" w:type="dxa"/>
            <w:vAlign w:val="center"/>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 xml:space="preserve">Wage level of the worker with lowest income and </w:t>
            </w:r>
            <w:r w:rsidRPr="009A23B7">
              <w:rPr>
                <w:rFonts w:ascii="Times New Roman" w:hAnsi="Times New Roman" w:cs="Times New Roman"/>
                <w:sz w:val="20"/>
                <w:szCs w:val="20"/>
              </w:rPr>
              <w:lastRenderedPageBreak/>
              <w:t>description of payment performance of the sector</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lastRenderedPageBreak/>
              <w:t xml:space="preserve">Low skill wage equals 6500 KES a month at minimum (which equals approximately 64 US dollars). </w:t>
            </w:r>
          </w:p>
        </w:tc>
      </w:tr>
      <w:tr w:rsidR="00074C05" w:rsidRPr="009A23B7" w:rsidTr="00D9411E">
        <w:tc>
          <w:tcPr>
            <w:tcW w:w="1668" w:type="dxa"/>
            <w:vMerge w:val="restart"/>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sz w:val="20"/>
                <w:szCs w:val="20"/>
              </w:rPr>
              <w:lastRenderedPageBreak/>
              <w:br w:type="page"/>
            </w:r>
            <w:r w:rsidRPr="009A23B7">
              <w:rPr>
                <w:rFonts w:ascii="Times New Roman" w:hAnsi="Times New Roman" w:cs="Times New Roman"/>
                <w:b/>
                <w:sz w:val="20"/>
                <w:szCs w:val="20"/>
              </w:rPr>
              <w:t>Working time</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Hours work per employee and month in average</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 xml:space="preserve">Normal working week is 52 hours per week, implying 208 hours per month. No data available on Spartan Relief Supplies Ltd. </w:t>
            </w:r>
          </w:p>
        </w:tc>
      </w:tr>
      <w:tr w:rsidR="00074C05" w:rsidRPr="009A23B7" w:rsidTr="00D9411E">
        <w:tc>
          <w:tcPr>
            <w:tcW w:w="1668" w:type="dxa"/>
            <w:vMerge/>
            <w:vAlign w:val="center"/>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Number of days without work per week</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The number of days is not specified by law. However, employees are entitled to 24 consecutive hours of rest per week.</w:t>
            </w:r>
            <w:r w:rsidRPr="009A23B7">
              <w:rPr>
                <w:rStyle w:val="Funotenzeichen"/>
                <w:rFonts w:ascii="Times New Roman" w:hAnsi="Times New Roman" w:cs="Times New Roman"/>
                <w:sz w:val="20"/>
                <w:szCs w:val="20"/>
              </w:rPr>
              <w:footnoteReference w:id="12"/>
            </w:r>
          </w:p>
        </w:tc>
      </w:tr>
      <w:tr w:rsidR="00074C05" w:rsidRPr="009A23B7" w:rsidTr="00D9411E">
        <w:tc>
          <w:tcPr>
            <w:tcW w:w="1668" w:type="dxa"/>
            <w:vMerge/>
            <w:vAlign w:val="center"/>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Description of how overtime is handled</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An employer is required to pay at least 150% of the wage in case of overtime.</w:t>
            </w:r>
            <w:r w:rsidRPr="009A23B7">
              <w:rPr>
                <w:rStyle w:val="Funotenzeichen"/>
                <w:rFonts w:ascii="Times New Roman" w:hAnsi="Times New Roman" w:cs="Times New Roman"/>
                <w:sz w:val="20"/>
                <w:szCs w:val="20"/>
              </w:rPr>
              <w:footnoteReference w:id="13"/>
            </w:r>
            <w:r w:rsidRPr="009A23B7">
              <w:rPr>
                <w:rFonts w:ascii="Times New Roman" w:hAnsi="Times New Roman" w:cs="Times New Roman"/>
                <w:sz w:val="20"/>
                <w:szCs w:val="20"/>
              </w:rPr>
              <w:t xml:space="preserve"> A worker is only allowed to work 6 hours of overtime a week.  </w:t>
            </w:r>
          </w:p>
        </w:tc>
      </w:tr>
      <w:tr w:rsidR="00074C05" w:rsidRPr="009A23B7" w:rsidTr="00D9411E">
        <w:tc>
          <w:tcPr>
            <w:tcW w:w="1668" w:type="dxa"/>
            <w:vMerge w:val="restart"/>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Discrimination</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Percentage of women in the labour force in the sector</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Approximately 26.3% of the workforce in the manufacturing industry is female.</w:t>
            </w:r>
            <w:r w:rsidRPr="009A23B7">
              <w:rPr>
                <w:rStyle w:val="Funotenzeichen"/>
                <w:rFonts w:ascii="Times New Roman" w:hAnsi="Times New Roman" w:cs="Times New Roman"/>
                <w:sz w:val="20"/>
                <w:szCs w:val="20"/>
              </w:rPr>
              <w:footnoteReference w:id="14"/>
            </w:r>
          </w:p>
        </w:tc>
      </w:tr>
      <w:tr w:rsidR="00074C05" w:rsidRPr="009A23B7" w:rsidTr="00D9411E">
        <w:tc>
          <w:tcPr>
            <w:tcW w:w="1668" w:type="dxa"/>
            <w:vMerge/>
            <w:vAlign w:val="center"/>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Country gender index ranking</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Rank 69 of 108 (Genderindex, 2014)</w:t>
            </w:r>
            <w:r w:rsidRPr="009A23B7">
              <w:rPr>
                <w:rStyle w:val="Funotenzeichen"/>
                <w:rFonts w:ascii="Times New Roman" w:hAnsi="Times New Roman" w:cs="Times New Roman"/>
                <w:sz w:val="20"/>
                <w:szCs w:val="20"/>
              </w:rPr>
              <w:footnoteReference w:id="15"/>
            </w:r>
          </w:p>
        </w:tc>
      </w:tr>
      <w:tr w:rsidR="00074C05" w:rsidRPr="009A23B7" w:rsidTr="00D9411E">
        <w:tc>
          <w:tcPr>
            <w:tcW w:w="1668" w:type="dxa"/>
            <w:vMerge/>
            <w:vAlign w:val="center"/>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Occurrence of discrimination in the country/ sector</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According to the Genderindex (2014) there is a medium level of discrimination in the country. “Women have an inferior legal status in various aspects, e.g. of inheritance and property of ownership” (Labour market profile Kenya, 2014; pp.2)</w:t>
            </w:r>
            <w:r w:rsidR="00D9411E" w:rsidRPr="009A23B7">
              <w:rPr>
                <w:rFonts w:ascii="Times New Roman" w:hAnsi="Times New Roman" w:cs="Times New Roman"/>
                <w:sz w:val="20"/>
                <w:szCs w:val="20"/>
              </w:rPr>
              <w:t>. At Spartan Relief gender and ethnic background are rarely  criteria for hiring employees.</w:t>
            </w:r>
          </w:p>
        </w:tc>
      </w:tr>
      <w:tr w:rsidR="00074C05" w:rsidRPr="009A23B7" w:rsidTr="00D9411E">
        <w:tc>
          <w:tcPr>
            <w:tcW w:w="1668" w:type="dxa"/>
            <w:vMerge/>
            <w:vAlign w:val="center"/>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Ratio of salary  of women to wages of men in sector</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 xml:space="preserve">On average, women earn 8% less than men. </w:t>
            </w:r>
            <w:r w:rsidR="00D9411E" w:rsidRPr="009A23B7">
              <w:rPr>
                <w:rFonts w:ascii="Times New Roman" w:hAnsi="Times New Roman" w:cs="Times New Roman"/>
                <w:sz w:val="20"/>
                <w:szCs w:val="20"/>
              </w:rPr>
              <w:t xml:space="preserve">At Spartan Relief, men and women earn the same. </w:t>
            </w:r>
          </w:p>
        </w:tc>
      </w:tr>
      <w:tr w:rsidR="00074C05" w:rsidRPr="009A23B7" w:rsidTr="00D9411E">
        <w:tc>
          <w:tcPr>
            <w:tcW w:w="1668" w:type="dxa"/>
            <w:vMerge w:val="restart"/>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Health and safety</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Description of potential main origins of danger</w:t>
            </w:r>
          </w:p>
        </w:tc>
        <w:tc>
          <w:tcPr>
            <w:tcW w:w="52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No data available</w:t>
            </w:r>
          </w:p>
        </w:tc>
      </w:tr>
      <w:tr w:rsidR="00074C05" w:rsidRPr="009A23B7" w:rsidTr="00D9411E">
        <w:tc>
          <w:tcPr>
            <w:tcW w:w="1668" w:type="dxa"/>
            <w:vMerge/>
            <w:vAlign w:val="center"/>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Accident rate of the country/ sector</w:t>
            </w:r>
          </w:p>
        </w:tc>
        <w:tc>
          <w:tcPr>
            <w:tcW w:w="5209" w:type="dxa"/>
          </w:tcPr>
          <w:p w:rsidR="00074C05" w:rsidRPr="009A23B7" w:rsidRDefault="00D9411E"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No sector data available. Spartan Relief reports no accidents.</w:t>
            </w:r>
          </w:p>
        </w:tc>
      </w:tr>
      <w:tr w:rsidR="00074C05" w:rsidRPr="00074C05" w:rsidTr="00D9411E">
        <w:tc>
          <w:tcPr>
            <w:tcW w:w="1668" w:type="dxa"/>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Social benefits/ Social security</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Social security expenditures of the country/ sector</w:t>
            </w:r>
          </w:p>
        </w:tc>
        <w:tc>
          <w:tcPr>
            <w:tcW w:w="5209" w:type="dxa"/>
          </w:tcPr>
          <w:p w:rsidR="00074C05" w:rsidRPr="00074C05"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4,5% of GDP in 2013 (country) (WHO, 2015)</w:t>
            </w:r>
            <w:r w:rsidRPr="009A23B7">
              <w:rPr>
                <w:rStyle w:val="Funotenzeichen"/>
                <w:rFonts w:ascii="Times New Roman" w:hAnsi="Times New Roman" w:cs="Times New Roman"/>
                <w:sz w:val="20"/>
                <w:szCs w:val="20"/>
              </w:rPr>
              <w:footnoteReference w:id="16"/>
            </w:r>
          </w:p>
        </w:tc>
      </w:tr>
    </w:tbl>
    <w:p w:rsidR="00074C05" w:rsidRPr="00074C05" w:rsidRDefault="00074C05" w:rsidP="00074C05">
      <w:pPr>
        <w:spacing w:line="360" w:lineRule="auto"/>
        <w:jc w:val="both"/>
        <w:rPr>
          <w:rFonts w:ascii="Times New Roman" w:hAnsi="Times New Roman" w:cs="Times New Roman"/>
          <w:sz w:val="20"/>
          <w:szCs w:val="20"/>
        </w:rPr>
      </w:pPr>
      <w:r w:rsidRPr="00074C05">
        <w:rPr>
          <w:rFonts w:ascii="Times New Roman" w:hAnsi="Times New Roman" w:cs="Times New Roman"/>
          <w:sz w:val="20"/>
          <w:szCs w:val="20"/>
        </w:rPr>
        <w:br/>
        <w:t xml:space="preserve">Health and Safety: In Kenya, lack of awareness on the Occupational Safety Health Act of 2007 undermines the safety and health of workers. This has partly contributed to the weak safety culture in the workplace and non-compliance with international safety and health standards (Kenya Industrialization Policy Framework, 2010 via WHO ( 2015)). </w:t>
      </w:r>
      <w:r w:rsidRPr="00074C05">
        <w:rPr>
          <w:rFonts w:ascii="Times New Roman" w:hAnsi="Times New Roman" w:cs="Times New Roman"/>
          <w:sz w:val="20"/>
          <w:szCs w:val="20"/>
        </w:rPr>
        <w:tab/>
      </w:r>
      <w:r w:rsidRPr="00074C05">
        <w:rPr>
          <w:rFonts w:ascii="Times New Roman" w:hAnsi="Times New Roman" w:cs="Times New Roman"/>
          <w:sz w:val="20"/>
          <w:szCs w:val="20"/>
        </w:rPr>
        <w:br/>
      </w:r>
      <w:r w:rsidRPr="00074C05">
        <w:rPr>
          <w:rFonts w:ascii="Times New Roman" w:hAnsi="Times New Roman" w:cs="Times New Roman"/>
          <w:sz w:val="20"/>
          <w:szCs w:val="20"/>
        </w:rPr>
        <w:br/>
        <w:t>“The availability of steel and steel products in the country will create a very strong economy for Kenya. The countries in East and Central Africa will source their steel products from Kenya. It is worth noting that there does not exist any iron ore processing industry in Africa save for South Africa, so with the strategic location of Kenya, the country stands to benefit greatly from the proposed venture” (Kenya Industrialization Policy Framework, 2010 via WHO ( 2015; p.13))</w:t>
      </w:r>
      <w:r w:rsidRPr="00074C05">
        <w:rPr>
          <w:rFonts w:ascii="Times New Roman" w:hAnsi="Times New Roman" w:cs="Times New Roman"/>
          <w:sz w:val="20"/>
          <w:szCs w:val="20"/>
        </w:rPr>
        <w:br w:type="page"/>
      </w:r>
    </w:p>
    <w:p w:rsidR="00074C05" w:rsidRPr="00074C05" w:rsidRDefault="00074C05" w:rsidP="00074C05">
      <w:pPr>
        <w:spacing w:line="360" w:lineRule="auto"/>
        <w:jc w:val="both"/>
        <w:rPr>
          <w:rFonts w:ascii="Times New Roman" w:hAnsi="Times New Roman" w:cs="Times New Roman"/>
          <w:b/>
          <w:sz w:val="20"/>
          <w:szCs w:val="20"/>
        </w:rPr>
      </w:pPr>
      <w:r w:rsidRPr="00074C05">
        <w:rPr>
          <w:rFonts w:ascii="Times New Roman" w:hAnsi="Times New Roman" w:cs="Times New Roman"/>
          <w:b/>
          <w:sz w:val="20"/>
          <w:szCs w:val="20"/>
        </w:rPr>
        <w:lastRenderedPageBreak/>
        <w:t>Stakeholder group Local community – production in Kenya</w:t>
      </w:r>
    </w:p>
    <w:tbl>
      <w:tblPr>
        <w:tblStyle w:val="Tabellenraster"/>
        <w:tblW w:w="0" w:type="auto"/>
        <w:tblLook w:val="04A0" w:firstRow="1" w:lastRow="0" w:firstColumn="1" w:lastColumn="0" w:noHBand="0" w:noVBand="1"/>
      </w:tblPr>
      <w:tblGrid>
        <w:gridCol w:w="1668"/>
        <w:gridCol w:w="2409"/>
        <w:gridCol w:w="5211"/>
      </w:tblGrid>
      <w:tr w:rsidR="00074C05" w:rsidRPr="00074C05" w:rsidTr="00500D0D">
        <w:tc>
          <w:tcPr>
            <w:tcW w:w="1668" w:type="dxa"/>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Subcategory</w:t>
            </w:r>
          </w:p>
        </w:tc>
        <w:tc>
          <w:tcPr>
            <w:tcW w:w="2409" w:type="dxa"/>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Indicator</w:t>
            </w:r>
          </w:p>
        </w:tc>
        <w:tc>
          <w:tcPr>
            <w:tcW w:w="5211" w:type="dxa"/>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Status</w:t>
            </w:r>
          </w:p>
        </w:tc>
      </w:tr>
      <w:tr w:rsidR="00074C05" w:rsidRPr="009A23B7" w:rsidTr="00500D0D">
        <w:tc>
          <w:tcPr>
            <w:tcW w:w="1668" w:type="dxa"/>
            <w:vMerge w:val="restart"/>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Access to material resources</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Extraction of material sources and level industrial water use</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In Kenya, the steel industry forms about 13% of the manufacturing sector. No local raw materials are extracted. The local steel industry is dependent on imported raw materials.</w:t>
            </w:r>
            <w:r w:rsidRPr="009A23B7">
              <w:rPr>
                <w:rStyle w:val="Funotenzeichen"/>
                <w:rFonts w:ascii="Times New Roman" w:hAnsi="Times New Roman" w:cs="Times New Roman"/>
                <w:sz w:val="20"/>
                <w:szCs w:val="20"/>
              </w:rPr>
              <w:footnoteReference w:id="17"/>
            </w:r>
            <w:r w:rsidRPr="009A23B7">
              <w:rPr>
                <w:rFonts w:ascii="Times New Roman" w:hAnsi="Times New Roman" w:cs="Times New Roman"/>
                <w:sz w:val="20"/>
                <w:szCs w:val="20"/>
              </w:rPr>
              <w:t xml:space="preserve"> The government has developed a plan, Vision 2030, to develop the local extraction of raw materials. </w:t>
            </w:r>
          </w:p>
        </w:tc>
      </w:tr>
      <w:tr w:rsidR="00074C05" w:rsidRPr="009A23B7" w:rsidTr="00500D0D">
        <w:tc>
          <w:tcPr>
            <w:tcW w:w="1668" w:type="dxa"/>
            <w:vMerge/>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Percent of population with access to improved sanitation facilities</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 xml:space="preserve">29,4% in 2011 (Unicef, 2015). </w:t>
            </w:r>
            <w:r w:rsidRPr="009A23B7">
              <w:rPr>
                <w:rStyle w:val="Funotenzeichen"/>
                <w:rFonts w:ascii="Times New Roman" w:hAnsi="Times New Roman" w:cs="Times New Roman"/>
                <w:sz w:val="20"/>
                <w:szCs w:val="20"/>
              </w:rPr>
              <w:footnoteReference w:id="18"/>
            </w:r>
          </w:p>
        </w:tc>
      </w:tr>
      <w:tr w:rsidR="00074C05" w:rsidRPr="009A23B7" w:rsidTr="00500D0D">
        <w:tc>
          <w:tcPr>
            <w:tcW w:w="1668" w:type="dxa"/>
            <w:vMerge/>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Existence of projects to improve community infrastructure</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In the Vision 2030 plan, development of infrastructure by the government is also included. Furthermore, the East African Community works on infrastructure improvement in Kenya.</w:t>
            </w:r>
            <w:r w:rsidRPr="009A23B7">
              <w:rPr>
                <w:rStyle w:val="Funotenzeichen"/>
                <w:rFonts w:ascii="Times New Roman" w:hAnsi="Times New Roman" w:cs="Times New Roman"/>
                <w:sz w:val="20"/>
                <w:szCs w:val="20"/>
              </w:rPr>
              <w:footnoteReference w:id="19"/>
            </w:r>
            <w:r w:rsidRPr="009A23B7">
              <w:rPr>
                <w:rFonts w:ascii="Times New Roman" w:hAnsi="Times New Roman" w:cs="Times New Roman"/>
                <w:sz w:val="20"/>
                <w:szCs w:val="20"/>
              </w:rPr>
              <w:t xml:space="preserve"> Finally, the World Bank invests a significant amount of money into the infrastructure and competitiveness of East Africa, including Kenya.</w:t>
            </w:r>
            <w:r w:rsidRPr="009A23B7">
              <w:rPr>
                <w:rStyle w:val="Funotenzeichen"/>
                <w:rFonts w:ascii="Times New Roman" w:hAnsi="Times New Roman" w:cs="Times New Roman"/>
                <w:sz w:val="20"/>
                <w:szCs w:val="20"/>
              </w:rPr>
              <w:footnoteReference w:id="20"/>
            </w:r>
          </w:p>
        </w:tc>
      </w:tr>
      <w:tr w:rsidR="00074C05" w:rsidRPr="009A23B7" w:rsidTr="00500D0D">
        <w:tc>
          <w:tcPr>
            <w:tcW w:w="1668" w:type="dxa"/>
            <w:vMerge/>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Presence of certified environmental management systems</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No data available on whether companies are ISO 14001 certified. Though it seems that ISO standards in general are still in the infant stage in Kenya (William, n.d.).</w:t>
            </w:r>
            <w:r w:rsidRPr="009A23B7">
              <w:rPr>
                <w:rStyle w:val="Funotenzeichen"/>
                <w:rFonts w:ascii="Times New Roman" w:hAnsi="Times New Roman" w:cs="Times New Roman"/>
                <w:sz w:val="20"/>
                <w:szCs w:val="20"/>
              </w:rPr>
              <w:footnoteReference w:id="21"/>
            </w:r>
            <w:r w:rsidR="00D9411E" w:rsidRPr="009A23B7">
              <w:rPr>
                <w:rFonts w:ascii="Times New Roman" w:hAnsi="Times New Roman" w:cs="Times New Roman"/>
                <w:sz w:val="20"/>
                <w:szCs w:val="20"/>
              </w:rPr>
              <w:t xml:space="preserve"> Spartan Relief reports no environmental management systems.</w:t>
            </w:r>
          </w:p>
        </w:tc>
      </w:tr>
      <w:tr w:rsidR="00074C05" w:rsidRPr="009A23B7" w:rsidTr="00500D0D">
        <w:tc>
          <w:tcPr>
            <w:tcW w:w="1668" w:type="dxa"/>
            <w:vMerge/>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Description of (potential) material resource conflicts</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The main source for conflicts in Kenya results from different community identities. Though natural resources (such as oil, coal, metals, water) and land are also seen as sources of conflicts.</w:t>
            </w:r>
            <w:r w:rsidRPr="009A23B7">
              <w:rPr>
                <w:rStyle w:val="Funotenzeichen"/>
                <w:rFonts w:ascii="Times New Roman" w:hAnsi="Times New Roman" w:cs="Times New Roman"/>
                <w:sz w:val="20"/>
                <w:szCs w:val="20"/>
              </w:rPr>
              <w:footnoteReference w:id="22"/>
            </w:r>
            <w:r w:rsidRPr="009A23B7">
              <w:rPr>
                <w:rFonts w:ascii="Times New Roman" w:hAnsi="Times New Roman" w:cs="Times New Roman"/>
                <w:sz w:val="20"/>
                <w:szCs w:val="20"/>
              </w:rPr>
              <w:t xml:space="preserve"> There is no data available on the magnitude and/ or frequency of these. </w:t>
            </w:r>
          </w:p>
        </w:tc>
      </w:tr>
      <w:tr w:rsidR="00074C05" w:rsidRPr="009A23B7" w:rsidTr="00500D0D">
        <w:tc>
          <w:tcPr>
            <w:tcW w:w="1668" w:type="dxa"/>
            <w:vMerge w:val="restart"/>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Access to immaterial resources</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Freedom of expression in country/ sector</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According to Freedomhouse (2015),  Kenya’s press status is partly free. Throughout the year media were intimidated to stifle reporting on the worsening security situation.</w:t>
            </w:r>
            <w:r w:rsidRPr="009A23B7">
              <w:rPr>
                <w:rStyle w:val="Funotenzeichen"/>
                <w:rFonts w:ascii="Times New Roman" w:hAnsi="Times New Roman" w:cs="Times New Roman"/>
                <w:sz w:val="20"/>
                <w:szCs w:val="20"/>
              </w:rPr>
              <w:footnoteReference w:id="23"/>
            </w:r>
            <w:r w:rsidRPr="009A23B7">
              <w:rPr>
                <w:rFonts w:ascii="Times New Roman" w:hAnsi="Times New Roman" w:cs="Times New Roman"/>
                <w:sz w:val="20"/>
                <w:szCs w:val="20"/>
              </w:rPr>
              <w:t xml:space="preserve"> No sector-specific information could be found. </w:t>
            </w:r>
          </w:p>
        </w:tc>
      </w:tr>
      <w:tr w:rsidR="00074C05" w:rsidRPr="009A23B7" w:rsidTr="00500D0D">
        <w:tc>
          <w:tcPr>
            <w:tcW w:w="1668" w:type="dxa"/>
            <w:vMerge/>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Annual arrests connected to protest of sector actions</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 xml:space="preserve">No information on sector-related arrests available. </w:t>
            </w:r>
          </w:p>
        </w:tc>
      </w:tr>
      <w:tr w:rsidR="00074C05" w:rsidRPr="009A23B7" w:rsidTr="00500D0D">
        <w:tc>
          <w:tcPr>
            <w:tcW w:w="1668" w:type="dxa"/>
            <w:vMerge/>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Presence of community</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education initiatives and</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community service programmes</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No information is available on the involvement of Spartan Relief Supplies Ltd. in community education/ service programmes. However United Nations Girls Education Initiative</w:t>
            </w:r>
            <w:r w:rsidRPr="009A23B7">
              <w:rPr>
                <w:rStyle w:val="Funotenzeichen"/>
                <w:rFonts w:ascii="Times New Roman" w:hAnsi="Times New Roman" w:cs="Times New Roman"/>
                <w:sz w:val="20"/>
                <w:szCs w:val="20"/>
              </w:rPr>
              <w:footnoteReference w:id="24"/>
            </w:r>
            <w:r w:rsidRPr="009A23B7">
              <w:rPr>
                <w:rFonts w:ascii="Times New Roman" w:hAnsi="Times New Roman" w:cs="Times New Roman"/>
                <w:sz w:val="20"/>
                <w:szCs w:val="20"/>
              </w:rPr>
              <w:t xml:space="preserve"> is active in Kenya and the World Food Programme.</w:t>
            </w:r>
            <w:r w:rsidRPr="009A23B7">
              <w:rPr>
                <w:rStyle w:val="Funotenzeichen"/>
                <w:rFonts w:ascii="Times New Roman" w:hAnsi="Times New Roman" w:cs="Times New Roman"/>
                <w:sz w:val="20"/>
                <w:szCs w:val="20"/>
              </w:rPr>
              <w:footnoteReference w:id="25"/>
            </w:r>
            <w:r w:rsidRPr="009A23B7">
              <w:rPr>
                <w:rFonts w:ascii="Times New Roman" w:hAnsi="Times New Roman" w:cs="Times New Roman"/>
                <w:sz w:val="20"/>
                <w:szCs w:val="20"/>
              </w:rPr>
              <w:t xml:space="preserve"> </w:t>
            </w:r>
          </w:p>
        </w:tc>
      </w:tr>
    </w:tbl>
    <w:p w:rsidR="00074C05" w:rsidRPr="009A23B7" w:rsidRDefault="00074C05" w:rsidP="00D9411E">
      <w:pPr>
        <w:spacing w:line="360" w:lineRule="auto"/>
        <w:rPr>
          <w:rFonts w:ascii="Times New Roman" w:hAnsi="Times New Roman" w:cs="Times New Roman"/>
          <w:sz w:val="20"/>
          <w:szCs w:val="20"/>
        </w:rPr>
      </w:pPr>
      <w:r w:rsidRPr="009A23B7">
        <w:rPr>
          <w:rFonts w:ascii="Times New Roman" w:hAnsi="Times New Roman" w:cs="Times New Roman"/>
          <w:sz w:val="20"/>
          <w:szCs w:val="20"/>
        </w:rPr>
        <w:br w:type="page"/>
      </w:r>
    </w:p>
    <w:tbl>
      <w:tblPr>
        <w:tblStyle w:val="Tabellenraster"/>
        <w:tblW w:w="0" w:type="auto"/>
        <w:tblLook w:val="04A0" w:firstRow="1" w:lastRow="0" w:firstColumn="1" w:lastColumn="0" w:noHBand="0" w:noVBand="1"/>
      </w:tblPr>
      <w:tblGrid>
        <w:gridCol w:w="1668"/>
        <w:gridCol w:w="2409"/>
        <w:gridCol w:w="5211"/>
      </w:tblGrid>
      <w:tr w:rsidR="00074C05" w:rsidRPr="009A23B7" w:rsidTr="00074C05">
        <w:tc>
          <w:tcPr>
            <w:tcW w:w="1668" w:type="dxa"/>
            <w:vMerge w:val="restart"/>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lastRenderedPageBreak/>
              <w:t>Delocalisation</w:t>
            </w:r>
          </w:p>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and migration</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Migration rate of the country</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Kenya has a slightly negative migration rate of -0,2 migrants/1000 inhabitants (IMO, 2015).</w:t>
            </w:r>
            <w:r w:rsidRPr="009A23B7">
              <w:rPr>
                <w:rStyle w:val="Funotenzeichen"/>
                <w:rFonts w:ascii="Times New Roman" w:hAnsi="Times New Roman" w:cs="Times New Roman"/>
                <w:sz w:val="20"/>
                <w:szCs w:val="20"/>
              </w:rPr>
              <w:footnoteReference w:id="26"/>
            </w:r>
          </w:p>
        </w:tc>
      </w:tr>
      <w:tr w:rsidR="00074C05" w:rsidRPr="009A23B7" w:rsidTr="00074C05">
        <w:tc>
          <w:tcPr>
            <w:tcW w:w="1668" w:type="dxa"/>
            <w:vMerge/>
            <w:vAlign w:val="center"/>
          </w:tcPr>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Number of individuals who</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resettle that can be attributed</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to the sector</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No exact numbers can be found. Though forced migration occurs because of infrastructure development projects</w:t>
            </w:r>
            <w:r w:rsidRPr="009A23B7">
              <w:rPr>
                <w:rStyle w:val="Funotenzeichen"/>
                <w:rFonts w:ascii="Times New Roman" w:hAnsi="Times New Roman" w:cs="Times New Roman"/>
                <w:sz w:val="20"/>
                <w:szCs w:val="20"/>
              </w:rPr>
              <w:footnoteReference w:id="27"/>
            </w:r>
            <w:r w:rsidRPr="009A23B7">
              <w:rPr>
                <w:rFonts w:ascii="Times New Roman" w:hAnsi="Times New Roman" w:cs="Times New Roman"/>
                <w:sz w:val="20"/>
                <w:szCs w:val="20"/>
              </w:rPr>
              <w:t xml:space="preserve"> or redistribution of land.</w:t>
            </w:r>
            <w:r w:rsidRPr="009A23B7">
              <w:rPr>
                <w:rStyle w:val="Funotenzeichen"/>
                <w:rFonts w:ascii="Times New Roman" w:hAnsi="Times New Roman" w:cs="Times New Roman"/>
                <w:sz w:val="20"/>
                <w:szCs w:val="20"/>
              </w:rPr>
              <w:footnoteReference w:id="28"/>
            </w:r>
            <w:r w:rsidRPr="009A23B7">
              <w:rPr>
                <w:rFonts w:ascii="Times New Roman" w:hAnsi="Times New Roman" w:cs="Times New Roman"/>
                <w:sz w:val="20"/>
                <w:szCs w:val="20"/>
              </w:rPr>
              <w:t xml:space="preserve"> </w:t>
            </w:r>
          </w:p>
        </w:tc>
      </w:tr>
      <w:tr w:rsidR="00074C05" w:rsidRPr="009A23B7" w:rsidTr="00074C05">
        <w:tc>
          <w:tcPr>
            <w:tcW w:w="1668" w:type="dxa"/>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Cultural heritage</w:t>
            </w: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Respect of the sector regarding</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local cultural heritage</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including language,</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social and religious practices.</w:t>
            </w:r>
          </w:p>
        </w:tc>
        <w:tc>
          <w:tcPr>
            <w:tcW w:w="5211"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In Kenya different initiatives and organizations are occupied with preserving cultural heritage, for example of the original inhabitants the Masaai.</w:t>
            </w:r>
            <w:r w:rsidRPr="009A23B7">
              <w:rPr>
                <w:rStyle w:val="Funotenzeichen"/>
                <w:rFonts w:ascii="Times New Roman" w:hAnsi="Times New Roman" w:cs="Times New Roman"/>
                <w:sz w:val="20"/>
                <w:szCs w:val="20"/>
              </w:rPr>
              <w:footnoteReference w:id="29"/>
            </w:r>
            <w:r w:rsidRPr="009A23B7">
              <w:rPr>
                <w:rFonts w:ascii="Times New Roman" w:hAnsi="Times New Roman" w:cs="Times New Roman"/>
                <w:sz w:val="20"/>
                <w:szCs w:val="20"/>
              </w:rPr>
              <w:t xml:space="preserve"> </w:t>
            </w:r>
            <w:r w:rsidR="00D9411E" w:rsidRPr="009A23B7">
              <w:rPr>
                <w:rFonts w:ascii="Times New Roman" w:hAnsi="Times New Roman" w:cs="Times New Roman"/>
                <w:sz w:val="20"/>
                <w:szCs w:val="20"/>
              </w:rPr>
              <w:t xml:space="preserve">Spartan Relief does not engage in projects to safeguard cultural heritage. </w:t>
            </w:r>
            <w:r w:rsidRPr="009A23B7">
              <w:rPr>
                <w:rFonts w:ascii="Times New Roman" w:hAnsi="Times New Roman" w:cs="Times New Roman"/>
                <w:sz w:val="20"/>
                <w:szCs w:val="20"/>
              </w:rPr>
              <w:t xml:space="preserve">  </w:t>
            </w:r>
          </w:p>
        </w:tc>
      </w:tr>
      <w:tr w:rsidR="00074C05" w:rsidRPr="00074C05" w:rsidTr="00074C05">
        <w:tc>
          <w:tcPr>
            <w:tcW w:w="1668" w:type="dxa"/>
            <w:vMerge w:val="restart"/>
            <w:vAlign w:val="center"/>
          </w:tcPr>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Respect of</w:t>
            </w:r>
          </w:p>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Indigenous</w:t>
            </w:r>
          </w:p>
          <w:p w:rsidR="00074C05" w:rsidRPr="009A23B7" w:rsidRDefault="00074C05" w:rsidP="00D9411E">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rights</w:t>
            </w:r>
          </w:p>
          <w:p w:rsidR="00074C05" w:rsidRPr="009A23B7" w:rsidRDefault="00074C05" w:rsidP="00D9411E">
            <w:pPr>
              <w:spacing w:line="276" w:lineRule="auto"/>
              <w:rPr>
                <w:rFonts w:ascii="Times New Roman" w:hAnsi="Times New Roman" w:cs="Times New Roman"/>
                <w:b/>
                <w:sz w:val="20"/>
                <w:szCs w:val="20"/>
              </w:rPr>
            </w:pPr>
          </w:p>
        </w:tc>
        <w:tc>
          <w:tcPr>
            <w:tcW w:w="2409" w:type="dxa"/>
          </w:tcPr>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Human rights issues faced</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by indigenous people in the</w:t>
            </w:r>
          </w:p>
          <w:p w:rsidR="00074C05" w:rsidRPr="009A23B7"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country</w:t>
            </w:r>
          </w:p>
        </w:tc>
        <w:tc>
          <w:tcPr>
            <w:tcW w:w="5211" w:type="dxa"/>
          </w:tcPr>
          <w:p w:rsidR="00074C05" w:rsidRPr="00074C05" w:rsidRDefault="00074C05" w:rsidP="00D9411E">
            <w:pPr>
              <w:spacing w:line="276" w:lineRule="auto"/>
              <w:rPr>
                <w:rFonts w:ascii="Times New Roman" w:hAnsi="Times New Roman" w:cs="Times New Roman"/>
                <w:sz w:val="20"/>
                <w:szCs w:val="20"/>
              </w:rPr>
            </w:pPr>
            <w:r w:rsidRPr="009A23B7">
              <w:rPr>
                <w:rFonts w:ascii="Times New Roman" w:hAnsi="Times New Roman" w:cs="Times New Roman"/>
                <w:sz w:val="20"/>
                <w:szCs w:val="20"/>
              </w:rPr>
              <w:t>Kenya did not ratify the ILO convention C.169 on the protection of indigenous people. According to the UN the Kenyan government forced indigenous people to leave their land.</w:t>
            </w:r>
            <w:r w:rsidRPr="009A23B7">
              <w:rPr>
                <w:rStyle w:val="Funotenzeichen"/>
                <w:rFonts w:ascii="Times New Roman" w:hAnsi="Times New Roman" w:cs="Times New Roman"/>
                <w:sz w:val="20"/>
                <w:szCs w:val="20"/>
              </w:rPr>
              <w:footnoteReference w:id="30"/>
            </w:r>
          </w:p>
        </w:tc>
      </w:tr>
      <w:tr w:rsidR="00074C05" w:rsidRPr="00074C05" w:rsidTr="00074C05">
        <w:tc>
          <w:tcPr>
            <w:tcW w:w="1668" w:type="dxa"/>
            <w:vMerge/>
          </w:tcPr>
          <w:p w:rsidR="00074C05" w:rsidRPr="00074C05" w:rsidRDefault="00074C05" w:rsidP="00D9411E">
            <w:pPr>
              <w:spacing w:line="276" w:lineRule="auto"/>
              <w:rPr>
                <w:rFonts w:ascii="Times New Roman" w:hAnsi="Times New Roman" w:cs="Times New Roman"/>
                <w:b/>
                <w:sz w:val="20"/>
                <w:szCs w:val="20"/>
              </w:rPr>
            </w:pPr>
          </w:p>
        </w:tc>
        <w:tc>
          <w:tcPr>
            <w:tcW w:w="24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Respect of the sector regarding</w:t>
            </w:r>
          </w:p>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indigenous rights</w:t>
            </w:r>
          </w:p>
        </w:tc>
        <w:tc>
          <w:tcPr>
            <w:tcW w:w="5211"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 xml:space="preserve">No information regarding this issue was found. </w:t>
            </w:r>
          </w:p>
        </w:tc>
      </w:tr>
      <w:tr w:rsidR="00074C05" w:rsidRPr="00074C05" w:rsidTr="00074C05">
        <w:tc>
          <w:tcPr>
            <w:tcW w:w="1668" w:type="dxa"/>
            <w:vMerge w:val="restart"/>
            <w:vAlign w:val="center"/>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Safe and</w:t>
            </w:r>
          </w:p>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healthy living</w:t>
            </w:r>
          </w:p>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conditions</w:t>
            </w:r>
          </w:p>
        </w:tc>
        <w:tc>
          <w:tcPr>
            <w:tcW w:w="24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Burden of disease in the</w:t>
            </w:r>
          </w:p>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Country</w:t>
            </w:r>
          </w:p>
        </w:tc>
        <w:tc>
          <w:tcPr>
            <w:tcW w:w="5211"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L</w:t>
            </w:r>
            <w:r w:rsidR="005E7ED1">
              <w:rPr>
                <w:rFonts w:ascii="Times New Roman" w:hAnsi="Times New Roman" w:cs="Times New Roman"/>
                <w:sz w:val="20"/>
                <w:szCs w:val="20"/>
              </w:rPr>
              <w:t xml:space="preserve">ife expectancy at birth amounts </w:t>
            </w:r>
            <w:r w:rsidRPr="00074C05">
              <w:rPr>
                <w:rFonts w:ascii="Times New Roman" w:hAnsi="Times New Roman" w:cs="Times New Roman"/>
                <w:sz w:val="20"/>
                <w:szCs w:val="20"/>
              </w:rPr>
              <w:t>61 years (WHO, 2013).</w:t>
            </w:r>
            <w:r w:rsidRPr="00074C05">
              <w:rPr>
                <w:rStyle w:val="Funotenzeichen"/>
                <w:rFonts w:ascii="Times New Roman" w:hAnsi="Times New Roman" w:cs="Times New Roman"/>
                <w:sz w:val="20"/>
                <w:szCs w:val="20"/>
              </w:rPr>
              <w:footnoteReference w:id="31"/>
            </w:r>
            <w:r w:rsidRPr="00074C05">
              <w:rPr>
                <w:rFonts w:ascii="Times New Roman" w:hAnsi="Times New Roman" w:cs="Times New Roman"/>
                <w:sz w:val="20"/>
                <w:szCs w:val="20"/>
              </w:rPr>
              <w:t xml:space="preserve"> HIV/AIDS is one of the leading causes of mortality in Kenya. </w:t>
            </w:r>
          </w:p>
        </w:tc>
      </w:tr>
      <w:tr w:rsidR="00074C05" w:rsidRPr="00074C05" w:rsidTr="00074C05">
        <w:tc>
          <w:tcPr>
            <w:tcW w:w="1668" w:type="dxa"/>
            <w:vMerge/>
            <w:vAlign w:val="center"/>
          </w:tcPr>
          <w:p w:rsidR="00074C05" w:rsidRPr="00074C05" w:rsidRDefault="00074C05" w:rsidP="00D9411E">
            <w:pPr>
              <w:spacing w:line="276" w:lineRule="auto"/>
              <w:rPr>
                <w:rFonts w:ascii="Times New Roman" w:hAnsi="Times New Roman" w:cs="Times New Roman"/>
                <w:b/>
                <w:sz w:val="20"/>
                <w:szCs w:val="20"/>
              </w:rPr>
            </w:pPr>
          </w:p>
        </w:tc>
        <w:tc>
          <w:tcPr>
            <w:tcW w:w="24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Pollution level of the country</w:t>
            </w:r>
          </w:p>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and contribution of the</w:t>
            </w:r>
          </w:p>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sector to the environmental</w:t>
            </w:r>
          </w:p>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load</w:t>
            </w:r>
          </w:p>
        </w:tc>
        <w:tc>
          <w:tcPr>
            <w:tcW w:w="5211"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CO2 emissions equal 0,33 tons per capita (Google public data, 2011)</w:t>
            </w:r>
            <w:r w:rsidRPr="00074C05">
              <w:rPr>
                <w:rStyle w:val="Funotenzeichen"/>
                <w:rFonts w:ascii="Times New Roman" w:hAnsi="Times New Roman" w:cs="Times New Roman"/>
                <w:sz w:val="20"/>
                <w:szCs w:val="20"/>
              </w:rPr>
              <w:footnoteReference w:id="32"/>
            </w:r>
            <w:r w:rsidRPr="00074C05">
              <w:rPr>
                <w:rFonts w:ascii="Times New Roman" w:hAnsi="Times New Roman" w:cs="Times New Roman"/>
                <w:sz w:val="20"/>
                <w:szCs w:val="20"/>
              </w:rPr>
              <w:t xml:space="preserve"> No data available on contribution of the sector. </w:t>
            </w:r>
          </w:p>
        </w:tc>
      </w:tr>
      <w:tr w:rsidR="00074C05" w:rsidRPr="00074C05" w:rsidTr="00074C05">
        <w:tc>
          <w:tcPr>
            <w:tcW w:w="1668" w:type="dxa"/>
            <w:vMerge w:val="restart"/>
            <w:vAlign w:val="center"/>
          </w:tcPr>
          <w:p w:rsidR="00074C05" w:rsidRPr="00074C05" w:rsidRDefault="00074C05" w:rsidP="00D9411E">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Secure living conditions</w:t>
            </w:r>
          </w:p>
        </w:tc>
        <w:tc>
          <w:tcPr>
            <w:tcW w:w="24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Crime rate</w:t>
            </w:r>
          </w:p>
        </w:tc>
        <w:tc>
          <w:tcPr>
            <w:tcW w:w="5211"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Kenya ranks 7 of 120 compared to other countries and has thus a relatively high crime rate.</w:t>
            </w:r>
            <w:r w:rsidRPr="00074C05">
              <w:rPr>
                <w:rStyle w:val="Funotenzeichen"/>
                <w:rFonts w:ascii="Times New Roman" w:hAnsi="Times New Roman" w:cs="Times New Roman"/>
                <w:sz w:val="20"/>
                <w:szCs w:val="20"/>
              </w:rPr>
              <w:footnoteReference w:id="33"/>
            </w:r>
          </w:p>
        </w:tc>
      </w:tr>
      <w:tr w:rsidR="00074C05" w:rsidRPr="00074C05" w:rsidTr="00074C05">
        <w:tc>
          <w:tcPr>
            <w:tcW w:w="1668" w:type="dxa"/>
            <w:vMerge/>
            <w:vAlign w:val="center"/>
          </w:tcPr>
          <w:p w:rsidR="00074C05" w:rsidRPr="00074C05" w:rsidRDefault="00074C05" w:rsidP="00D9411E">
            <w:pPr>
              <w:spacing w:line="276" w:lineRule="auto"/>
              <w:rPr>
                <w:rFonts w:ascii="Times New Roman" w:hAnsi="Times New Roman" w:cs="Times New Roman"/>
                <w:b/>
                <w:sz w:val="20"/>
                <w:szCs w:val="20"/>
              </w:rPr>
            </w:pPr>
          </w:p>
        </w:tc>
        <w:tc>
          <w:tcPr>
            <w:tcW w:w="2409"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Management policies related</w:t>
            </w:r>
          </w:p>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to private security</w:t>
            </w:r>
          </w:p>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personnel</w:t>
            </w:r>
          </w:p>
        </w:tc>
        <w:tc>
          <w:tcPr>
            <w:tcW w:w="5211" w:type="dxa"/>
          </w:tcPr>
          <w:p w:rsidR="00074C05" w:rsidRPr="00074C05" w:rsidRDefault="00074C05" w:rsidP="00D9411E">
            <w:pPr>
              <w:spacing w:line="276" w:lineRule="auto"/>
              <w:rPr>
                <w:rFonts w:ascii="Times New Roman" w:hAnsi="Times New Roman" w:cs="Times New Roman"/>
                <w:sz w:val="20"/>
                <w:szCs w:val="20"/>
              </w:rPr>
            </w:pPr>
            <w:r w:rsidRPr="00074C05">
              <w:rPr>
                <w:rFonts w:ascii="Times New Roman" w:hAnsi="Times New Roman" w:cs="Times New Roman"/>
                <w:sz w:val="20"/>
                <w:szCs w:val="20"/>
              </w:rPr>
              <w:t xml:space="preserve">No information available. </w:t>
            </w:r>
          </w:p>
        </w:tc>
      </w:tr>
    </w:tbl>
    <w:p w:rsidR="00074C05" w:rsidRPr="00074C05" w:rsidRDefault="00074C05" w:rsidP="00074C05">
      <w:pPr>
        <w:spacing w:line="360" w:lineRule="auto"/>
        <w:jc w:val="both"/>
        <w:rPr>
          <w:rFonts w:ascii="Times New Roman" w:hAnsi="Times New Roman" w:cs="Times New Roman"/>
          <w:sz w:val="20"/>
          <w:szCs w:val="20"/>
        </w:rPr>
      </w:pPr>
      <w:r w:rsidRPr="00074C05">
        <w:rPr>
          <w:rFonts w:ascii="Times New Roman" w:hAnsi="Times New Roman" w:cs="Times New Roman"/>
          <w:sz w:val="20"/>
          <w:szCs w:val="20"/>
        </w:rPr>
        <w:br w:type="page"/>
      </w:r>
    </w:p>
    <w:tbl>
      <w:tblPr>
        <w:tblStyle w:val="Tabellenraster"/>
        <w:tblW w:w="0" w:type="auto"/>
        <w:tblLook w:val="04A0" w:firstRow="1" w:lastRow="0" w:firstColumn="1" w:lastColumn="0" w:noHBand="0" w:noVBand="1"/>
      </w:tblPr>
      <w:tblGrid>
        <w:gridCol w:w="1668"/>
        <w:gridCol w:w="2409"/>
        <w:gridCol w:w="5211"/>
      </w:tblGrid>
      <w:tr w:rsidR="00074C05" w:rsidRPr="00074C05" w:rsidTr="00500D0D">
        <w:tc>
          <w:tcPr>
            <w:tcW w:w="1668" w:type="dxa"/>
            <w:vMerge w:val="restart"/>
            <w:vAlign w:val="center"/>
          </w:tcPr>
          <w:p w:rsidR="00074C05" w:rsidRPr="00074C05" w:rsidRDefault="00074C05" w:rsidP="00074C05">
            <w:pPr>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lastRenderedPageBreak/>
              <w:t>Local Employment</w:t>
            </w:r>
          </w:p>
        </w:tc>
        <w:tc>
          <w:tcPr>
            <w:tcW w:w="2409" w:type="dxa"/>
          </w:tcPr>
          <w:p w:rsidR="00074C05" w:rsidRPr="00074C05" w:rsidRDefault="00074C05" w:rsidP="00074C05">
            <w:pPr>
              <w:spacing w:line="276" w:lineRule="auto"/>
              <w:rPr>
                <w:rFonts w:ascii="Times New Roman" w:hAnsi="Times New Roman" w:cs="Times New Roman"/>
                <w:sz w:val="20"/>
                <w:szCs w:val="20"/>
              </w:rPr>
            </w:pPr>
            <w:r w:rsidRPr="00074C05">
              <w:rPr>
                <w:rFonts w:ascii="Times New Roman" w:hAnsi="Times New Roman" w:cs="Times New Roman"/>
                <w:sz w:val="20"/>
                <w:szCs w:val="20"/>
              </w:rPr>
              <w:t>Percentage of unemployment</w:t>
            </w:r>
          </w:p>
          <w:p w:rsidR="00074C05" w:rsidRPr="00074C05" w:rsidRDefault="00074C05" w:rsidP="00074C05">
            <w:pPr>
              <w:spacing w:line="276" w:lineRule="auto"/>
              <w:rPr>
                <w:rFonts w:ascii="Times New Roman" w:hAnsi="Times New Roman" w:cs="Times New Roman"/>
                <w:sz w:val="20"/>
                <w:szCs w:val="20"/>
              </w:rPr>
            </w:pPr>
            <w:r w:rsidRPr="00074C05">
              <w:rPr>
                <w:rFonts w:ascii="Times New Roman" w:hAnsi="Times New Roman" w:cs="Times New Roman"/>
                <w:sz w:val="20"/>
                <w:szCs w:val="20"/>
              </w:rPr>
              <w:t>in the country</w:t>
            </w:r>
          </w:p>
        </w:tc>
        <w:tc>
          <w:tcPr>
            <w:tcW w:w="5211" w:type="dxa"/>
          </w:tcPr>
          <w:p w:rsidR="00074C05" w:rsidRPr="00074C05" w:rsidRDefault="00074C05" w:rsidP="00074C05">
            <w:pPr>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Unemployment rate (2009) amounts 12,2%.</w:t>
            </w:r>
            <w:r w:rsidRPr="00074C05">
              <w:rPr>
                <w:rStyle w:val="Funotenzeichen"/>
                <w:rFonts w:ascii="Times New Roman" w:hAnsi="Times New Roman" w:cs="Times New Roman"/>
                <w:sz w:val="20"/>
                <w:szCs w:val="20"/>
              </w:rPr>
              <w:footnoteReference w:id="34"/>
            </w:r>
            <w:r w:rsidRPr="00074C05">
              <w:rPr>
                <w:rFonts w:ascii="Times New Roman" w:hAnsi="Times New Roman" w:cs="Times New Roman"/>
                <w:sz w:val="20"/>
                <w:szCs w:val="20"/>
              </w:rPr>
              <w:t xml:space="preserve"> </w:t>
            </w:r>
          </w:p>
        </w:tc>
      </w:tr>
      <w:tr w:rsidR="00074C05" w:rsidRPr="009A23B7" w:rsidTr="00500D0D">
        <w:tc>
          <w:tcPr>
            <w:tcW w:w="1668" w:type="dxa"/>
            <w:vMerge/>
            <w:vAlign w:val="center"/>
          </w:tcPr>
          <w:p w:rsidR="00074C05" w:rsidRPr="00074C05" w:rsidRDefault="00074C05" w:rsidP="00074C05">
            <w:pPr>
              <w:spacing w:line="276" w:lineRule="auto"/>
              <w:jc w:val="both"/>
              <w:rPr>
                <w:rFonts w:ascii="Times New Roman" w:hAnsi="Times New Roman" w:cs="Times New Roman"/>
                <w:b/>
                <w:sz w:val="20"/>
                <w:szCs w:val="20"/>
              </w:rPr>
            </w:pPr>
          </w:p>
        </w:tc>
        <w:tc>
          <w:tcPr>
            <w:tcW w:w="2409" w:type="dxa"/>
          </w:tcPr>
          <w:p w:rsidR="00074C05" w:rsidRPr="009A23B7" w:rsidRDefault="00074C05" w:rsidP="00074C05">
            <w:pPr>
              <w:spacing w:line="276" w:lineRule="auto"/>
              <w:rPr>
                <w:rFonts w:ascii="Times New Roman" w:hAnsi="Times New Roman" w:cs="Times New Roman"/>
                <w:sz w:val="20"/>
                <w:szCs w:val="20"/>
              </w:rPr>
            </w:pPr>
            <w:r w:rsidRPr="009A23B7">
              <w:rPr>
                <w:rFonts w:ascii="Times New Roman" w:hAnsi="Times New Roman" w:cs="Times New Roman"/>
                <w:sz w:val="20"/>
                <w:szCs w:val="20"/>
              </w:rPr>
              <w:t>Percentage of work force</w:t>
            </w:r>
          </w:p>
          <w:p w:rsidR="00074C05" w:rsidRPr="009A23B7" w:rsidRDefault="00074C05" w:rsidP="00074C05">
            <w:pPr>
              <w:spacing w:line="276" w:lineRule="auto"/>
              <w:rPr>
                <w:rFonts w:ascii="Times New Roman" w:hAnsi="Times New Roman" w:cs="Times New Roman"/>
                <w:sz w:val="20"/>
                <w:szCs w:val="20"/>
              </w:rPr>
            </w:pPr>
            <w:r w:rsidRPr="009A23B7">
              <w:rPr>
                <w:rFonts w:ascii="Times New Roman" w:hAnsi="Times New Roman" w:cs="Times New Roman"/>
                <w:sz w:val="20"/>
                <w:szCs w:val="20"/>
              </w:rPr>
              <w:t>hired locally</w:t>
            </w:r>
          </w:p>
        </w:tc>
        <w:tc>
          <w:tcPr>
            <w:tcW w:w="5211" w:type="dxa"/>
          </w:tcPr>
          <w:p w:rsidR="00074C05" w:rsidRPr="009A23B7" w:rsidRDefault="005E7ED1" w:rsidP="005E7ED1">
            <w:pPr>
              <w:spacing w:line="276" w:lineRule="auto"/>
              <w:jc w:val="both"/>
              <w:rPr>
                <w:rFonts w:ascii="Times New Roman" w:hAnsi="Times New Roman" w:cs="Times New Roman"/>
                <w:sz w:val="20"/>
                <w:szCs w:val="20"/>
              </w:rPr>
            </w:pPr>
            <w:r w:rsidRPr="009A23B7">
              <w:rPr>
                <w:rFonts w:ascii="Times New Roman" w:hAnsi="Times New Roman" w:cs="Times New Roman"/>
                <w:sz w:val="20"/>
                <w:szCs w:val="20"/>
              </w:rPr>
              <w:t xml:space="preserve">80-100% of the workforce is hired locally at Spartan Relief. </w:t>
            </w:r>
          </w:p>
        </w:tc>
      </w:tr>
      <w:tr w:rsidR="00074C05" w:rsidRPr="009A23B7" w:rsidTr="00500D0D">
        <w:tc>
          <w:tcPr>
            <w:tcW w:w="1668" w:type="dxa"/>
            <w:vAlign w:val="center"/>
          </w:tcPr>
          <w:p w:rsidR="00074C05" w:rsidRPr="009A23B7" w:rsidRDefault="00074C05" w:rsidP="00074C05">
            <w:pPr>
              <w:spacing w:line="276" w:lineRule="auto"/>
              <w:jc w:val="both"/>
              <w:rPr>
                <w:rFonts w:ascii="Times New Roman" w:hAnsi="Times New Roman" w:cs="Times New Roman"/>
                <w:b/>
                <w:sz w:val="20"/>
                <w:szCs w:val="20"/>
              </w:rPr>
            </w:pPr>
            <w:r w:rsidRPr="009A23B7">
              <w:rPr>
                <w:rFonts w:ascii="Times New Roman" w:hAnsi="Times New Roman" w:cs="Times New Roman"/>
                <w:b/>
                <w:sz w:val="20"/>
                <w:szCs w:val="20"/>
              </w:rPr>
              <w:t>Community Engagement</w:t>
            </w:r>
          </w:p>
        </w:tc>
        <w:tc>
          <w:tcPr>
            <w:tcW w:w="2409" w:type="dxa"/>
          </w:tcPr>
          <w:p w:rsidR="00074C05" w:rsidRPr="009A23B7" w:rsidRDefault="00074C05" w:rsidP="00074C05">
            <w:pPr>
              <w:spacing w:line="276" w:lineRule="auto"/>
              <w:rPr>
                <w:rFonts w:ascii="Times New Roman" w:hAnsi="Times New Roman" w:cs="Times New Roman"/>
                <w:sz w:val="20"/>
                <w:szCs w:val="20"/>
              </w:rPr>
            </w:pPr>
            <w:r w:rsidRPr="009A23B7">
              <w:rPr>
                <w:rFonts w:ascii="Times New Roman" w:hAnsi="Times New Roman" w:cs="Times New Roman"/>
                <w:sz w:val="20"/>
                <w:szCs w:val="20"/>
              </w:rPr>
              <w:t>Description of community</w:t>
            </w:r>
          </w:p>
          <w:p w:rsidR="00074C05" w:rsidRPr="009A23B7" w:rsidRDefault="00074C05" w:rsidP="00074C05">
            <w:pPr>
              <w:spacing w:line="276" w:lineRule="auto"/>
              <w:rPr>
                <w:rFonts w:ascii="Times New Roman" w:hAnsi="Times New Roman" w:cs="Times New Roman"/>
                <w:sz w:val="20"/>
                <w:szCs w:val="20"/>
              </w:rPr>
            </w:pPr>
            <w:r w:rsidRPr="009A23B7">
              <w:rPr>
                <w:rFonts w:ascii="Times New Roman" w:hAnsi="Times New Roman" w:cs="Times New Roman"/>
                <w:sz w:val="20"/>
                <w:szCs w:val="20"/>
              </w:rPr>
              <w:t>engagement of the sector</w:t>
            </w:r>
          </w:p>
        </w:tc>
        <w:tc>
          <w:tcPr>
            <w:tcW w:w="5211" w:type="dxa"/>
          </w:tcPr>
          <w:p w:rsidR="00074C05" w:rsidRPr="009A23B7" w:rsidRDefault="00074C05" w:rsidP="00074C05">
            <w:pPr>
              <w:spacing w:line="276" w:lineRule="auto"/>
              <w:jc w:val="both"/>
              <w:rPr>
                <w:rFonts w:ascii="Times New Roman" w:hAnsi="Times New Roman" w:cs="Times New Roman"/>
                <w:sz w:val="20"/>
                <w:szCs w:val="20"/>
              </w:rPr>
            </w:pPr>
            <w:r w:rsidRPr="009A23B7">
              <w:rPr>
                <w:rFonts w:ascii="Times New Roman" w:hAnsi="Times New Roman" w:cs="Times New Roman"/>
                <w:sz w:val="20"/>
                <w:szCs w:val="20"/>
              </w:rPr>
              <w:t xml:space="preserve">No information available. </w:t>
            </w:r>
          </w:p>
        </w:tc>
      </w:tr>
    </w:tbl>
    <w:p w:rsidR="00074C05" w:rsidRPr="009A23B7" w:rsidRDefault="00074C05" w:rsidP="00074C05">
      <w:pPr>
        <w:spacing w:line="360" w:lineRule="auto"/>
        <w:jc w:val="both"/>
        <w:rPr>
          <w:rFonts w:ascii="Times New Roman" w:hAnsi="Times New Roman" w:cs="Times New Roman"/>
          <w:sz w:val="20"/>
          <w:szCs w:val="20"/>
        </w:rPr>
      </w:pPr>
    </w:p>
    <w:p w:rsidR="00074C05" w:rsidRPr="009A23B7" w:rsidRDefault="00074C05" w:rsidP="00074C05">
      <w:pPr>
        <w:spacing w:line="360" w:lineRule="auto"/>
        <w:jc w:val="both"/>
        <w:rPr>
          <w:rFonts w:ascii="Times New Roman" w:hAnsi="Times New Roman" w:cs="Times New Roman"/>
          <w:b/>
          <w:sz w:val="20"/>
          <w:szCs w:val="20"/>
        </w:rPr>
      </w:pPr>
      <w:r w:rsidRPr="009A23B7">
        <w:rPr>
          <w:rFonts w:ascii="Times New Roman" w:hAnsi="Times New Roman" w:cs="Times New Roman"/>
          <w:b/>
          <w:sz w:val="20"/>
          <w:szCs w:val="20"/>
        </w:rPr>
        <w:t>Stakeholder group Society – Production in Kenya</w:t>
      </w:r>
    </w:p>
    <w:tbl>
      <w:tblPr>
        <w:tblStyle w:val="Tabellenraster"/>
        <w:tblW w:w="0" w:type="auto"/>
        <w:tblLook w:val="04A0" w:firstRow="1" w:lastRow="0" w:firstColumn="1" w:lastColumn="0" w:noHBand="0" w:noVBand="1"/>
      </w:tblPr>
      <w:tblGrid>
        <w:gridCol w:w="1668"/>
        <w:gridCol w:w="2409"/>
        <w:gridCol w:w="5211"/>
      </w:tblGrid>
      <w:tr w:rsidR="00074C05" w:rsidRPr="009A23B7" w:rsidTr="00500D0D">
        <w:tc>
          <w:tcPr>
            <w:tcW w:w="1668" w:type="dxa"/>
            <w:vMerge w:val="restart"/>
            <w:vAlign w:val="center"/>
          </w:tcPr>
          <w:p w:rsidR="00074C05" w:rsidRPr="009A23B7" w:rsidRDefault="00074C05" w:rsidP="005E7ED1">
            <w:pPr>
              <w:spacing w:line="276" w:lineRule="auto"/>
              <w:rPr>
                <w:rFonts w:ascii="Times New Roman" w:hAnsi="Times New Roman" w:cs="Times New Roman"/>
                <w:b/>
                <w:sz w:val="20"/>
                <w:szCs w:val="20"/>
              </w:rPr>
            </w:pPr>
            <w:r w:rsidRPr="009A23B7">
              <w:rPr>
                <w:rFonts w:ascii="Times New Roman" w:hAnsi="Times New Roman" w:cs="Times New Roman"/>
                <w:b/>
                <w:sz w:val="20"/>
                <w:szCs w:val="20"/>
              </w:rPr>
              <w:t>Public commitment to sustainable issues</w:t>
            </w:r>
          </w:p>
        </w:tc>
        <w:tc>
          <w:tcPr>
            <w:tcW w:w="2409" w:type="dxa"/>
          </w:tcPr>
          <w:p w:rsidR="00074C05" w:rsidRPr="009A23B7" w:rsidRDefault="00074C05" w:rsidP="005E7ED1">
            <w:pPr>
              <w:spacing w:line="276" w:lineRule="auto"/>
              <w:rPr>
                <w:rFonts w:ascii="Times New Roman" w:hAnsi="Times New Roman" w:cs="Times New Roman"/>
                <w:sz w:val="20"/>
                <w:szCs w:val="20"/>
              </w:rPr>
            </w:pPr>
            <w:r w:rsidRPr="009A23B7">
              <w:rPr>
                <w:rFonts w:ascii="Times New Roman" w:hAnsi="Times New Roman" w:cs="Times New Roman"/>
                <w:sz w:val="20"/>
                <w:szCs w:val="20"/>
              </w:rPr>
              <w:t>Presence of publicly available promises or agreements on sustainable issues</w:t>
            </w:r>
          </w:p>
          <w:p w:rsidR="00074C05" w:rsidRPr="009A23B7" w:rsidRDefault="00074C05" w:rsidP="005E7ED1">
            <w:pPr>
              <w:spacing w:line="276" w:lineRule="auto"/>
              <w:rPr>
                <w:rFonts w:ascii="Times New Roman" w:hAnsi="Times New Roman" w:cs="Times New Roman"/>
                <w:sz w:val="20"/>
                <w:szCs w:val="20"/>
              </w:rPr>
            </w:pPr>
            <w:r w:rsidRPr="009A23B7">
              <w:rPr>
                <w:rFonts w:ascii="Times New Roman" w:hAnsi="Times New Roman" w:cs="Times New Roman"/>
                <w:sz w:val="20"/>
                <w:szCs w:val="20"/>
              </w:rPr>
              <w:t>and complaints to the non-fulfilment of these commitments</w:t>
            </w:r>
          </w:p>
        </w:tc>
        <w:tc>
          <w:tcPr>
            <w:tcW w:w="5211" w:type="dxa"/>
          </w:tcPr>
          <w:p w:rsidR="00074C05" w:rsidRPr="009A23B7" w:rsidRDefault="00074C05" w:rsidP="005E7ED1">
            <w:pPr>
              <w:spacing w:line="276" w:lineRule="auto"/>
              <w:rPr>
                <w:rFonts w:ascii="Times New Roman" w:hAnsi="Times New Roman" w:cs="Times New Roman"/>
                <w:sz w:val="20"/>
                <w:szCs w:val="20"/>
              </w:rPr>
            </w:pPr>
            <w:r w:rsidRPr="009A23B7">
              <w:rPr>
                <w:rFonts w:ascii="Times New Roman" w:hAnsi="Times New Roman" w:cs="Times New Roman"/>
                <w:sz w:val="20"/>
                <w:szCs w:val="20"/>
              </w:rPr>
              <w:t>“A National Environmental Tribunal has been set up by an Act of Parliament (the Environmental Management and Coordination Act of 1999) and appears to have been highly successful in the years since then” (UNEP, n.d.; p.23).</w:t>
            </w:r>
            <w:r w:rsidRPr="009A23B7">
              <w:rPr>
                <w:rStyle w:val="Funotenzeichen"/>
                <w:rFonts w:ascii="Times New Roman" w:hAnsi="Times New Roman" w:cs="Times New Roman"/>
                <w:sz w:val="20"/>
                <w:szCs w:val="20"/>
              </w:rPr>
              <w:footnoteReference w:id="35"/>
            </w:r>
            <w:r w:rsidRPr="009A23B7">
              <w:rPr>
                <w:rFonts w:ascii="Times New Roman" w:hAnsi="Times New Roman" w:cs="Times New Roman"/>
                <w:sz w:val="20"/>
                <w:szCs w:val="20"/>
              </w:rPr>
              <w:t xml:space="preserve">  However,  no information could be found on public complaints. </w:t>
            </w:r>
          </w:p>
        </w:tc>
      </w:tr>
      <w:tr w:rsidR="00074C05" w:rsidRPr="00074C05" w:rsidTr="00500D0D">
        <w:tc>
          <w:tcPr>
            <w:tcW w:w="1668" w:type="dxa"/>
            <w:vMerge/>
            <w:vAlign w:val="center"/>
          </w:tcPr>
          <w:p w:rsidR="00074C05" w:rsidRPr="009A23B7" w:rsidRDefault="00074C05" w:rsidP="005E7ED1">
            <w:pPr>
              <w:spacing w:line="276" w:lineRule="auto"/>
              <w:rPr>
                <w:rFonts w:ascii="Times New Roman" w:hAnsi="Times New Roman" w:cs="Times New Roman"/>
                <w:b/>
                <w:sz w:val="20"/>
                <w:szCs w:val="20"/>
              </w:rPr>
            </w:pPr>
          </w:p>
        </w:tc>
        <w:tc>
          <w:tcPr>
            <w:tcW w:w="2409" w:type="dxa"/>
          </w:tcPr>
          <w:p w:rsidR="00074C05" w:rsidRPr="009A23B7" w:rsidRDefault="00074C05" w:rsidP="005E7ED1">
            <w:pPr>
              <w:spacing w:line="276" w:lineRule="auto"/>
              <w:rPr>
                <w:rFonts w:ascii="Times New Roman" w:hAnsi="Times New Roman" w:cs="Times New Roman"/>
                <w:sz w:val="20"/>
                <w:szCs w:val="20"/>
              </w:rPr>
            </w:pPr>
            <w:r w:rsidRPr="009A23B7">
              <w:rPr>
                <w:rFonts w:ascii="Times New Roman" w:hAnsi="Times New Roman" w:cs="Times New Roman"/>
                <w:sz w:val="20"/>
                <w:szCs w:val="20"/>
              </w:rPr>
              <w:t>Implementation/signing of</w:t>
            </w:r>
          </w:p>
          <w:p w:rsidR="00074C05" w:rsidRPr="009A23B7" w:rsidRDefault="00074C05" w:rsidP="005E7ED1">
            <w:pPr>
              <w:spacing w:line="276" w:lineRule="auto"/>
              <w:rPr>
                <w:rFonts w:ascii="Times New Roman" w:hAnsi="Times New Roman" w:cs="Times New Roman"/>
                <w:sz w:val="20"/>
                <w:szCs w:val="20"/>
              </w:rPr>
            </w:pPr>
            <w:r w:rsidRPr="009A23B7">
              <w:rPr>
                <w:rFonts w:ascii="Times New Roman" w:hAnsi="Times New Roman" w:cs="Times New Roman"/>
                <w:sz w:val="20"/>
                <w:szCs w:val="20"/>
              </w:rPr>
              <w:t>principles or codes of conducts</w:t>
            </w:r>
          </w:p>
        </w:tc>
        <w:tc>
          <w:tcPr>
            <w:tcW w:w="5211" w:type="dxa"/>
          </w:tcPr>
          <w:p w:rsidR="00074C05" w:rsidRPr="00074C05" w:rsidRDefault="005E7ED1" w:rsidP="005E7ED1">
            <w:pPr>
              <w:spacing w:line="276" w:lineRule="auto"/>
              <w:rPr>
                <w:rFonts w:ascii="Times New Roman" w:hAnsi="Times New Roman" w:cs="Times New Roman"/>
                <w:sz w:val="20"/>
                <w:szCs w:val="20"/>
              </w:rPr>
            </w:pPr>
            <w:r w:rsidRPr="009A23B7">
              <w:rPr>
                <w:rFonts w:ascii="Times New Roman" w:hAnsi="Times New Roman" w:cs="Times New Roman"/>
                <w:sz w:val="20"/>
                <w:szCs w:val="20"/>
              </w:rPr>
              <w:t>Spartan Relief did not sign codes of conduct apart from agreements with the UNHCR.</w:t>
            </w:r>
            <w:bookmarkStart w:id="0" w:name="_GoBack"/>
            <w:bookmarkEnd w:id="0"/>
          </w:p>
        </w:tc>
      </w:tr>
      <w:tr w:rsidR="00074C05" w:rsidRPr="00074C05" w:rsidTr="00500D0D">
        <w:tc>
          <w:tcPr>
            <w:tcW w:w="1668" w:type="dxa"/>
            <w:vAlign w:val="center"/>
          </w:tcPr>
          <w:p w:rsidR="00074C05" w:rsidRPr="00074C05" w:rsidRDefault="00074C05" w:rsidP="005E7ED1">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Contribution to economic development</w:t>
            </w:r>
          </w:p>
        </w:tc>
        <w:tc>
          <w:tcPr>
            <w:tcW w:w="2409"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Economic situation of the country and relevance of the considered sector for</w:t>
            </w:r>
          </w:p>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the economy</w:t>
            </w:r>
          </w:p>
        </w:tc>
        <w:tc>
          <w:tcPr>
            <w:tcW w:w="5211"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Kenya has a GDP growth of 5,1%.</w:t>
            </w:r>
            <w:r w:rsidRPr="00074C05">
              <w:rPr>
                <w:rStyle w:val="Funotenzeichen"/>
                <w:rFonts w:ascii="Times New Roman" w:hAnsi="Times New Roman" w:cs="Times New Roman"/>
                <w:sz w:val="20"/>
                <w:szCs w:val="20"/>
              </w:rPr>
              <w:footnoteReference w:id="36"/>
            </w:r>
            <w:r w:rsidRPr="00074C05">
              <w:rPr>
                <w:rFonts w:ascii="Times New Roman" w:hAnsi="Times New Roman" w:cs="Times New Roman"/>
                <w:sz w:val="20"/>
                <w:szCs w:val="20"/>
              </w:rPr>
              <w:t xml:space="preserve"> According to the general country profile Kenya has been disturbed by corruption and reliance on primary goods which prices have remained low. Kenya’s long-term position will be affected by the extent to which infrastructure will be developed. </w:t>
            </w:r>
          </w:p>
        </w:tc>
      </w:tr>
      <w:tr w:rsidR="00074C05" w:rsidRPr="00074C05" w:rsidTr="00500D0D">
        <w:tc>
          <w:tcPr>
            <w:tcW w:w="1668" w:type="dxa"/>
            <w:vMerge w:val="restart"/>
            <w:vAlign w:val="center"/>
          </w:tcPr>
          <w:p w:rsidR="00074C05" w:rsidRPr="00074C05" w:rsidRDefault="00074C05" w:rsidP="005E7ED1">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Prevention and</w:t>
            </w:r>
          </w:p>
          <w:p w:rsidR="00074C05" w:rsidRPr="00074C05" w:rsidRDefault="00074C05" w:rsidP="005E7ED1">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mitigation of</w:t>
            </w:r>
          </w:p>
          <w:p w:rsidR="00074C05" w:rsidRPr="00074C05" w:rsidRDefault="00074C05" w:rsidP="005E7ED1">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conflicts</w:t>
            </w:r>
          </w:p>
        </w:tc>
        <w:tc>
          <w:tcPr>
            <w:tcW w:w="2409"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Presence of conflicts in the country</w:t>
            </w:r>
          </w:p>
        </w:tc>
        <w:tc>
          <w:tcPr>
            <w:tcW w:w="5211"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 xml:space="preserve">Kenya is vulnerable for violence, because of its proximity to Somalia, Sudan, Yemen,  and Eritrea, which have been known for the violent, terrorist groups Al Shabaab and Al Qaeda. </w:t>
            </w:r>
          </w:p>
        </w:tc>
      </w:tr>
      <w:tr w:rsidR="00074C05" w:rsidRPr="00074C05" w:rsidTr="00500D0D">
        <w:tc>
          <w:tcPr>
            <w:tcW w:w="1668" w:type="dxa"/>
            <w:vMerge/>
            <w:vAlign w:val="center"/>
          </w:tcPr>
          <w:p w:rsidR="00074C05" w:rsidRPr="00074C05" w:rsidRDefault="00074C05" w:rsidP="005E7ED1">
            <w:pPr>
              <w:spacing w:line="276" w:lineRule="auto"/>
              <w:rPr>
                <w:rFonts w:ascii="Times New Roman" w:hAnsi="Times New Roman" w:cs="Times New Roman"/>
                <w:b/>
                <w:sz w:val="20"/>
                <w:szCs w:val="20"/>
              </w:rPr>
            </w:pPr>
          </w:p>
        </w:tc>
        <w:tc>
          <w:tcPr>
            <w:tcW w:w="2409"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Risk of conflicts with regard to the sector and measures to reduce the risk</w:t>
            </w:r>
          </w:p>
        </w:tc>
        <w:tc>
          <w:tcPr>
            <w:tcW w:w="5211"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 xml:space="preserve">Land use conflicts might be a risk when developing the extraction of raw materials in Kenya. </w:t>
            </w:r>
          </w:p>
        </w:tc>
      </w:tr>
      <w:tr w:rsidR="00074C05" w:rsidRPr="00074C05" w:rsidTr="00500D0D">
        <w:tc>
          <w:tcPr>
            <w:tcW w:w="1668" w:type="dxa"/>
            <w:vMerge w:val="restart"/>
            <w:vAlign w:val="center"/>
          </w:tcPr>
          <w:p w:rsidR="00074C05" w:rsidRPr="00074C05" w:rsidRDefault="00074C05" w:rsidP="005E7ED1">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Technology</w:t>
            </w:r>
          </w:p>
          <w:p w:rsidR="00074C05" w:rsidRPr="00074C05" w:rsidRDefault="00074C05" w:rsidP="005E7ED1">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Development</w:t>
            </w:r>
          </w:p>
        </w:tc>
        <w:tc>
          <w:tcPr>
            <w:tcW w:w="2409"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Sector efforts in technology</w:t>
            </w:r>
          </w:p>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development regarding eco friendliness</w:t>
            </w:r>
          </w:p>
        </w:tc>
        <w:tc>
          <w:tcPr>
            <w:tcW w:w="5211"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 xml:space="preserve">No data available. </w:t>
            </w:r>
          </w:p>
        </w:tc>
      </w:tr>
      <w:tr w:rsidR="00074C05" w:rsidRPr="00074C05" w:rsidTr="00500D0D">
        <w:tc>
          <w:tcPr>
            <w:tcW w:w="1668" w:type="dxa"/>
            <w:vMerge/>
            <w:vAlign w:val="center"/>
          </w:tcPr>
          <w:p w:rsidR="00074C05" w:rsidRPr="00074C05" w:rsidRDefault="00074C05" w:rsidP="005E7ED1">
            <w:pPr>
              <w:spacing w:line="276" w:lineRule="auto"/>
              <w:rPr>
                <w:rFonts w:ascii="Times New Roman" w:hAnsi="Times New Roman" w:cs="Times New Roman"/>
                <w:b/>
                <w:sz w:val="20"/>
                <w:szCs w:val="20"/>
              </w:rPr>
            </w:pPr>
          </w:p>
        </w:tc>
        <w:tc>
          <w:tcPr>
            <w:tcW w:w="2409"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Investments in technology</w:t>
            </w:r>
          </w:p>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development</w:t>
            </w:r>
          </w:p>
        </w:tc>
        <w:tc>
          <w:tcPr>
            <w:tcW w:w="5211" w:type="dxa"/>
          </w:tcPr>
          <w:p w:rsidR="00074C05" w:rsidRPr="00074C05" w:rsidRDefault="005E7ED1" w:rsidP="005E7ED1">
            <w:pPr>
              <w:spacing w:line="276" w:lineRule="auto"/>
              <w:rPr>
                <w:rFonts w:ascii="Times New Roman" w:hAnsi="Times New Roman" w:cs="Times New Roman"/>
                <w:sz w:val="20"/>
                <w:szCs w:val="20"/>
              </w:rPr>
            </w:pPr>
            <w:r w:rsidRPr="00BB03D6">
              <w:rPr>
                <w:rFonts w:ascii="Times New Roman" w:hAnsi="Times New Roman" w:cs="Times New Roman"/>
                <w:sz w:val="20"/>
                <w:szCs w:val="20"/>
                <w:highlight w:val="lightGray"/>
              </w:rPr>
              <w:t>Spartan Relief reported to engage in below average investments in technology development compared to the sector.</w:t>
            </w:r>
            <w:r>
              <w:rPr>
                <w:rFonts w:ascii="Times New Roman" w:hAnsi="Times New Roman" w:cs="Times New Roman"/>
                <w:sz w:val="20"/>
                <w:szCs w:val="20"/>
              </w:rPr>
              <w:t xml:space="preserve"> </w:t>
            </w:r>
          </w:p>
        </w:tc>
      </w:tr>
      <w:tr w:rsidR="00074C05" w:rsidRPr="00074C05" w:rsidTr="00500D0D">
        <w:tc>
          <w:tcPr>
            <w:tcW w:w="1668" w:type="dxa"/>
            <w:vAlign w:val="center"/>
          </w:tcPr>
          <w:p w:rsidR="00074C05" w:rsidRPr="00074C05" w:rsidRDefault="00074C05" w:rsidP="005E7ED1">
            <w:pPr>
              <w:spacing w:line="276" w:lineRule="auto"/>
              <w:rPr>
                <w:rFonts w:ascii="Times New Roman" w:hAnsi="Times New Roman" w:cs="Times New Roman"/>
                <w:b/>
                <w:sz w:val="20"/>
                <w:szCs w:val="20"/>
              </w:rPr>
            </w:pPr>
            <w:r w:rsidRPr="00074C05">
              <w:rPr>
                <w:rFonts w:ascii="Times New Roman" w:hAnsi="Times New Roman" w:cs="Times New Roman"/>
                <w:b/>
                <w:sz w:val="20"/>
                <w:szCs w:val="20"/>
              </w:rPr>
              <w:t>Corruption</w:t>
            </w:r>
          </w:p>
        </w:tc>
        <w:tc>
          <w:tcPr>
            <w:tcW w:w="2409"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Risk of corruption in country</w:t>
            </w:r>
          </w:p>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/sector</w:t>
            </w:r>
          </w:p>
        </w:tc>
        <w:tc>
          <w:tcPr>
            <w:tcW w:w="5211" w:type="dxa"/>
          </w:tcPr>
          <w:p w:rsidR="00074C05" w:rsidRPr="00074C05" w:rsidRDefault="00074C05" w:rsidP="005E7ED1">
            <w:pPr>
              <w:spacing w:line="276" w:lineRule="auto"/>
              <w:rPr>
                <w:rFonts w:ascii="Times New Roman" w:hAnsi="Times New Roman" w:cs="Times New Roman"/>
                <w:sz w:val="20"/>
                <w:szCs w:val="20"/>
              </w:rPr>
            </w:pPr>
            <w:r w:rsidRPr="00074C05">
              <w:rPr>
                <w:rFonts w:ascii="Times New Roman" w:hAnsi="Times New Roman" w:cs="Times New Roman"/>
                <w:sz w:val="20"/>
                <w:szCs w:val="20"/>
              </w:rPr>
              <w:t xml:space="preserve">As said, Kenya has been disturbed by corruption. </w:t>
            </w:r>
          </w:p>
        </w:tc>
      </w:tr>
    </w:tbl>
    <w:p w:rsidR="00074C05" w:rsidRPr="00074C05" w:rsidRDefault="00074C05" w:rsidP="00074C05">
      <w:pPr>
        <w:spacing w:line="360" w:lineRule="auto"/>
        <w:jc w:val="both"/>
        <w:rPr>
          <w:rStyle w:val="berschrift2Zchn"/>
          <w:rFonts w:ascii="Times New Roman" w:hAnsi="Times New Roman" w:cs="Times New Roman"/>
          <w:sz w:val="20"/>
          <w:szCs w:val="20"/>
        </w:rPr>
      </w:pPr>
    </w:p>
    <w:p w:rsidR="00074C05" w:rsidRPr="00074C05" w:rsidRDefault="00074C05" w:rsidP="00074C05">
      <w:pPr>
        <w:spacing w:line="360" w:lineRule="auto"/>
        <w:jc w:val="both"/>
        <w:rPr>
          <w:rStyle w:val="berschrift2Zchn"/>
          <w:rFonts w:ascii="Times New Roman" w:hAnsi="Times New Roman" w:cs="Times New Roman"/>
          <w:sz w:val="20"/>
          <w:szCs w:val="20"/>
        </w:rPr>
      </w:pPr>
      <w:r w:rsidRPr="00074C05">
        <w:rPr>
          <w:rStyle w:val="berschrift2Zchn"/>
          <w:rFonts w:ascii="Times New Roman" w:hAnsi="Times New Roman" w:cs="Times New Roman"/>
          <w:sz w:val="20"/>
          <w:szCs w:val="20"/>
        </w:rPr>
        <w:br w:type="page"/>
      </w:r>
    </w:p>
    <w:p w:rsidR="00074C05" w:rsidRPr="00074C05" w:rsidRDefault="00074C05" w:rsidP="00074C05">
      <w:pPr>
        <w:spacing w:line="360" w:lineRule="auto"/>
        <w:jc w:val="both"/>
        <w:rPr>
          <w:rFonts w:ascii="Times New Roman" w:hAnsi="Times New Roman" w:cs="Times New Roman"/>
          <w:b/>
          <w:sz w:val="20"/>
          <w:szCs w:val="20"/>
        </w:rPr>
      </w:pPr>
      <w:r w:rsidRPr="00074C05">
        <w:rPr>
          <w:rStyle w:val="berschrift2Zchn"/>
          <w:rFonts w:ascii="Times New Roman" w:hAnsi="Times New Roman" w:cs="Times New Roman"/>
          <w:color w:val="auto"/>
          <w:sz w:val="20"/>
          <w:szCs w:val="20"/>
        </w:rPr>
        <w:lastRenderedPageBreak/>
        <w:t>Impact Assessment</w:t>
      </w:r>
      <w:r w:rsidRPr="00074C05">
        <w:rPr>
          <w:rFonts w:ascii="Times New Roman" w:hAnsi="Times New Roman" w:cs="Times New Roman"/>
          <w:b/>
          <w:sz w:val="20"/>
          <w:szCs w:val="20"/>
        </w:rPr>
        <w:tab/>
      </w:r>
    </w:p>
    <w:p w:rsidR="001D396E" w:rsidRPr="00074C05" w:rsidRDefault="00074C05" w:rsidP="00074C05">
      <w:pPr>
        <w:spacing w:line="360" w:lineRule="auto"/>
        <w:jc w:val="both"/>
        <w:rPr>
          <w:rFonts w:ascii="Times New Roman" w:hAnsi="Times New Roman" w:cs="Times New Roman"/>
          <w:sz w:val="20"/>
          <w:szCs w:val="20"/>
        </w:rPr>
      </w:pPr>
      <w:r w:rsidRPr="00074C05">
        <w:rPr>
          <w:rFonts w:ascii="Times New Roman" w:hAnsi="Times New Roman" w:cs="Times New Roman"/>
          <w:sz w:val="20"/>
          <w:szCs w:val="20"/>
        </w:rPr>
        <w:t>An overview of the social impacts is displayed in Table 4. The performance assessment is listed in the PA column. The colours are assigned to the subcategories based on the inventory data (See Data Enclosure 2) and the rating scale (see Table 3). Subsequently it is distinguished if impacts on the impact categories (see Table 2) are rather high (+) or rather low (-), this is context dependent. Then the overall impact can be rated using th</w:t>
      </w:r>
      <w:r w:rsidR="001D396E">
        <w:rPr>
          <w:rFonts w:ascii="Times New Roman" w:hAnsi="Times New Roman" w:cs="Times New Roman"/>
          <w:sz w:val="20"/>
          <w:szCs w:val="20"/>
        </w:rPr>
        <w:t>e same rating scale (see Table 3</w:t>
      </w:r>
      <w:r w:rsidRPr="00074C05">
        <w:rPr>
          <w:rFonts w:ascii="Times New Roman" w:hAnsi="Times New Roman" w:cs="Times New Roman"/>
          <w:sz w:val="20"/>
          <w:szCs w:val="20"/>
        </w:rPr>
        <w:t xml:space="preserve">). Lastly, the averages can be calculated. </w:t>
      </w:r>
      <w:r w:rsidR="001D396E" w:rsidRPr="00C244CE">
        <w:rPr>
          <w:rFonts w:ascii="Times New Roman" w:hAnsi="Times New Roman" w:cs="Times New Roman"/>
          <w:sz w:val="20"/>
          <w:szCs w:val="20"/>
        </w:rPr>
        <w:t>The rules of Ciroth and Franze (2011) were adopted for calculating the average scores</w:t>
      </w:r>
      <w:r w:rsidR="001D396E" w:rsidRPr="00FD7DD1">
        <w:rPr>
          <w:rFonts w:ascii="Times New Roman" w:hAnsi="Times New Roman" w:cs="Times New Roman"/>
          <w:sz w:val="20"/>
          <w:szCs w:val="20"/>
        </w:rPr>
        <w:t>.</w:t>
      </w:r>
      <w:r w:rsidR="001D396E">
        <w:rPr>
          <w:rFonts w:ascii="Times New Roman" w:hAnsi="Times New Roman" w:cs="Times New Roman"/>
          <w:sz w:val="20"/>
          <w:szCs w:val="20"/>
        </w:rPr>
        <w:t xml:space="preserve"> </w:t>
      </w:r>
      <w:r w:rsidRPr="00074C05">
        <w:rPr>
          <w:rFonts w:ascii="Times New Roman" w:hAnsi="Times New Roman" w:cs="Times New Roman"/>
          <w:sz w:val="20"/>
          <w:szCs w:val="20"/>
        </w:rPr>
        <w:t xml:space="preserve">If at least one subcategory is assessed with a ‘6’, the amount cannot be higher than a ‘5’; if at least one subcategory is assessed with a ‘5’, the amount cannot be higher than a ‘4’. The resulting amount is the average of the calculated amounts of the stakeholder groups. </w:t>
      </w:r>
      <w:r w:rsidRPr="00074C05">
        <w:rPr>
          <w:rFonts w:ascii="Times New Roman" w:hAnsi="Times New Roman" w:cs="Times New Roman"/>
          <w:sz w:val="20"/>
          <w:szCs w:val="20"/>
        </w:rPr>
        <w:tab/>
      </w:r>
      <w:r w:rsidRPr="00074C05">
        <w:rPr>
          <w:rFonts w:ascii="Times New Roman" w:hAnsi="Times New Roman" w:cs="Times New Roman"/>
          <w:sz w:val="20"/>
          <w:szCs w:val="20"/>
        </w:rPr>
        <w:br/>
      </w:r>
    </w:p>
    <w:tbl>
      <w:tblPr>
        <w:tblStyle w:val="MittlereSchattierung1-Akzent1"/>
        <w:tblW w:w="0" w:type="auto"/>
        <w:tblInd w:w="108" w:type="dxa"/>
        <w:tblLook w:val="04A0" w:firstRow="1" w:lastRow="0" w:firstColumn="1" w:lastColumn="0" w:noHBand="0" w:noVBand="1"/>
      </w:tblPr>
      <w:tblGrid>
        <w:gridCol w:w="3085"/>
        <w:gridCol w:w="1559"/>
      </w:tblGrid>
      <w:tr w:rsidR="00074C05" w:rsidRPr="00074C05" w:rsidTr="00500D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074C05" w:rsidRPr="00074C05" w:rsidRDefault="00074C05" w:rsidP="00074C05">
            <w:pPr>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Midpoint impact category</w:t>
            </w:r>
          </w:p>
        </w:tc>
        <w:tc>
          <w:tcPr>
            <w:tcW w:w="1559" w:type="dxa"/>
          </w:tcPr>
          <w:p w:rsidR="00074C05" w:rsidRPr="00074C05" w:rsidRDefault="00074C05" w:rsidP="00074C0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Abbreviation</w:t>
            </w:r>
          </w:p>
        </w:tc>
      </w:tr>
      <w:tr w:rsidR="00074C05" w:rsidRPr="00074C05" w:rsidTr="0050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074C05" w:rsidRPr="00074C05" w:rsidRDefault="00074C05" w:rsidP="00074C05">
            <w:pPr>
              <w:spacing w:line="276" w:lineRule="auto"/>
              <w:jc w:val="both"/>
              <w:rPr>
                <w:rFonts w:ascii="Times New Roman" w:hAnsi="Times New Roman" w:cs="Times New Roman"/>
                <w:b w:val="0"/>
                <w:sz w:val="20"/>
                <w:szCs w:val="20"/>
              </w:rPr>
            </w:pPr>
            <w:r w:rsidRPr="00074C05">
              <w:rPr>
                <w:rFonts w:ascii="Times New Roman" w:hAnsi="Times New Roman" w:cs="Times New Roman"/>
                <w:b w:val="0"/>
                <w:sz w:val="20"/>
                <w:szCs w:val="20"/>
              </w:rPr>
              <w:t>Working conditions</w:t>
            </w:r>
          </w:p>
        </w:tc>
        <w:tc>
          <w:tcPr>
            <w:tcW w:w="1559" w:type="dxa"/>
          </w:tcPr>
          <w:p w:rsidR="00074C05" w:rsidRPr="00074C05" w:rsidRDefault="00074C05" w:rsidP="00074C0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WC</w:t>
            </w:r>
          </w:p>
        </w:tc>
      </w:tr>
      <w:tr w:rsidR="00074C05" w:rsidRPr="00074C05" w:rsidTr="00500D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074C05" w:rsidRPr="00074C05" w:rsidRDefault="00074C05" w:rsidP="00074C05">
            <w:pPr>
              <w:spacing w:line="276" w:lineRule="auto"/>
              <w:jc w:val="both"/>
              <w:rPr>
                <w:rFonts w:ascii="Times New Roman" w:hAnsi="Times New Roman" w:cs="Times New Roman"/>
                <w:b w:val="0"/>
                <w:sz w:val="20"/>
                <w:szCs w:val="20"/>
              </w:rPr>
            </w:pPr>
            <w:r w:rsidRPr="00074C05">
              <w:rPr>
                <w:rFonts w:ascii="Times New Roman" w:hAnsi="Times New Roman" w:cs="Times New Roman"/>
                <w:b w:val="0"/>
                <w:sz w:val="20"/>
                <w:szCs w:val="20"/>
              </w:rPr>
              <w:t>Health and Safety</w:t>
            </w:r>
          </w:p>
        </w:tc>
        <w:tc>
          <w:tcPr>
            <w:tcW w:w="1559" w:type="dxa"/>
          </w:tcPr>
          <w:p w:rsidR="00074C05" w:rsidRPr="00074C05" w:rsidRDefault="00074C05" w:rsidP="00074C05">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HS</w:t>
            </w:r>
          </w:p>
        </w:tc>
      </w:tr>
      <w:tr w:rsidR="00074C05" w:rsidRPr="00074C05" w:rsidTr="0050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074C05" w:rsidRPr="00074C05" w:rsidRDefault="00074C05" w:rsidP="00074C05">
            <w:pPr>
              <w:spacing w:line="276" w:lineRule="auto"/>
              <w:jc w:val="both"/>
              <w:rPr>
                <w:rFonts w:ascii="Times New Roman" w:hAnsi="Times New Roman" w:cs="Times New Roman"/>
                <w:b w:val="0"/>
                <w:sz w:val="20"/>
                <w:szCs w:val="20"/>
              </w:rPr>
            </w:pPr>
            <w:r w:rsidRPr="00074C05">
              <w:rPr>
                <w:rFonts w:ascii="Times New Roman" w:hAnsi="Times New Roman" w:cs="Times New Roman"/>
                <w:b w:val="0"/>
                <w:sz w:val="20"/>
                <w:szCs w:val="20"/>
              </w:rPr>
              <w:t>Human Rights</w:t>
            </w:r>
          </w:p>
        </w:tc>
        <w:tc>
          <w:tcPr>
            <w:tcW w:w="1559" w:type="dxa"/>
          </w:tcPr>
          <w:p w:rsidR="00074C05" w:rsidRPr="00074C05" w:rsidRDefault="00074C05" w:rsidP="00074C0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HR</w:t>
            </w:r>
          </w:p>
        </w:tc>
      </w:tr>
      <w:tr w:rsidR="00074C05" w:rsidRPr="00074C05" w:rsidTr="00500D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074C05" w:rsidRPr="00074C05" w:rsidRDefault="00074C05" w:rsidP="00074C05">
            <w:pPr>
              <w:spacing w:line="276" w:lineRule="auto"/>
              <w:jc w:val="both"/>
              <w:rPr>
                <w:rFonts w:ascii="Times New Roman" w:hAnsi="Times New Roman" w:cs="Times New Roman"/>
                <w:b w:val="0"/>
                <w:sz w:val="20"/>
                <w:szCs w:val="20"/>
              </w:rPr>
            </w:pPr>
            <w:r w:rsidRPr="00074C05">
              <w:rPr>
                <w:rFonts w:ascii="Times New Roman" w:hAnsi="Times New Roman" w:cs="Times New Roman"/>
                <w:b w:val="0"/>
                <w:sz w:val="20"/>
                <w:szCs w:val="20"/>
              </w:rPr>
              <w:t>Repercussions Socio-Economic</w:t>
            </w:r>
          </w:p>
        </w:tc>
        <w:tc>
          <w:tcPr>
            <w:tcW w:w="1559" w:type="dxa"/>
          </w:tcPr>
          <w:p w:rsidR="00074C05" w:rsidRPr="00074C05" w:rsidRDefault="00074C05" w:rsidP="00074C05">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SER</w:t>
            </w:r>
          </w:p>
        </w:tc>
      </w:tr>
      <w:tr w:rsidR="00074C05" w:rsidRPr="00074C05" w:rsidTr="0050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074C05" w:rsidRPr="00074C05" w:rsidRDefault="00074C05" w:rsidP="00074C05">
            <w:pPr>
              <w:spacing w:line="276" w:lineRule="auto"/>
              <w:jc w:val="both"/>
              <w:rPr>
                <w:rFonts w:ascii="Times New Roman" w:hAnsi="Times New Roman" w:cs="Times New Roman"/>
                <w:b w:val="0"/>
                <w:sz w:val="20"/>
                <w:szCs w:val="20"/>
              </w:rPr>
            </w:pPr>
            <w:r w:rsidRPr="00074C05">
              <w:rPr>
                <w:rFonts w:ascii="Times New Roman" w:hAnsi="Times New Roman" w:cs="Times New Roman"/>
                <w:b w:val="0"/>
                <w:sz w:val="20"/>
                <w:szCs w:val="20"/>
              </w:rPr>
              <w:t>Indigenous Rights/ Cultural Heritage</w:t>
            </w:r>
          </w:p>
        </w:tc>
        <w:tc>
          <w:tcPr>
            <w:tcW w:w="1559" w:type="dxa"/>
          </w:tcPr>
          <w:p w:rsidR="00074C05" w:rsidRPr="00074C05" w:rsidRDefault="00074C05" w:rsidP="00074C0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IR</w:t>
            </w:r>
          </w:p>
        </w:tc>
      </w:tr>
      <w:tr w:rsidR="00074C05" w:rsidRPr="00074C05" w:rsidTr="00500D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074C05" w:rsidRPr="00074C05" w:rsidRDefault="00074C05" w:rsidP="00074C05">
            <w:pPr>
              <w:spacing w:line="276" w:lineRule="auto"/>
              <w:jc w:val="both"/>
              <w:rPr>
                <w:rFonts w:ascii="Times New Roman" w:hAnsi="Times New Roman" w:cs="Times New Roman"/>
                <w:b w:val="0"/>
                <w:sz w:val="20"/>
                <w:szCs w:val="20"/>
              </w:rPr>
            </w:pPr>
            <w:r w:rsidRPr="00074C05">
              <w:rPr>
                <w:rFonts w:ascii="Times New Roman" w:hAnsi="Times New Roman" w:cs="Times New Roman"/>
                <w:b w:val="0"/>
                <w:sz w:val="20"/>
                <w:szCs w:val="20"/>
              </w:rPr>
              <w:t>Governance</w:t>
            </w:r>
          </w:p>
        </w:tc>
        <w:tc>
          <w:tcPr>
            <w:tcW w:w="1559" w:type="dxa"/>
          </w:tcPr>
          <w:p w:rsidR="00074C05" w:rsidRPr="00074C05" w:rsidRDefault="00074C05" w:rsidP="00074C05">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G</w:t>
            </w:r>
          </w:p>
        </w:tc>
      </w:tr>
    </w:tbl>
    <w:p w:rsidR="00074C05" w:rsidRPr="001D396E" w:rsidRDefault="00074C05" w:rsidP="00074C05">
      <w:pPr>
        <w:spacing w:line="360" w:lineRule="auto"/>
        <w:jc w:val="both"/>
        <w:rPr>
          <w:rFonts w:ascii="Times New Roman" w:hAnsi="Times New Roman" w:cs="Times New Roman"/>
          <w:b/>
          <w:sz w:val="16"/>
          <w:szCs w:val="16"/>
        </w:rPr>
      </w:pPr>
      <w:r w:rsidRPr="001D396E">
        <w:rPr>
          <w:rFonts w:ascii="Times New Roman" w:hAnsi="Times New Roman" w:cs="Times New Roman"/>
          <w:b/>
          <w:sz w:val="16"/>
          <w:szCs w:val="16"/>
        </w:rPr>
        <w:t>Table 2 - Social impact categories (UNEP/SETAC, 2009)</w:t>
      </w:r>
      <w:r w:rsidRPr="001D396E">
        <w:rPr>
          <w:rStyle w:val="Funotenzeichen"/>
          <w:rFonts w:ascii="Times New Roman" w:hAnsi="Times New Roman" w:cs="Times New Roman"/>
          <w:b/>
          <w:sz w:val="16"/>
          <w:szCs w:val="16"/>
        </w:rPr>
        <w:footnoteReference w:id="37"/>
      </w:r>
      <w:r w:rsidRPr="001D396E">
        <w:rPr>
          <w:rFonts w:ascii="Times New Roman" w:hAnsi="Times New Roman" w:cs="Times New Roman"/>
          <w:b/>
          <w:sz w:val="16"/>
          <w:szCs w:val="16"/>
        </w:rPr>
        <w:tab/>
      </w:r>
      <w:r w:rsidRPr="001D396E">
        <w:rPr>
          <w:rFonts w:ascii="Times New Roman" w:hAnsi="Times New Roman" w:cs="Times New Roman"/>
          <w:b/>
          <w:sz w:val="16"/>
          <w:szCs w:val="16"/>
        </w:rPr>
        <w:br/>
      </w:r>
    </w:p>
    <w:tbl>
      <w:tblPr>
        <w:tblStyle w:val="HelleListe-Akzent1"/>
        <w:tblW w:w="6966" w:type="dxa"/>
        <w:tblInd w:w="108" w:type="dxa"/>
        <w:tblLook w:val="04A0" w:firstRow="1" w:lastRow="0" w:firstColumn="1" w:lastColumn="0" w:noHBand="0" w:noVBand="1"/>
      </w:tblPr>
      <w:tblGrid>
        <w:gridCol w:w="2802"/>
        <w:gridCol w:w="2409"/>
        <w:gridCol w:w="1755"/>
      </w:tblGrid>
      <w:tr w:rsidR="00074C05" w:rsidRPr="00074C05" w:rsidTr="00500D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bottom w:val="single" w:sz="4" w:space="0" w:color="0070C0"/>
            </w:tcBorders>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bCs w:val="0"/>
                <w:sz w:val="20"/>
                <w:szCs w:val="20"/>
              </w:rPr>
              <w:t xml:space="preserve">Performance Assessment (PA) </w:t>
            </w:r>
          </w:p>
        </w:tc>
        <w:tc>
          <w:tcPr>
            <w:tcW w:w="2409" w:type="dxa"/>
            <w:tcBorders>
              <w:bottom w:val="single" w:sz="4" w:space="0" w:color="0070C0"/>
            </w:tcBorders>
          </w:tcPr>
          <w:p w:rsidR="00074C05" w:rsidRPr="00074C05" w:rsidRDefault="00074C05" w:rsidP="00074C05">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bCs w:val="0"/>
                <w:sz w:val="20"/>
                <w:szCs w:val="20"/>
              </w:rPr>
              <w:t xml:space="preserve">Impact Assessment (IA) </w:t>
            </w:r>
          </w:p>
        </w:tc>
        <w:tc>
          <w:tcPr>
            <w:tcW w:w="1755" w:type="dxa"/>
            <w:tcBorders>
              <w:bottom w:val="single" w:sz="4" w:space="0" w:color="0070C0"/>
            </w:tcBorders>
          </w:tcPr>
          <w:p w:rsidR="00074C05" w:rsidRPr="00074C05" w:rsidRDefault="00074C05" w:rsidP="00074C0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Colour/factor</w:t>
            </w:r>
          </w:p>
        </w:tc>
      </w:tr>
      <w:tr w:rsidR="00074C05" w:rsidRPr="00074C05" w:rsidTr="0050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rPr>
                <w:rFonts w:ascii="Times New Roman" w:hAnsi="Times New Roman" w:cs="Times New Roman"/>
                <w:b w:val="0"/>
                <w:color w:val="000000"/>
                <w:sz w:val="20"/>
                <w:szCs w:val="20"/>
              </w:rPr>
            </w:pPr>
            <w:r w:rsidRPr="00074C05">
              <w:rPr>
                <w:rFonts w:ascii="Times New Roman" w:hAnsi="Times New Roman" w:cs="Times New Roman"/>
                <w:b w:val="0"/>
                <w:color w:val="000000"/>
                <w:sz w:val="20"/>
                <w:szCs w:val="20"/>
              </w:rPr>
              <w:t xml:space="preserve">Very good performance </w:t>
            </w:r>
          </w:p>
        </w:tc>
        <w:tc>
          <w:tcPr>
            <w:tcW w:w="2409"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74C05">
              <w:rPr>
                <w:rFonts w:ascii="Times New Roman" w:hAnsi="Times New Roman" w:cs="Times New Roman"/>
                <w:color w:val="000000"/>
                <w:sz w:val="20"/>
                <w:szCs w:val="20"/>
              </w:rPr>
              <w:t xml:space="preserve">Positive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00B050"/>
          </w:tcPr>
          <w:p w:rsidR="00074C05" w:rsidRPr="00074C05" w:rsidRDefault="00074C05" w:rsidP="00074C0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1</w:t>
            </w:r>
          </w:p>
        </w:tc>
      </w:tr>
      <w:tr w:rsidR="00074C05" w:rsidRPr="00074C05" w:rsidTr="00500D0D">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rPr>
                <w:rFonts w:ascii="Times New Roman" w:hAnsi="Times New Roman" w:cs="Times New Roman"/>
                <w:b w:val="0"/>
                <w:color w:val="000000"/>
                <w:sz w:val="20"/>
                <w:szCs w:val="20"/>
              </w:rPr>
            </w:pPr>
            <w:r w:rsidRPr="00074C05">
              <w:rPr>
                <w:rFonts w:ascii="Times New Roman" w:hAnsi="Times New Roman" w:cs="Times New Roman"/>
                <w:b w:val="0"/>
                <w:color w:val="000000"/>
                <w:sz w:val="20"/>
                <w:szCs w:val="20"/>
              </w:rPr>
              <w:t xml:space="preserve">Good performance </w:t>
            </w:r>
          </w:p>
        </w:tc>
        <w:tc>
          <w:tcPr>
            <w:tcW w:w="2409"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74C05">
              <w:rPr>
                <w:rFonts w:ascii="Times New Roman" w:hAnsi="Times New Roman" w:cs="Times New Roman"/>
                <w:color w:val="000000"/>
                <w:sz w:val="20"/>
                <w:szCs w:val="20"/>
              </w:rPr>
              <w:t xml:space="preserve">Lightly positive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92D050"/>
          </w:tcPr>
          <w:p w:rsidR="00074C05" w:rsidRPr="00074C05" w:rsidRDefault="00074C05" w:rsidP="00074C0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2</w:t>
            </w:r>
          </w:p>
        </w:tc>
      </w:tr>
      <w:tr w:rsidR="00074C05" w:rsidRPr="00074C05" w:rsidTr="0050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rPr>
                <w:rFonts w:ascii="Times New Roman" w:hAnsi="Times New Roman" w:cs="Times New Roman"/>
                <w:b w:val="0"/>
                <w:color w:val="000000"/>
                <w:sz w:val="20"/>
                <w:szCs w:val="20"/>
              </w:rPr>
            </w:pPr>
            <w:r w:rsidRPr="00074C05">
              <w:rPr>
                <w:rFonts w:ascii="Times New Roman" w:hAnsi="Times New Roman" w:cs="Times New Roman"/>
                <w:b w:val="0"/>
                <w:color w:val="000000"/>
                <w:sz w:val="20"/>
                <w:szCs w:val="20"/>
              </w:rPr>
              <w:t xml:space="preserve">Satisfactory performance </w:t>
            </w:r>
          </w:p>
        </w:tc>
        <w:tc>
          <w:tcPr>
            <w:tcW w:w="2409"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74C05">
              <w:rPr>
                <w:rFonts w:ascii="Times New Roman" w:hAnsi="Times New Roman" w:cs="Times New Roman"/>
                <w:color w:val="000000"/>
                <w:sz w:val="20"/>
                <w:szCs w:val="20"/>
              </w:rPr>
              <w:t xml:space="preserve">Indifferent effect </w:t>
            </w:r>
          </w:p>
        </w:tc>
        <w:tc>
          <w:tcPr>
            <w:tcW w:w="1755" w:type="dxa"/>
            <w:tcBorders>
              <w:top w:val="single" w:sz="4" w:space="0" w:color="0070C0"/>
              <w:left w:val="single" w:sz="4" w:space="0" w:color="0070C0"/>
              <w:bottom w:val="single" w:sz="4" w:space="0" w:color="0070C0"/>
              <w:right w:val="single" w:sz="4" w:space="0" w:color="0070C0"/>
            </w:tcBorders>
            <w:shd w:val="clear" w:color="auto" w:fill="DBE5F1" w:themeFill="accent1" w:themeFillTint="33"/>
          </w:tcPr>
          <w:p w:rsidR="00074C05" w:rsidRPr="00074C05" w:rsidRDefault="00074C05" w:rsidP="00074C0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3</w:t>
            </w:r>
          </w:p>
        </w:tc>
      </w:tr>
      <w:tr w:rsidR="00074C05" w:rsidRPr="00074C05" w:rsidTr="00500D0D">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rPr>
                <w:rFonts w:ascii="Times New Roman" w:hAnsi="Times New Roman" w:cs="Times New Roman"/>
                <w:b w:val="0"/>
                <w:color w:val="000000"/>
                <w:sz w:val="20"/>
                <w:szCs w:val="20"/>
              </w:rPr>
            </w:pPr>
            <w:r w:rsidRPr="00074C05">
              <w:rPr>
                <w:rFonts w:ascii="Times New Roman" w:hAnsi="Times New Roman" w:cs="Times New Roman"/>
                <w:b w:val="0"/>
                <w:color w:val="000000"/>
                <w:sz w:val="20"/>
                <w:szCs w:val="20"/>
              </w:rPr>
              <w:t xml:space="preserve">Inadequate performance </w:t>
            </w:r>
          </w:p>
        </w:tc>
        <w:tc>
          <w:tcPr>
            <w:tcW w:w="2409"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74C05">
              <w:rPr>
                <w:rFonts w:ascii="Times New Roman" w:hAnsi="Times New Roman" w:cs="Times New Roman"/>
                <w:color w:val="000000"/>
                <w:sz w:val="20"/>
                <w:szCs w:val="20"/>
              </w:rPr>
              <w:t xml:space="preserve">Lightly negative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FFFF00"/>
          </w:tcPr>
          <w:p w:rsidR="00074C05" w:rsidRPr="00074C05" w:rsidRDefault="00074C05" w:rsidP="00074C0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4</w:t>
            </w:r>
          </w:p>
        </w:tc>
      </w:tr>
      <w:tr w:rsidR="00074C05" w:rsidRPr="00074C05" w:rsidTr="00500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rPr>
                <w:rFonts w:ascii="Times New Roman" w:hAnsi="Times New Roman" w:cs="Times New Roman"/>
                <w:b w:val="0"/>
                <w:color w:val="000000"/>
                <w:sz w:val="20"/>
                <w:szCs w:val="20"/>
              </w:rPr>
            </w:pPr>
            <w:r w:rsidRPr="00074C05">
              <w:rPr>
                <w:rFonts w:ascii="Times New Roman" w:hAnsi="Times New Roman" w:cs="Times New Roman"/>
                <w:b w:val="0"/>
                <w:color w:val="000000"/>
                <w:sz w:val="20"/>
                <w:szCs w:val="20"/>
              </w:rPr>
              <w:t xml:space="preserve">Poor performance </w:t>
            </w:r>
          </w:p>
        </w:tc>
        <w:tc>
          <w:tcPr>
            <w:tcW w:w="2409"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74C05">
              <w:rPr>
                <w:rFonts w:ascii="Times New Roman" w:hAnsi="Times New Roman" w:cs="Times New Roman"/>
                <w:color w:val="000000"/>
                <w:sz w:val="20"/>
                <w:szCs w:val="20"/>
              </w:rPr>
              <w:t xml:space="preserve">Negative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E36C0A" w:themeFill="accent6" w:themeFillShade="BF"/>
          </w:tcPr>
          <w:p w:rsidR="00074C05" w:rsidRPr="00074C05" w:rsidRDefault="00074C05" w:rsidP="00074C0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5</w:t>
            </w:r>
          </w:p>
        </w:tc>
      </w:tr>
      <w:tr w:rsidR="00074C05" w:rsidRPr="00074C05" w:rsidTr="00500D0D">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rPr>
                <w:rFonts w:ascii="Times New Roman" w:hAnsi="Times New Roman" w:cs="Times New Roman"/>
                <w:b w:val="0"/>
                <w:color w:val="000000"/>
                <w:sz w:val="20"/>
                <w:szCs w:val="20"/>
              </w:rPr>
            </w:pPr>
            <w:r w:rsidRPr="00074C05">
              <w:rPr>
                <w:rFonts w:ascii="Times New Roman" w:hAnsi="Times New Roman" w:cs="Times New Roman"/>
                <w:b w:val="0"/>
                <w:color w:val="000000"/>
                <w:sz w:val="20"/>
                <w:szCs w:val="20"/>
              </w:rPr>
              <w:t xml:space="preserve">Very poor performance </w:t>
            </w:r>
          </w:p>
        </w:tc>
        <w:tc>
          <w:tcPr>
            <w:tcW w:w="2409" w:type="dxa"/>
            <w:tcBorders>
              <w:top w:val="single" w:sz="4" w:space="0" w:color="0070C0"/>
              <w:left w:val="single" w:sz="4" w:space="0" w:color="0070C0"/>
              <w:bottom w:val="single" w:sz="4" w:space="0" w:color="0070C0"/>
              <w:right w:val="single" w:sz="4" w:space="0" w:color="0070C0"/>
            </w:tcBorders>
          </w:tcPr>
          <w:p w:rsidR="00074C05" w:rsidRPr="00074C05" w:rsidRDefault="00074C05" w:rsidP="00074C0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74C05">
              <w:rPr>
                <w:rFonts w:ascii="Times New Roman" w:hAnsi="Times New Roman" w:cs="Times New Roman"/>
                <w:color w:val="000000"/>
                <w:sz w:val="20"/>
                <w:szCs w:val="20"/>
              </w:rPr>
              <w:t xml:space="preserve">Very negative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FF0000"/>
          </w:tcPr>
          <w:p w:rsidR="00074C05" w:rsidRPr="00074C05" w:rsidRDefault="00074C05" w:rsidP="00074C0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4C05">
              <w:rPr>
                <w:rFonts w:ascii="Times New Roman" w:hAnsi="Times New Roman" w:cs="Times New Roman"/>
                <w:sz w:val="20"/>
                <w:szCs w:val="20"/>
              </w:rPr>
              <w:t>6</w:t>
            </w:r>
          </w:p>
        </w:tc>
      </w:tr>
    </w:tbl>
    <w:p w:rsidR="00074C05" w:rsidRPr="001D396E" w:rsidRDefault="00074C05" w:rsidP="00074C05">
      <w:pPr>
        <w:pStyle w:val="KeinLeerraum"/>
        <w:spacing w:line="360" w:lineRule="auto"/>
        <w:jc w:val="both"/>
        <w:rPr>
          <w:rFonts w:ascii="Times New Roman" w:hAnsi="Times New Roman" w:cs="Times New Roman"/>
          <w:sz w:val="16"/>
          <w:szCs w:val="16"/>
        </w:rPr>
      </w:pPr>
      <w:r w:rsidRPr="001D396E">
        <w:rPr>
          <w:rFonts w:ascii="Times New Roman" w:hAnsi="Times New Roman" w:cs="Times New Roman"/>
          <w:b/>
          <w:bCs/>
          <w:sz w:val="16"/>
          <w:szCs w:val="16"/>
        </w:rPr>
        <w:t>Table 3- Rating scale of social impacts according to Ciroth &amp; Franze (2011)</w:t>
      </w:r>
      <w:r w:rsidRPr="001D396E">
        <w:rPr>
          <w:rFonts w:ascii="Times New Roman" w:hAnsi="Times New Roman" w:cs="Times New Roman"/>
          <w:b/>
          <w:bCs/>
          <w:sz w:val="16"/>
          <w:szCs w:val="16"/>
        </w:rPr>
        <w:tab/>
      </w:r>
      <w:r w:rsidRPr="001D396E">
        <w:rPr>
          <w:rFonts w:ascii="Times New Roman" w:hAnsi="Times New Roman" w:cs="Times New Roman"/>
          <w:b/>
          <w:sz w:val="16"/>
          <w:szCs w:val="16"/>
        </w:rPr>
        <w:br/>
      </w:r>
      <w:r w:rsidRPr="001D396E">
        <w:rPr>
          <w:rFonts w:ascii="Times New Roman" w:hAnsi="Times New Roman" w:cs="Times New Roman"/>
          <w:sz w:val="16"/>
          <w:szCs w:val="16"/>
        </w:rPr>
        <w:br/>
      </w:r>
      <w:r w:rsidRPr="001D396E">
        <w:rPr>
          <w:rFonts w:ascii="Times New Roman" w:hAnsi="Times New Roman" w:cs="Times New Roman"/>
          <w:sz w:val="16"/>
          <w:szCs w:val="16"/>
        </w:rPr>
        <w:br/>
      </w:r>
    </w:p>
    <w:p w:rsidR="00074C05" w:rsidRPr="00074C05" w:rsidRDefault="00074C05" w:rsidP="00074C05">
      <w:pPr>
        <w:spacing w:line="360" w:lineRule="auto"/>
        <w:jc w:val="both"/>
        <w:rPr>
          <w:rFonts w:ascii="Times New Roman" w:hAnsi="Times New Roman" w:cs="Times New Roman"/>
          <w:sz w:val="20"/>
          <w:szCs w:val="20"/>
        </w:rPr>
      </w:pPr>
      <w:r w:rsidRPr="00074C05">
        <w:rPr>
          <w:rFonts w:ascii="Times New Roman" w:hAnsi="Times New Roman" w:cs="Times New Roman"/>
          <w:sz w:val="20"/>
          <w:szCs w:val="20"/>
        </w:rPr>
        <w:br w:type="page"/>
      </w:r>
    </w:p>
    <w:p w:rsidR="00074C05" w:rsidRPr="00074C05" w:rsidRDefault="00074C05" w:rsidP="00074C05">
      <w:pPr>
        <w:pStyle w:val="KeinLeerraum"/>
        <w:spacing w:line="360" w:lineRule="auto"/>
        <w:jc w:val="both"/>
        <w:rPr>
          <w:rFonts w:ascii="Times New Roman" w:hAnsi="Times New Roman" w:cs="Times New Roman"/>
          <w:sz w:val="20"/>
          <w:szCs w:val="20"/>
        </w:rPr>
      </w:pPr>
    </w:p>
    <w:tbl>
      <w:tblPr>
        <w:tblStyle w:val="Tabellenraster"/>
        <w:tblW w:w="9075" w:type="dxa"/>
        <w:tblInd w:w="108" w:type="dxa"/>
        <w:tblLayout w:type="fixed"/>
        <w:tblLook w:val="04A0" w:firstRow="1" w:lastRow="0" w:firstColumn="1" w:lastColumn="0" w:noHBand="0" w:noVBand="1"/>
      </w:tblPr>
      <w:tblGrid>
        <w:gridCol w:w="1528"/>
        <w:gridCol w:w="2189"/>
        <w:gridCol w:w="669"/>
        <w:gridCol w:w="670"/>
        <w:gridCol w:w="670"/>
        <w:gridCol w:w="656"/>
        <w:gridCol w:w="683"/>
        <w:gridCol w:w="670"/>
        <w:gridCol w:w="670"/>
        <w:gridCol w:w="670"/>
      </w:tblGrid>
      <w:tr w:rsidR="00074C05" w:rsidRPr="00074C05" w:rsidTr="00500D0D">
        <w:tc>
          <w:tcPr>
            <w:tcW w:w="1528"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t>Stakeholder groups</w:t>
            </w:r>
          </w:p>
        </w:tc>
        <w:tc>
          <w:tcPr>
            <w:tcW w:w="2189"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sz w:val="20"/>
                <w:szCs w:val="20"/>
              </w:rPr>
            </w:pPr>
            <w:r w:rsidRPr="00074C05">
              <w:rPr>
                <w:rFonts w:ascii="Times New Roman" w:hAnsi="Times New Roman" w:cs="Times New Roman"/>
                <w:b/>
                <w:sz w:val="20"/>
                <w:szCs w:val="20"/>
              </w:rPr>
              <w:t>Subcategories</w:t>
            </w:r>
          </w:p>
        </w:tc>
        <w:tc>
          <w:tcPr>
            <w:tcW w:w="669"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t>PA</w:t>
            </w:r>
          </w:p>
        </w:tc>
        <w:tc>
          <w:tcPr>
            <w:tcW w:w="670"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i/>
                <w:sz w:val="20"/>
                <w:szCs w:val="20"/>
              </w:rPr>
            </w:pPr>
            <w:r w:rsidRPr="00074C05">
              <w:rPr>
                <w:rFonts w:ascii="Times New Roman" w:hAnsi="Times New Roman" w:cs="Times New Roman"/>
                <w:i/>
                <w:sz w:val="20"/>
                <w:szCs w:val="20"/>
              </w:rPr>
              <w:t>WC</w:t>
            </w:r>
          </w:p>
        </w:tc>
        <w:tc>
          <w:tcPr>
            <w:tcW w:w="670"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i/>
                <w:sz w:val="20"/>
                <w:szCs w:val="20"/>
              </w:rPr>
            </w:pPr>
            <w:r w:rsidRPr="00074C05">
              <w:rPr>
                <w:rFonts w:ascii="Times New Roman" w:hAnsi="Times New Roman" w:cs="Times New Roman"/>
                <w:i/>
                <w:sz w:val="20"/>
                <w:szCs w:val="20"/>
              </w:rPr>
              <w:t>HS</w:t>
            </w:r>
          </w:p>
        </w:tc>
        <w:tc>
          <w:tcPr>
            <w:tcW w:w="656"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i/>
                <w:sz w:val="20"/>
                <w:szCs w:val="20"/>
              </w:rPr>
            </w:pPr>
            <w:r w:rsidRPr="00074C05">
              <w:rPr>
                <w:rFonts w:ascii="Times New Roman" w:hAnsi="Times New Roman" w:cs="Times New Roman"/>
                <w:i/>
                <w:sz w:val="20"/>
                <w:szCs w:val="20"/>
              </w:rPr>
              <w:t>HR</w:t>
            </w:r>
          </w:p>
        </w:tc>
        <w:tc>
          <w:tcPr>
            <w:tcW w:w="683"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i/>
                <w:sz w:val="20"/>
                <w:szCs w:val="20"/>
              </w:rPr>
            </w:pPr>
            <w:r w:rsidRPr="00074C05">
              <w:rPr>
                <w:rFonts w:ascii="Times New Roman" w:hAnsi="Times New Roman" w:cs="Times New Roman"/>
                <w:i/>
                <w:sz w:val="20"/>
                <w:szCs w:val="20"/>
              </w:rPr>
              <w:t>SER</w:t>
            </w:r>
          </w:p>
        </w:tc>
        <w:tc>
          <w:tcPr>
            <w:tcW w:w="670"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i/>
                <w:sz w:val="20"/>
                <w:szCs w:val="20"/>
              </w:rPr>
            </w:pPr>
            <w:r w:rsidRPr="00074C05">
              <w:rPr>
                <w:rFonts w:ascii="Times New Roman" w:hAnsi="Times New Roman" w:cs="Times New Roman"/>
                <w:i/>
                <w:sz w:val="20"/>
                <w:szCs w:val="20"/>
              </w:rPr>
              <w:t>IR</w:t>
            </w:r>
          </w:p>
        </w:tc>
        <w:tc>
          <w:tcPr>
            <w:tcW w:w="670"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i/>
                <w:sz w:val="20"/>
                <w:szCs w:val="20"/>
              </w:rPr>
            </w:pPr>
            <w:r w:rsidRPr="00074C05">
              <w:rPr>
                <w:rFonts w:ascii="Times New Roman" w:hAnsi="Times New Roman" w:cs="Times New Roman"/>
                <w:i/>
                <w:sz w:val="20"/>
                <w:szCs w:val="20"/>
              </w:rPr>
              <w:t>G</w:t>
            </w:r>
          </w:p>
        </w:tc>
        <w:tc>
          <w:tcPr>
            <w:tcW w:w="670" w:type="dxa"/>
            <w:tcBorders>
              <w:top w:val="single" w:sz="4" w:space="0" w:color="auto"/>
              <w:left w:val="single" w:sz="4" w:space="0" w:color="auto"/>
              <w:bottom w:val="single" w:sz="4" w:space="0" w:color="auto"/>
              <w:right w:val="single" w:sz="4" w:space="0" w:color="auto"/>
            </w:tcBorders>
            <w:shd w:val="clear" w:color="auto" w:fill="auto"/>
            <w:hideMark/>
          </w:tcPr>
          <w:p w:rsidR="00074C05" w:rsidRPr="00074C05" w:rsidRDefault="00074C05" w:rsidP="00074C05">
            <w:pPr>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t>IA</w:t>
            </w:r>
          </w:p>
        </w:tc>
      </w:tr>
      <w:tr w:rsidR="00074C05" w:rsidRPr="00074C05" w:rsidTr="00500D0D">
        <w:trPr>
          <w:trHeight w:val="42"/>
        </w:trPr>
        <w:tc>
          <w:tcPr>
            <w:tcW w:w="1528" w:type="dxa"/>
            <w:vMerge w:val="restart"/>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Workers</w:t>
            </w:r>
          </w:p>
        </w:tc>
        <w:tc>
          <w:tcPr>
            <w:tcW w:w="2189"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Freedom of association and collective bargaining</w:t>
            </w:r>
          </w:p>
        </w:tc>
        <w:tc>
          <w:tcPr>
            <w:tcW w:w="669" w:type="dxa"/>
            <w:tcBorders>
              <w:top w:val="single" w:sz="4" w:space="0" w:color="auto"/>
              <w:left w:val="single" w:sz="4" w:space="0" w:color="auto"/>
              <w:bottom w:val="single" w:sz="4" w:space="0" w:color="auto"/>
              <w:right w:val="single" w:sz="4" w:space="0" w:color="auto"/>
            </w:tcBorders>
            <w:shd w:val="clear" w:color="auto" w:fill="92D050"/>
            <w:hideMark/>
          </w:tcPr>
          <w:p w:rsidR="00074C05" w:rsidRPr="00074C05" w:rsidRDefault="00074C05" w:rsidP="006A096D">
            <w:pPr>
              <w:autoSpaceDE w:val="0"/>
              <w:autoSpaceDN w:val="0"/>
              <w:adjustRightInd w:val="0"/>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2</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00B050"/>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1</w:t>
            </w:r>
          </w:p>
        </w:tc>
      </w:tr>
      <w:tr w:rsidR="00074C05"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074C05" w:rsidRPr="00074C05" w:rsidRDefault="00074C05"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Child labour</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67507A" w:rsidRPr="00074C05" w:rsidTr="0067507A">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Fair Salary</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7507A" w:rsidRPr="00074C05" w:rsidRDefault="0067507A" w:rsidP="00026A24">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074C05"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074C05" w:rsidRPr="00074C05" w:rsidRDefault="00074C05"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Working hours</w:t>
            </w:r>
          </w:p>
        </w:tc>
        <w:tc>
          <w:tcPr>
            <w:tcW w:w="669" w:type="dxa"/>
            <w:tcBorders>
              <w:top w:val="single" w:sz="4" w:space="0" w:color="auto"/>
              <w:left w:val="single" w:sz="4" w:space="0" w:color="auto"/>
              <w:bottom w:val="single" w:sz="4" w:space="0" w:color="auto"/>
              <w:right w:val="single" w:sz="4" w:space="0" w:color="auto"/>
            </w:tcBorders>
            <w:shd w:val="clear" w:color="auto" w:fill="92D050"/>
            <w:hideMark/>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2</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00B050"/>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1</w:t>
            </w:r>
          </w:p>
        </w:tc>
      </w:tr>
      <w:tr w:rsidR="00074C05"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074C05" w:rsidRPr="00074C05" w:rsidRDefault="00074C05"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Forced labour</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074C05"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074C05" w:rsidRPr="00074C05" w:rsidRDefault="00074C05"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074C05" w:rsidRPr="00074C05" w:rsidRDefault="00074C05"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Discrimination</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tcPr>
          <w:p w:rsidR="00074C05" w:rsidRPr="00074C05" w:rsidRDefault="00074C05"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r>
      <w:tr w:rsidR="0067507A" w:rsidRPr="00074C05" w:rsidTr="0067507A">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Health and safety</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7507A" w:rsidRPr="00074C05" w:rsidRDefault="0067507A" w:rsidP="00026A24">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Social benefits</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67507A" w:rsidRPr="00074C05" w:rsidTr="00500D0D">
        <w:trPr>
          <w:trHeight w:val="37"/>
        </w:trPr>
        <w:tc>
          <w:tcPr>
            <w:tcW w:w="1528" w:type="dxa"/>
            <w:tcBorders>
              <w:top w:val="single" w:sz="4" w:space="0" w:color="auto"/>
              <w:left w:val="single" w:sz="4" w:space="0" w:color="auto"/>
              <w:bottom w:val="single" w:sz="4" w:space="0" w:color="auto"/>
              <w:right w:val="single" w:sz="4" w:space="0" w:color="auto"/>
            </w:tcBorders>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t>Amount</w:t>
            </w:r>
          </w:p>
        </w:tc>
        <w:tc>
          <w:tcPr>
            <w:tcW w:w="669" w:type="dxa"/>
            <w:tcBorders>
              <w:top w:val="single" w:sz="4" w:space="0" w:color="auto"/>
              <w:left w:val="single" w:sz="4" w:space="0" w:color="auto"/>
              <w:bottom w:val="single" w:sz="4" w:space="0" w:color="auto"/>
              <w:right w:val="single" w:sz="4" w:space="0" w:color="auto"/>
            </w:tcBorders>
            <w:shd w:val="clear" w:color="auto" w:fill="auto"/>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670" w:type="dxa"/>
            <w:tcBorders>
              <w:top w:val="single" w:sz="4" w:space="0" w:color="auto"/>
              <w:left w:val="single" w:sz="4" w:space="0" w:color="auto"/>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56" w:type="dxa"/>
            <w:tcBorders>
              <w:top w:val="single" w:sz="4" w:space="0" w:color="auto"/>
              <w:left w:val="nil"/>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83" w:type="dxa"/>
            <w:tcBorders>
              <w:top w:val="single" w:sz="4" w:space="0" w:color="auto"/>
              <w:left w:val="nil"/>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67507A" w:rsidRPr="00074C05" w:rsidRDefault="00ED004F"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r w:rsidR="0067507A">
              <w:rPr>
                <w:rFonts w:ascii="Times New Roman" w:hAnsi="Times New Roman" w:cs="Times New Roman"/>
                <w:sz w:val="20"/>
                <w:szCs w:val="20"/>
              </w:rPr>
              <w:t>6</w:t>
            </w:r>
          </w:p>
        </w:tc>
      </w:tr>
      <w:tr w:rsidR="0067507A" w:rsidRPr="00074C05" w:rsidTr="00500D0D">
        <w:tc>
          <w:tcPr>
            <w:tcW w:w="1528" w:type="dxa"/>
            <w:hideMark/>
          </w:tcPr>
          <w:p w:rsidR="0067507A" w:rsidRPr="00074C05" w:rsidRDefault="0067507A" w:rsidP="00074C05">
            <w:pPr>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t>Stakeholder groups</w:t>
            </w:r>
          </w:p>
        </w:tc>
        <w:tc>
          <w:tcPr>
            <w:tcW w:w="2189" w:type="dxa"/>
            <w:hideMark/>
          </w:tcPr>
          <w:p w:rsidR="0067507A" w:rsidRPr="00074C05" w:rsidRDefault="0067507A" w:rsidP="00074C05">
            <w:pPr>
              <w:spacing w:line="276" w:lineRule="auto"/>
              <w:jc w:val="both"/>
              <w:rPr>
                <w:rFonts w:ascii="Times New Roman" w:hAnsi="Times New Roman" w:cs="Times New Roman"/>
                <w:sz w:val="20"/>
                <w:szCs w:val="20"/>
              </w:rPr>
            </w:pPr>
            <w:r w:rsidRPr="00074C05">
              <w:rPr>
                <w:rFonts w:ascii="Times New Roman" w:hAnsi="Times New Roman" w:cs="Times New Roman"/>
                <w:b/>
                <w:sz w:val="20"/>
                <w:szCs w:val="20"/>
              </w:rPr>
              <w:t>Subcategories</w:t>
            </w:r>
          </w:p>
        </w:tc>
        <w:tc>
          <w:tcPr>
            <w:tcW w:w="669" w:type="dxa"/>
            <w:shd w:val="clear" w:color="auto" w:fill="auto"/>
            <w:hideMark/>
          </w:tcPr>
          <w:p w:rsidR="0067507A" w:rsidRPr="00074C05" w:rsidRDefault="0067507A" w:rsidP="006A096D">
            <w:pPr>
              <w:spacing w:line="276" w:lineRule="auto"/>
              <w:jc w:val="center"/>
              <w:rPr>
                <w:rFonts w:ascii="Times New Roman" w:hAnsi="Times New Roman" w:cs="Times New Roman"/>
                <w:b/>
                <w:sz w:val="20"/>
                <w:szCs w:val="20"/>
              </w:rPr>
            </w:pPr>
            <w:r w:rsidRPr="00074C05">
              <w:rPr>
                <w:rFonts w:ascii="Times New Roman" w:hAnsi="Times New Roman" w:cs="Times New Roman"/>
                <w:b/>
                <w:sz w:val="20"/>
                <w:szCs w:val="20"/>
              </w:rPr>
              <w:t>PA</w:t>
            </w:r>
          </w:p>
        </w:tc>
        <w:tc>
          <w:tcPr>
            <w:tcW w:w="670" w:type="dxa"/>
            <w:hideMark/>
          </w:tcPr>
          <w:p w:rsidR="0067507A" w:rsidRPr="00074C05" w:rsidRDefault="0067507A" w:rsidP="006A096D">
            <w:pPr>
              <w:spacing w:line="276" w:lineRule="auto"/>
              <w:jc w:val="center"/>
              <w:rPr>
                <w:rFonts w:ascii="Times New Roman" w:hAnsi="Times New Roman" w:cs="Times New Roman"/>
                <w:i/>
                <w:sz w:val="20"/>
                <w:szCs w:val="20"/>
              </w:rPr>
            </w:pPr>
            <w:r w:rsidRPr="00074C05">
              <w:rPr>
                <w:rFonts w:ascii="Times New Roman" w:hAnsi="Times New Roman" w:cs="Times New Roman"/>
                <w:i/>
                <w:sz w:val="20"/>
                <w:szCs w:val="20"/>
              </w:rPr>
              <w:t>WC</w:t>
            </w:r>
          </w:p>
        </w:tc>
        <w:tc>
          <w:tcPr>
            <w:tcW w:w="670" w:type="dxa"/>
            <w:hideMark/>
          </w:tcPr>
          <w:p w:rsidR="0067507A" w:rsidRPr="00074C05" w:rsidRDefault="0067507A" w:rsidP="006A096D">
            <w:pPr>
              <w:spacing w:line="276" w:lineRule="auto"/>
              <w:jc w:val="center"/>
              <w:rPr>
                <w:rFonts w:ascii="Times New Roman" w:hAnsi="Times New Roman" w:cs="Times New Roman"/>
                <w:i/>
                <w:sz w:val="20"/>
                <w:szCs w:val="20"/>
              </w:rPr>
            </w:pPr>
            <w:r w:rsidRPr="00074C05">
              <w:rPr>
                <w:rFonts w:ascii="Times New Roman" w:hAnsi="Times New Roman" w:cs="Times New Roman"/>
                <w:i/>
                <w:sz w:val="20"/>
                <w:szCs w:val="20"/>
              </w:rPr>
              <w:t>HS</w:t>
            </w:r>
          </w:p>
        </w:tc>
        <w:tc>
          <w:tcPr>
            <w:tcW w:w="656" w:type="dxa"/>
            <w:hideMark/>
          </w:tcPr>
          <w:p w:rsidR="0067507A" w:rsidRPr="00074C05" w:rsidRDefault="0067507A" w:rsidP="006A096D">
            <w:pPr>
              <w:spacing w:line="276" w:lineRule="auto"/>
              <w:jc w:val="center"/>
              <w:rPr>
                <w:rFonts w:ascii="Times New Roman" w:hAnsi="Times New Roman" w:cs="Times New Roman"/>
                <w:i/>
                <w:sz w:val="20"/>
                <w:szCs w:val="20"/>
              </w:rPr>
            </w:pPr>
            <w:r w:rsidRPr="00074C05">
              <w:rPr>
                <w:rFonts w:ascii="Times New Roman" w:hAnsi="Times New Roman" w:cs="Times New Roman"/>
                <w:i/>
                <w:sz w:val="20"/>
                <w:szCs w:val="20"/>
              </w:rPr>
              <w:t>HR</w:t>
            </w:r>
          </w:p>
        </w:tc>
        <w:tc>
          <w:tcPr>
            <w:tcW w:w="683" w:type="dxa"/>
            <w:hideMark/>
          </w:tcPr>
          <w:p w:rsidR="0067507A" w:rsidRPr="00074C05" w:rsidRDefault="0067507A" w:rsidP="006A096D">
            <w:pPr>
              <w:spacing w:line="276" w:lineRule="auto"/>
              <w:jc w:val="center"/>
              <w:rPr>
                <w:rFonts w:ascii="Times New Roman" w:hAnsi="Times New Roman" w:cs="Times New Roman"/>
                <w:i/>
                <w:sz w:val="20"/>
                <w:szCs w:val="20"/>
              </w:rPr>
            </w:pPr>
            <w:r w:rsidRPr="00074C05">
              <w:rPr>
                <w:rFonts w:ascii="Times New Roman" w:hAnsi="Times New Roman" w:cs="Times New Roman"/>
                <w:i/>
                <w:sz w:val="20"/>
                <w:szCs w:val="20"/>
              </w:rPr>
              <w:t>SER</w:t>
            </w:r>
          </w:p>
        </w:tc>
        <w:tc>
          <w:tcPr>
            <w:tcW w:w="670" w:type="dxa"/>
            <w:hideMark/>
          </w:tcPr>
          <w:p w:rsidR="0067507A" w:rsidRPr="00074C05" w:rsidRDefault="0067507A" w:rsidP="006A096D">
            <w:pPr>
              <w:spacing w:line="276" w:lineRule="auto"/>
              <w:jc w:val="center"/>
              <w:rPr>
                <w:rFonts w:ascii="Times New Roman" w:hAnsi="Times New Roman" w:cs="Times New Roman"/>
                <w:i/>
                <w:sz w:val="20"/>
                <w:szCs w:val="20"/>
              </w:rPr>
            </w:pPr>
            <w:r w:rsidRPr="00074C05">
              <w:rPr>
                <w:rFonts w:ascii="Times New Roman" w:hAnsi="Times New Roman" w:cs="Times New Roman"/>
                <w:i/>
                <w:sz w:val="20"/>
                <w:szCs w:val="20"/>
              </w:rPr>
              <w:t>IR</w:t>
            </w:r>
          </w:p>
        </w:tc>
        <w:tc>
          <w:tcPr>
            <w:tcW w:w="670" w:type="dxa"/>
            <w:hideMark/>
          </w:tcPr>
          <w:p w:rsidR="0067507A" w:rsidRPr="00074C05" w:rsidRDefault="0067507A" w:rsidP="006A096D">
            <w:pPr>
              <w:spacing w:line="276" w:lineRule="auto"/>
              <w:jc w:val="center"/>
              <w:rPr>
                <w:rFonts w:ascii="Times New Roman" w:hAnsi="Times New Roman" w:cs="Times New Roman"/>
                <w:i/>
                <w:sz w:val="20"/>
                <w:szCs w:val="20"/>
              </w:rPr>
            </w:pPr>
            <w:r w:rsidRPr="00074C05">
              <w:rPr>
                <w:rFonts w:ascii="Times New Roman" w:hAnsi="Times New Roman" w:cs="Times New Roman"/>
                <w:i/>
                <w:sz w:val="20"/>
                <w:szCs w:val="20"/>
              </w:rPr>
              <w:t>G</w:t>
            </w:r>
          </w:p>
        </w:tc>
        <w:tc>
          <w:tcPr>
            <w:tcW w:w="670" w:type="dxa"/>
            <w:shd w:val="clear" w:color="auto" w:fill="auto"/>
            <w:hideMark/>
          </w:tcPr>
          <w:p w:rsidR="0067507A" w:rsidRPr="00074C05" w:rsidRDefault="0067507A" w:rsidP="006A096D">
            <w:pPr>
              <w:spacing w:line="276" w:lineRule="auto"/>
              <w:jc w:val="center"/>
              <w:rPr>
                <w:rFonts w:ascii="Times New Roman" w:hAnsi="Times New Roman" w:cs="Times New Roman"/>
                <w:b/>
                <w:sz w:val="20"/>
                <w:szCs w:val="20"/>
              </w:rPr>
            </w:pPr>
            <w:r w:rsidRPr="00074C05">
              <w:rPr>
                <w:rFonts w:ascii="Times New Roman" w:hAnsi="Times New Roman" w:cs="Times New Roman"/>
                <w:b/>
                <w:sz w:val="20"/>
                <w:szCs w:val="20"/>
              </w:rPr>
              <w:t>IA</w:t>
            </w:r>
          </w:p>
        </w:tc>
      </w:tr>
      <w:tr w:rsidR="0067507A" w:rsidRPr="00074C05" w:rsidTr="00500D0D">
        <w:trPr>
          <w:trHeight w:val="42"/>
        </w:trPr>
        <w:tc>
          <w:tcPr>
            <w:tcW w:w="1528" w:type="dxa"/>
            <w:vMerge w:val="restart"/>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br w:type="page"/>
              <w:t>Local community</w:t>
            </w: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Access to material resources</w:t>
            </w:r>
          </w:p>
        </w:tc>
        <w:tc>
          <w:tcPr>
            <w:tcW w:w="669"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5</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Access to immaterial resources</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Delocalisation and migration</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67507A" w:rsidRPr="00074C05" w:rsidTr="0067507A">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Cultural heritage</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Safe and healthy living conditions</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Respect of indigenous rights</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67507A" w:rsidRPr="00074C05" w:rsidTr="0067507A">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Local employment</w:t>
            </w:r>
          </w:p>
        </w:tc>
        <w:tc>
          <w:tcPr>
            <w:tcW w:w="669" w:type="dxa"/>
            <w:tcBorders>
              <w:top w:val="single" w:sz="4" w:space="0" w:color="auto"/>
              <w:left w:val="single" w:sz="4" w:space="0" w:color="auto"/>
              <w:bottom w:val="single" w:sz="4" w:space="0" w:color="auto"/>
              <w:right w:val="single" w:sz="4" w:space="0" w:color="auto"/>
            </w:tcBorders>
            <w:shd w:val="clear" w:color="auto" w:fill="00B050"/>
            <w:hideMark/>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Secure living conditions</w:t>
            </w:r>
          </w:p>
        </w:tc>
        <w:tc>
          <w:tcPr>
            <w:tcW w:w="669" w:type="dxa"/>
            <w:tcBorders>
              <w:top w:val="single" w:sz="4" w:space="0" w:color="auto"/>
              <w:left w:val="single" w:sz="4" w:space="0" w:color="auto"/>
              <w:bottom w:val="single" w:sz="4" w:space="0" w:color="auto"/>
              <w:right w:val="single" w:sz="4" w:space="0" w:color="auto"/>
            </w:tcBorders>
            <w:shd w:val="clear" w:color="auto" w:fill="FF0000"/>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6</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5</w:t>
            </w:r>
          </w:p>
        </w:tc>
      </w:tr>
      <w:tr w:rsidR="0067507A" w:rsidRPr="00074C05" w:rsidTr="00500D0D">
        <w:trPr>
          <w:trHeight w:val="37"/>
        </w:trPr>
        <w:tc>
          <w:tcPr>
            <w:tcW w:w="1528" w:type="dxa"/>
            <w:tcBorders>
              <w:top w:val="single" w:sz="4" w:space="0" w:color="auto"/>
              <w:left w:val="single" w:sz="4" w:space="0" w:color="auto"/>
              <w:bottom w:val="single" w:sz="4" w:space="0" w:color="auto"/>
              <w:right w:val="single" w:sz="4" w:space="0" w:color="auto"/>
            </w:tcBorders>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t>Amount</w:t>
            </w:r>
          </w:p>
        </w:tc>
        <w:tc>
          <w:tcPr>
            <w:tcW w:w="669" w:type="dxa"/>
            <w:tcBorders>
              <w:top w:val="single" w:sz="4" w:space="0" w:color="auto"/>
              <w:left w:val="single" w:sz="4" w:space="0" w:color="auto"/>
              <w:bottom w:val="single" w:sz="4" w:space="0" w:color="auto"/>
              <w:right w:val="single" w:sz="4" w:space="0" w:color="auto"/>
            </w:tcBorders>
            <w:shd w:val="clear" w:color="auto" w:fill="auto"/>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5</w:t>
            </w:r>
          </w:p>
        </w:tc>
        <w:tc>
          <w:tcPr>
            <w:tcW w:w="670" w:type="dxa"/>
            <w:tcBorders>
              <w:top w:val="single" w:sz="4" w:space="0" w:color="auto"/>
              <w:left w:val="single" w:sz="4" w:space="0" w:color="auto"/>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56" w:type="dxa"/>
            <w:tcBorders>
              <w:top w:val="single" w:sz="4" w:space="0" w:color="auto"/>
              <w:left w:val="nil"/>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83" w:type="dxa"/>
            <w:tcBorders>
              <w:top w:val="single" w:sz="4" w:space="0" w:color="auto"/>
              <w:left w:val="nil"/>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r>
      <w:tr w:rsidR="0067507A" w:rsidRPr="00074C05" w:rsidTr="00500D0D">
        <w:trPr>
          <w:trHeight w:val="42"/>
        </w:trPr>
        <w:tc>
          <w:tcPr>
            <w:tcW w:w="1528" w:type="dxa"/>
            <w:vMerge w:val="restart"/>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Society</w:t>
            </w: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Public commitments to sustainable issues</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2</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Contribution to economic development</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2</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Prevention and mitigation of conflicts</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p>
        </w:tc>
      </w:tr>
      <w:tr w:rsidR="0067507A" w:rsidRPr="00074C05" w:rsidTr="0067507A">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Technology development</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tcPr>
          <w:p w:rsidR="0067507A" w:rsidRPr="00074C05" w:rsidRDefault="0067507A"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07A" w:rsidRPr="00074C05" w:rsidTr="00500D0D">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sz w:val="20"/>
                <w:szCs w:val="20"/>
              </w:rPr>
            </w:pPr>
            <w:r w:rsidRPr="00074C05">
              <w:rPr>
                <w:rFonts w:ascii="Times New Roman" w:hAnsi="Times New Roman" w:cs="Times New Roman"/>
                <w:sz w:val="20"/>
                <w:szCs w:val="20"/>
              </w:rPr>
              <w:t>Corruption</w:t>
            </w:r>
          </w:p>
        </w:tc>
        <w:tc>
          <w:tcPr>
            <w:tcW w:w="669"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5</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r>
      <w:tr w:rsidR="0067507A" w:rsidRPr="00074C05" w:rsidTr="00500D0D">
        <w:trPr>
          <w:trHeight w:val="37"/>
        </w:trPr>
        <w:tc>
          <w:tcPr>
            <w:tcW w:w="1528" w:type="dxa"/>
            <w:tcBorders>
              <w:top w:val="single" w:sz="4" w:space="0" w:color="auto"/>
              <w:left w:val="single" w:sz="4" w:space="0" w:color="auto"/>
              <w:bottom w:val="single" w:sz="4" w:space="0" w:color="auto"/>
              <w:right w:val="single" w:sz="4" w:space="0" w:color="auto"/>
            </w:tcBorders>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rsidR="0067507A" w:rsidRPr="00074C05" w:rsidRDefault="0067507A" w:rsidP="00074C05">
            <w:pPr>
              <w:autoSpaceDE w:val="0"/>
              <w:autoSpaceDN w:val="0"/>
              <w:adjustRightInd w:val="0"/>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t>Amount</w:t>
            </w:r>
          </w:p>
        </w:tc>
        <w:tc>
          <w:tcPr>
            <w:tcW w:w="669" w:type="dxa"/>
            <w:tcBorders>
              <w:top w:val="single" w:sz="4" w:space="0" w:color="auto"/>
              <w:left w:val="single" w:sz="4" w:space="0" w:color="auto"/>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56" w:type="dxa"/>
            <w:tcBorders>
              <w:top w:val="single" w:sz="4" w:space="0" w:color="auto"/>
              <w:left w:val="nil"/>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83" w:type="dxa"/>
            <w:tcBorders>
              <w:top w:val="single" w:sz="4" w:space="0" w:color="auto"/>
              <w:left w:val="nil"/>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67507A" w:rsidRPr="00074C05" w:rsidRDefault="0067507A" w:rsidP="006A096D">
            <w:pPr>
              <w:spacing w:line="276" w:lineRule="auto"/>
              <w:jc w:val="center"/>
              <w:rPr>
                <w:rFonts w:ascii="Times New Roman" w:hAnsi="Times New Roman" w:cs="Times New Roman"/>
                <w:sz w:val="20"/>
                <w:szCs w:val="20"/>
              </w:rPr>
            </w:pPr>
            <w:r w:rsidRPr="00074C05">
              <w:rPr>
                <w:rFonts w:ascii="Times New Roman" w:hAnsi="Times New Roman" w:cs="Times New Roman"/>
                <w:sz w:val="20"/>
                <w:szCs w:val="20"/>
              </w:rPr>
              <w:t>3</w:t>
            </w:r>
            <w:r w:rsidR="00BB03D6">
              <w:rPr>
                <w:rFonts w:ascii="Times New Roman" w:hAnsi="Times New Roman" w:cs="Times New Roman"/>
                <w:sz w:val="20"/>
                <w:szCs w:val="20"/>
              </w:rPr>
              <w:t>.</w:t>
            </w:r>
            <w:r w:rsidR="000366F6">
              <w:rPr>
                <w:rFonts w:ascii="Times New Roman" w:hAnsi="Times New Roman" w:cs="Times New Roman"/>
                <w:sz w:val="20"/>
                <w:szCs w:val="20"/>
              </w:rPr>
              <w:t>2</w:t>
            </w:r>
          </w:p>
        </w:tc>
      </w:tr>
      <w:tr w:rsidR="0067507A" w:rsidRPr="00074C05" w:rsidTr="00500D0D">
        <w:trPr>
          <w:trHeight w:val="37"/>
        </w:trPr>
        <w:tc>
          <w:tcPr>
            <w:tcW w:w="1528" w:type="dxa"/>
            <w:tcBorders>
              <w:top w:val="single" w:sz="4" w:space="0" w:color="auto"/>
              <w:left w:val="single" w:sz="4" w:space="0" w:color="auto"/>
              <w:bottom w:val="single" w:sz="4" w:space="0" w:color="auto"/>
              <w:right w:val="single" w:sz="4" w:space="0" w:color="auto"/>
            </w:tcBorders>
          </w:tcPr>
          <w:p w:rsidR="0067507A" w:rsidRPr="00074C05" w:rsidRDefault="0067507A" w:rsidP="00074C05">
            <w:pPr>
              <w:spacing w:line="276" w:lineRule="auto"/>
              <w:jc w:val="both"/>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tcPr>
          <w:p w:rsidR="0067507A" w:rsidRPr="00074C05" w:rsidRDefault="0067507A" w:rsidP="00074C05">
            <w:pPr>
              <w:autoSpaceDE w:val="0"/>
              <w:autoSpaceDN w:val="0"/>
              <w:adjustRightInd w:val="0"/>
              <w:spacing w:line="276" w:lineRule="auto"/>
              <w:jc w:val="both"/>
              <w:rPr>
                <w:rFonts w:ascii="Times New Roman" w:hAnsi="Times New Roman" w:cs="Times New Roman"/>
                <w:b/>
                <w:sz w:val="20"/>
                <w:szCs w:val="20"/>
              </w:rPr>
            </w:pPr>
            <w:r w:rsidRPr="00074C05">
              <w:rPr>
                <w:rFonts w:ascii="Times New Roman" w:hAnsi="Times New Roman" w:cs="Times New Roman"/>
                <w:b/>
                <w:sz w:val="20"/>
                <w:szCs w:val="20"/>
              </w:rPr>
              <w:t>Total amount</w:t>
            </w:r>
          </w:p>
        </w:tc>
        <w:tc>
          <w:tcPr>
            <w:tcW w:w="669" w:type="dxa"/>
            <w:tcBorders>
              <w:top w:val="single" w:sz="4" w:space="0" w:color="auto"/>
              <w:left w:val="single" w:sz="4" w:space="0" w:color="auto"/>
              <w:bottom w:val="single" w:sz="4" w:space="0" w:color="auto"/>
              <w:right w:val="single" w:sz="4" w:space="0" w:color="auto"/>
            </w:tcBorders>
          </w:tcPr>
          <w:p w:rsidR="0067507A" w:rsidRPr="00074C05" w:rsidRDefault="000366F6" w:rsidP="0067507A">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670" w:type="dxa"/>
            <w:tcBorders>
              <w:top w:val="single" w:sz="4" w:space="0" w:color="auto"/>
              <w:left w:val="single" w:sz="4" w:space="0" w:color="auto"/>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56" w:type="dxa"/>
            <w:tcBorders>
              <w:top w:val="single" w:sz="4" w:space="0" w:color="auto"/>
              <w:left w:val="nil"/>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83" w:type="dxa"/>
            <w:tcBorders>
              <w:top w:val="single" w:sz="4" w:space="0" w:color="auto"/>
              <w:left w:val="nil"/>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nil"/>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single" w:sz="4" w:space="0" w:color="auto"/>
            </w:tcBorders>
          </w:tcPr>
          <w:p w:rsidR="0067507A" w:rsidRPr="00074C05" w:rsidRDefault="0067507A" w:rsidP="006A096D">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67507A" w:rsidRPr="00074C05" w:rsidRDefault="00BB03D6" w:rsidP="006A096D">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r w:rsidR="0067507A">
              <w:rPr>
                <w:rFonts w:ascii="Times New Roman" w:hAnsi="Times New Roman" w:cs="Times New Roman"/>
                <w:sz w:val="20"/>
                <w:szCs w:val="20"/>
              </w:rPr>
              <w:t>2</w:t>
            </w:r>
            <w:r w:rsidR="000366F6">
              <w:rPr>
                <w:rFonts w:ascii="Times New Roman" w:hAnsi="Times New Roman" w:cs="Times New Roman"/>
                <w:sz w:val="20"/>
                <w:szCs w:val="20"/>
              </w:rPr>
              <w:t>3</w:t>
            </w:r>
          </w:p>
        </w:tc>
      </w:tr>
    </w:tbl>
    <w:p w:rsidR="00074C05" w:rsidRPr="00074C05" w:rsidRDefault="00074C05" w:rsidP="00074C05">
      <w:pPr>
        <w:spacing w:line="360" w:lineRule="auto"/>
        <w:jc w:val="both"/>
        <w:rPr>
          <w:rFonts w:ascii="Times New Roman" w:hAnsi="Times New Roman" w:cs="Times New Roman"/>
          <w:b/>
          <w:sz w:val="20"/>
          <w:szCs w:val="20"/>
        </w:rPr>
      </w:pPr>
      <w:r w:rsidRPr="001D396E">
        <w:rPr>
          <w:rFonts w:ascii="Times New Roman" w:hAnsi="Times New Roman" w:cs="Times New Roman"/>
          <w:b/>
          <w:sz w:val="16"/>
          <w:szCs w:val="16"/>
        </w:rPr>
        <w:t>Table 4 – Social Impact Assessment Table Local Sourcing</w:t>
      </w:r>
      <w:r w:rsidRPr="001D396E">
        <w:rPr>
          <w:rFonts w:ascii="Times New Roman" w:hAnsi="Times New Roman" w:cs="Times New Roman"/>
          <w:b/>
          <w:sz w:val="16"/>
          <w:szCs w:val="16"/>
        </w:rPr>
        <w:tab/>
      </w:r>
      <w:r w:rsidRPr="00074C05">
        <w:rPr>
          <w:rFonts w:ascii="Times New Roman" w:hAnsi="Times New Roman" w:cs="Times New Roman"/>
          <w:sz w:val="20"/>
          <w:szCs w:val="20"/>
        </w:rPr>
        <w:br/>
      </w:r>
      <w:r w:rsidRPr="00074C05">
        <w:rPr>
          <w:rFonts w:ascii="Times New Roman" w:hAnsi="Times New Roman" w:cs="Times New Roman"/>
          <w:sz w:val="20"/>
          <w:szCs w:val="20"/>
        </w:rPr>
        <w:br/>
      </w:r>
      <w:r w:rsidR="007F6B39">
        <w:rPr>
          <w:rFonts w:ascii="Times New Roman" w:hAnsi="Times New Roman" w:cs="Times New Roman"/>
          <w:sz w:val="20"/>
          <w:szCs w:val="20"/>
        </w:rPr>
        <w:t>‘</w:t>
      </w:r>
      <w:r w:rsidR="007F6B39" w:rsidRPr="00FD7DD1">
        <w:rPr>
          <w:rFonts w:ascii="Times New Roman" w:hAnsi="Times New Roman" w:cs="Times New Roman"/>
          <w:sz w:val="20"/>
          <w:szCs w:val="20"/>
        </w:rPr>
        <w:t>+</w:t>
      </w:r>
      <w:r w:rsidR="007F6B39">
        <w:rPr>
          <w:rFonts w:ascii="Times New Roman" w:hAnsi="Times New Roman" w:cs="Times New Roman"/>
          <w:sz w:val="20"/>
          <w:szCs w:val="20"/>
        </w:rPr>
        <w:t>’</w:t>
      </w:r>
      <w:r w:rsidR="007F6B39" w:rsidRPr="00FD7DD1">
        <w:rPr>
          <w:rFonts w:ascii="Times New Roman" w:hAnsi="Times New Roman" w:cs="Times New Roman"/>
          <w:sz w:val="20"/>
          <w:szCs w:val="20"/>
        </w:rPr>
        <w:t xml:space="preserve"> =  major impact; </w:t>
      </w:r>
      <w:r w:rsidR="007F6B39">
        <w:rPr>
          <w:rFonts w:ascii="Times New Roman" w:hAnsi="Times New Roman" w:cs="Times New Roman"/>
          <w:sz w:val="20"/>
          <w:szCs w:val="20"/>
        </w:rPr>
        <w:t>‘</w:t>
      </w:r>
      <w:r w:rsidR="007F6B39" w:rsidRPr="00FD7DD1">
        <w:rPr>
          <w:rFonts w:ascii="Times New Roman" w:hAnsi="Times New Roman" w:cs="Times New Roman"/>
          <w:sz w:val="20"/>
          <w:szCs w:val="20"/>
        </w:rPr>
        <w:t>-</w:t>
      </w:r>
      <w:r w:rsidR="007F6B39">
        <w:rPr>
          <w:rFonts w:ascii="Times New Roman" w:hAnsi="Times New Roman" w:cs="Times New Roman"/>
          <w:sz w:val="20"/>
          <w:szCs w:val="20"/>
        </w:rPr>
        <w:t>‘</w:t>
      </w:r>
      <w:r w:rsidR="007F6B39" w:rsidRPr="00FD7DD1">
        <w:rPr>
          <w:rFonts w:ascii="Times New Roman" w:hAnsi="Times New Roman" w:cs="Times New Roman"/>
          <w:sz w:val="20"/>
          <w:szCs w:val="20"/>
        </w:rPr>
        <w:t xml:space="preserve"> = minor impact</w:t>
      </w:r>
      <w:r w:rsidR="007F6B39" w:rsidRPr="00FD7DD1">
        <w:rPr>
          <w:rFonts w:ascii="Times New Roman" w:hAnsi="Times New Roman" w:cs="Times New Roman"/>
          <w:b/>
          <w:sz w:val="20"/>
          <w:szCs w:val="20"/>
        </w:rPr>
        <w:t xml:space="preserve"> </w:t>
      </w:r>
      <w:r w:rsidR="007F6B39">
        <w:rPr>
          <w:rFonts w:ascii="Times New Roman" w:hAnsi="Times New Roman" w:cs="Times New Roman"/>
          <w:sz w:val="20"/>
          <w:szCs w:val="20"/>
        </w:rPr>
        <w:t>; ‘ ’= no impact</w:t>
      </w:r>
      <w:r w:rsidR="007F6B39" w:rsidRPr="00074C05">
        <w:rPr>
          <w:rStyle w:val="Funotenzeichen"/>
          <w:rFonts w:ascii="Times New Roman" w:hAnsi="Times New Roman" w:cs="Times New Roman"/>
          <w:b/>
          <w:sz w:val="20"/>
          <w:szCs w:val="20"/>
        </w:rPr>
        <w:t xml:space="preserve"> </w:t>
      </w:r>
      <w:r w:rsidRPr="00074C05">
        <w:rPr>
          <w:rStyle w:val="Funotenzeichen"/>
          <w:rFonts w:ascii="Times New Roman" w:hAnsi="Times New Roman" w:cs="Times New Roman"/>
          <w:b/>
          <w:sz w:val="20"/>
          <w:szCs w:val="20"/>
        </w:rPr>
        <w:footnoteReference w:id="38"/>
      </w:r>
    </w:p>
    <w:p w:rsidR="00074C05" w:rsidRPr="00074C05" w:rsidRDefault="00074C05" w:rsidP="00074C05">
      <w:pPr>
        <w:spacing w:line="360" w:lineRule="auto"/>
        <w:jc w:val="both"/>
        <w:rPr>
          <w:rFonts w:ascii="Times New Roman" w:hAnsi="Times New Roman" w:cs="Times New Roman"/>
          <w:sz w:val="20"/>
          <w:szCs w:val="20"/>
        </w:rPr>
      </w:pPr>
      <w:r w:rsidRPr="00074C05">
        <w:rPr>
          <w:rFonts w:ascii="Times New Roman" w:hAnsi="Times New Roman" w:cs="Times New Roman"/>
          <w:sz w:val="20"/>
          <w:szCs w:val="20"/>
        </w:rPr>
        <w:br w:type="page"/>
      </w:r>
    </w:p>
    <w:p w:rsidR="001D396E" w:rsidRPr="00861854" w:rsidRDefault="001D396E" w:rsidP="001D396E">
      <w:pPr>
        <w:pStyle w:val="berschrift1"/>
        <w:spacing w:after="240" w:line="360" w:lineRule="auto"/>
        <w:rPr>
          <w:rFonts w:ascii="Times New Roman" w:hAnsi="Times New Roman" w:cs="Times New Roman"/>
          <w:color w:val="auto"/>
          <w:sz w:val="20"/>
          <w:szCs w:val="20"/>
        </w:rPr>
      </w:pPr>
      <w:r w:rsidRPr="00861854">
        <w:rPr>
          <w:rFonts w:ascii="Times New Roman" w:hAnsi="Times New Roman" w:cs="Times New Roman"/>
          <w:color w:val="auto"/>
          <w:sz w:val="20"/>
          <w:szCs w:val="20"/>
        </w:rPr>
        <w:lastRenderedPageBreak/>
        <w:t>Section 3.  LCC</w:t>
      </w:r>
    </w:p>
    <w:p w:rsidR="001D396E" w:rsidRPr="00FD7DD1" w:rsidRDefault="001D396E" w:rsidP="001D396E">
      <w:pPr>
        <w:pStyle w:val="berschrift1"/>
        <w:spacing w:before="0" w:after="200" w:line="360" w:lineRule="auto"/>
        <w:rPr>
          <w:rStyle w:val="berschrift2Zchn"/>
          <w:rFonts w:ascii="Times New Roman" w:hAnsi="Times New Roman" w:cs="Times New Roman"/>
          <w:b/>
          <w:bCs/>
          <w:color w:val="auto"/>
          <w:sz w:val="20"/>
          <w:szCs w:val="20"/>
          <w:u w:val="single"/>
        </w:rPr>
      </w:pPr>
      <w:r w:rsidRPr="00FD7DD1">
        <w:rPr>
          <w:rStyle w:val="berschrift2Zchn"/>
          <w:rFonts w:ascii="Times New Roman" w:hAnsi="Times New Roman" w:cs="Times New Roman"/>
          <w:b/>
          <w:color w:val="auto"/>
          <w:sz w:val="20"/>
          <w:szCs w:val="20"/>
        </w:rPr>
        <w:t>Inventory data</w:t>
      </w:r>
    </w:p>
    <w:p w:rsidR="001D396E" w:rsidRPr="00FD7DD1" w:rsidRDefault="001D396E" w:rsidP="001D396E">
      <w:pPr>
        <w:spacing w:line="360" w:lineRule="auto"/>
        <w:rPr>
          <w:rFonts w:ascii="Times New Roman" w:eastAsiaTheme="majorEastAsia" w:hAnsi="Times New Roman" w:cs="Times New Roman"/>
          <w:b/>
          <w:bCs/>
          <w:sz w:val="20"/>
          <w:szCs w:val="20"/>
        </w:rPr>
      </w:pPr>
      <w:r w:rsidRPr="00FD7DD1">
        <w:rPr>
          <w:rFonts w:ascii="Times New Roman" w:hAnsi="Times New Roman" w:cs="Times New Roman"/>
          <w:noProof/>
          <w:sz w:val="20"/>
          <w:szCs w:val="20"/>
          <w:lang w:eastAsia="en-GB"/>
        </w:rPr>
        <w:t xml:space="preserve">The table below presents general data concerning the transportation costs from the manufacturing facility to the final destination (i.e., the refugee camps in Dadaab and Kakuma respectively). </w:t>
      </w:r>
    </w:p>
    <w:tbl>
      <w:tblPr>
        <w:tblStyle w:val="Tabellenraster"/>
        <w:tblW w:w="6750" w:type="dxa"/>
        <w:tblInd w:w="108" w:type="dxa"/>
        <w:tblLook w:val="04A0" w:firstRow="1" w:lastRow="0" w:firstColumn="1" w:lastColumn="0" w:noHBand="0" w:noVBand="1"/>
      </w:tblPr>
      <w:tblGrid>
        <w:gridCol w:w="2322"/>
        <w:gridCol w:w="1161"/>
        <w:gridCol w:w="1161"/>
        <w:gridCol w:w="1053"/>
        <w:gridCol w:w="1053"/>
      </w:tblGrid>
      <w:tr w:rsidR="00074C05" w:rsidRPr="00074C05" w:rsidTr="00500D0D">
        <w:tc>
          <w:tcPr>
            <w:tcW w:w="2322" w:type="dxa"/>
            <w:shd w:val="clear" w:color="auto" w:fill="B8CCE4" w:themeFill="accent1" w:themeFillTint="66"/>
          </w:tcPr>
          <w:p w:rsidR="00074C05" w:rsidRPr="00074C05" w:rsidRDefault="00074C05" w:rsidP="00074C05">
            <w:pPr>
              <w:spacing w:line="276" w:lineRule="auto"/>
              <w:jc w:val="both"/>
              <w:rPr>
                <w:rFonts w:ascii="Times New Roman" w:eastAsia="Times New Roman" w:hAnsi="Times New Roman" w:cs="Times New Roman"/>
                <w:b/>
                <w:sz w:val="20"/>
                <w:szCs w:val="20"/>
                <w:lang w:eastAsia="en-GB"/>
              </w:rPr>
            </w:pPr>
            <w:r w:rsidRPr="00074C05">
              <w:rPr>
                <w:rFonts w:ascii="Times New Roman" w:eastAsia="Times New Roman" w:hAnsi="Times New Roman" w:cs="Times New Roman"/>
                <w:b/>
                <w:sz w:val="20"/>
                <w:szCs w:val="20"/>
                <w:lang w:eastAsia="en-GB"/>
              </w:rPr>
              <w:t>Stage</w:t>
            </w:r>
          </w:p>
        </w:tc>
        <w:tc>
          <w:tcPr>
            <w:tcW w:w="2322" w:type="dxa"/>
            <w:gridSpan w:val="2"/>
            <w:shd w:val="clear" w:color="auto" w:fill="B8CCE4" w:themeFill="accent1" w:themeFillTint="66"/>
          </w:tcPr>
          <w:p w:rsidR="00074C05" w:rsidRPr="00074C05" w:rsidRDefault="00074C05" w:rsidP="00074C05">
            <w:pPr>
              <w:spacing w:line="276" w:lineRule="auto"/>
              <w:jc w:val="both"/>
              <w:rPr>
                <w:rFonts w:ascii="Times New Roman" w:eastAsia="Times New Roman" w:hAnsi="Times New Roman" w:cs="Times New Roman"/>
                <w:b/>
                <w:sz w:val="20"/>
                <w:szCs w:val="20"/>
                <w:lang w:eastAsia="en-GB"/>
              </w:rPr>
            </w:pPr>
            <w:r w:rsidRPr="00074C05">
              <w:rPr>
                <w:rFonts w:ascii="Times New Roman" w:eastAsia="Times New Roman" w:hAnsi="Times New Roman" w:cs="Times New Roman"/>
                <w:b/>
                <w:sz w:val="20"/>
                <w:szCs w:val="20"/>
                <w:lang w:eastAsia="en-GB"/>
              </w:rPr>
              <w:t>Nairobi to Dadaab</w:t>
            </w:r>
          </w:p>
        </w:tc>
        <w:tc>
          <w:tcPr>
            <w:tcW w:w="2106" w:type="dxa"/>
            <w:gridSpan w:val="2"/>
            <w:shd w:val="clear" w:color="auto" w:fill="B8CCE4" w:themeFill="accent1" w:themeFillTint="66"/>
          </w:tcPr>
          <w:p w:rsidR="00074C05" w:rsidRPr="00074C05" w:rsidRDefault="00074C05" w:rsidP="00074C05">
            <w:pPr>
              <w:spacing w:line="276" w:lineRule="auto"/>
              <w:jc w:val="both"/>
              <w:rPr>
                <w:rFonts w:ascii="Times New Roman" w:eastAsia="Times New Roman" w:hAnsi="Times New Roman" w:cs="Times New Roman"/>
                <w:b/>
                <w:sz w:val="20"/>
                <w:szCs w:val="20"/>
                <w:lang w:eastAsia="en-GB"/>
              </w:rPr>
            </w:pPr>
            <w:r w:rsidRPr="00074C05">
              <w:rPr>
                <w:rFonts w:ascii="Times New Roman" w:eastAsia="Times New Roman" w:hAnsi="Times New Roman" w:cs="Times New Roman"/>
                <w:b/>
                <w:sz w:val="20"/>
                <w:szCs w:val="20"/>
                <w:lang w:eastAsia="en-GB"/>
              </w:rPr>
              <w:t>Nairobi to Kakuma</w:t>
            </w:r>
          </w:p>
        </w:tc>
      </w:tr>
      <w:tr w:rsidR="00074C05" w:rsidRPr="00074C05" w:rsidTr="00500D0D">
        <w:tc>
          <w:tcPr>
            <w:tcW w:w="2322" w:type="dxa"/>
            <w:shd w:val="clear" w:color="auto" w:fill="DDD9C3" w:themeFill="background2" w:themeFillShade="E6"/>
          </w:tcPr>
          <w:p w:rsidR="00074C05" w:rsidRPr="00074C05" w:rsidRDefault="00074C05" w:rsidP="00074C05">
            <w:pPr>
              <w:spacing w:line="276" w:lineRule="auto"/>
              <w:jc w:val="both"/>
              <w:rPr>
                <w:rFonts w:ascii="Times New Roman" w:eastAsia="Times New Roman" w:hAnsi="Times New Roman" w:cs="Times New Roman"/>
                <w:b/>
                <w:sz w:val="20"/>
                <w:szCs w:val="20"/>
                <w:lang w:eastAsia="en-GB"/>
              </w:rPr>
            </w:pPr>
            <w:r w:rsidRPr="00074C05">
              <w:rPr>
                <w:rFonts w:ascii="Times New Roman" w:eastAsia="Times New Roman" w:hAnsi="Times New Roman" w:cs="Times New Roman"/>
                <w:b/>
                <w:sz w:val="20"/>
                <w:szCs w:val="20"/>
                <w:lang w:eastAsia="en-GB"/>
              </w:rPr>
              <w:t xml:space="preserve">Container size/ </w:t>
            </w:r>
            <w:r w:rsidRPr="00074C05">
              <w:rPr>
                <w:rFonts w:ascii="Times New Roman" w:eastAsia="Times New Roman" w:hAnsi="Times New Roman" w:cs="Times New Roman"/>
                <w:b/>
                <w:sz w:val="20"/>
                <w:szCs w:val="20"/>
                <w:lang w:eastAsia="en-GB"/>
              </w:rPr>
              <w:br/>
              <w:t>pallets</w:t>
            </w:r>
          </w:p>
        </w:tc>
        <w:tc>
          <w:tcPr>
            <w:tcW w:w="1161" w:type="dxa"/>
            <w:shd w:val="clear" w:color="auto" w:fill="B8CCE4" w:themeFill="accent1" w:themeFillTint="66"/>
            <w:vAlign w:val="center"/>
          </w:tcPr>
          <w:p w:rsidR="00074C05" w:rsidRPr="00074C05" w:rsidRDefault="00074C05" w:rsidP="00074C05">
            <w:pPr>
              <w:spacing w:line="276" w:lineRule="auto"/>
              <w:jc w:val="both"/>
              <w:rPr>
                <w:rFonts w:ascii="Times New Roman" w:eastAsia="Times New Roman" w:hAnsi="Times New Roman" w:cs="Times New Roman"/>
                <w:i/>
                <w:sz w:val="20"/>
                <w:szCs w:val="20"/>
                <w:lang w:eastAsia="en-GB"/>
              </w:rPr>
            </w:pPr>
            <w:r w:rsidRPr="00074C05">
              <w:rPr>
                <w:rFonts w:ascii="Times New Roman" w:eastAsia="Times New Roman" w:hAnsi="Times New Roman" w:cs="Times New Roman"/>
                <w:i/>
                <w:sz w:val="20"/>
                <w:szCs w:val="20"/>
                <w:lang w:eastAsia="en-GB"/>
              </w:rPr>
              <w:t>Per unit</w:t>
            </w:r>
          </w:p>
        </w:tc>
        <w:tc>
          <w:tcPr>
            <w:tcW w:w="1161" w:type="dxa"/>
            <w:shd w:val="clear" w:color="auto" w:fill="B8CCE4" w:themeFill="accent1" w:themeFillTint="66"/>
            <w:vAlign w:val="center"/>
          </w:tcPr>
          <w:p w:rsidR="00074C05" w:rsidRPr="00074C05" w:rsidRDefault="00074C05" w:rsidP="00074C05">
            <w:pPr>
              <w:spacing w:line="276" w:lineRule="auto"/>
              <w:jc w:val="both"/>
              <w:rPr>
                <w:rFonts w:ascii="Times New Roman" w:eastAsia="Times New Roman" w:hAnsi="Times New Roman" w:cs="Times New Roman"/>
                <w:i/>
                <w:sz w:val="20"/>
                <w:szCs w:val="20"/>
                <w:lang w:eastAsia="en-GB"/>
              </w:rPr>
            </w:pPr>
            <w:r w:rsidRPr="00074C05">
              <w:rPr>
                <w:rFonts w:ascii="Times New Roman" w:eastAsia="Times New Roman" w:hAnsi="Times New Roman" w:cs="Times New Roman"/>
                <w:i/>
                <w:sz w:val="20"/>
                <w:szCs w:val="20"/>
                <w:lang w:eastAsia="en-GB"/>
              </w:rPr>
              <w:t>Total</w:t>
            </w:r>
          </w:p>
        </w:tc>
        <w:tc>
          <w:tcPr>
            <w:tcW w:w="1053" w:type="dxa"/>
            <w:shd w:val="clear" w:color="auto" w:fill="B8CCE4" w:themeFill="accent1" w:themeFillTint="66"/>
            <w:vAlign w:val="center"/>
          </w:tcPr>
          <w:p w:rsidR="00074C05" w:rsidRPr="00074C05" w:rsidRDefault="00074C05" w:rsidP="00074C05">
            <w:pPr>
              <w:spacing w:line="276" w:lineRule="auto"/>
              <w:jc w:val="both"/>
              <w:rPr>
                <w:rFonts w:ascii="Times New Roman" w:eastAsia="Times New Roman" w:hAnsi="Times New Roman" w:cs="Times New Roman"/>
                <w:i/>
                <w:sz w:val="20"/>
                <w:szCs w:val="20"/>
                <w:lang w:eastAsia="en-GB"/>
              </w:rPr>
            </w:pPr>
            <w:r w:rsidRPr="00074C05">
              <w:rPr>
                <w:rFonts w:ascii="Times New Roman" w:eastAsia="Times New Roman" w:hAnsi="Times New Roman" w:cs="Times New Roman"/>
                <w:i/>
                <w:sz w:val="20"/>
                <w:szCs w:val="20"/>
                <w:lang w:eastAsia="en-GB"/>
              </w:rPr>
              <w:t>Per unit</w:t>
            </w:r>
          </w:p>
        </w:tc>
        <w:tc>
          <w:tcPr>
            <w:tcW w:w="1053" w:type="dxa"/>
            <w:shd w:val="clear" w:color="auto" w:fill="B8CCE4" w:themeFill="accent1" w:themeFillTint="66"/>
            <w:vAlign w:val="center"/>
          </w:tcPr>
          <w:p w:rsidR="00074C05" w:rsidRPr="00074C05" w:rsidRDefault="00074C05" w:rsidP="00074C05">
            <w:pPr>
              <w:spacing w:line="276" w:lineRule="auto"/>
              <w:jc w:val="both"/>
              <w:rPr>
                <w:rFonts w:ascii="Times New Roman" w:eastAsia="Times New Roman" w:hAnsi="Times New Roman" w:cs="Times New Roman"/>
                <w:i/>
                <w:sz w:val="20"/>
                <w:szCs w:val="20"/>
                <w:lang w:eastAsia="en-GB"/>
              </w:rPr>
            </w:pPr>
            <w:r w:rsidRPr="00074C05">
              <w:rPr>
                <w:rFonts w:ascii="Times New Roman" w:eastAsia="Times New Roman" w:hAnsi="Times New Roman" w:cs="Times New Roman"/>
                <w:i/>
                <w:sz w:val="20"/>
                <w:szCs w:val="20"/>
                <w:lang w:eastAsia="en-GB"/>
              </w:rPr>
              <w:t>Total</w:t>
            </w:r>
          </w:p>
        </w:tc>
      </w:tr>
      <w:tr w:rsidR="00074C05" w:rsidRPr="00074C05" w:rsidTr="00500D0D">
        <w:tc>
          <w:tcPr>
            <w:tcW w:w="2322" w:type="dxa"/>
            <w:shd w:val="clear" w:color="auto" w:fill="DDD9C3" w:themeFill="background2" w:themeFillShade="E6"/>
          </w:tcPr>
          <w:p w:rsidR="00074C05" w:rsidRPr="00074C05" w:rsidRDefault="00074C05" w:rsidP="00074C05">
            <w:pPr>
              <w:spacing w:line="276" w:lineRule="auto"/>
              <w:jc w:val="both"/>
              <w:rPr>
                <w:rFonts w:ascii="Times New Roman" w:eastAsia="Times New Roman" w:hAnsi="Times New Roman" w:cs="Times New Roman"/>
                <w:sz w:val="20"/>
                <w:szCs w:val="20"/>
                <w:lang w:eastAsia="en-GB"/>
              </w:rPr>
            </w:pPr>
            <w:r w:rsidRPr="00074C05">
              <w:rPr>
                <w:rFonts w:ascii="Times New Roman" w:eastAsia="Times New Roman" w:hAnsi="Times New Roman" w:cs="Times New Roman"/>
                <w:sz w:val="20"/>
                <w:szCs w:val="20"/>
                <w:lang w:eastAsia="en-GB"/>
              </w:rPr>
              <w:t>20 DC - Palletized</w:t>
            </w:r>
          </w:p>
        </w:tc>
        <w:tc>
          <w:tcPr>
            <w:tcW w:w="1161" w:type="dxa"/>
            <w:vAlign w:val="center"/>
          </w:tcPr>
          <w:p w:rsidR="00074C05" w:rsidRPr="00074C05" w:rsidRDefault="00BB03D6" w:rsidP="00074C05">
            <w:pPr>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sidR="00074C05" w:rsidRPr="00074C05">
              <w:rPr>
                <w:rFonts w:ascii="Times New Roman" w:hAnsi="Times New Roman" w:cs="Times New Roman"/>
                <w:color w:val="000000"/>
                <w:sz w:val="20"/>
                <w:szCs w:val="20"/>
              </w:rPr>
              <w:t>14</w:t>
            </w:r>
          </w:p>
        </w:tc>
        <w:tc>
          <w:tcPr>
            <w:tcW w:w="1161" w:type="dxa"/>
            <w:vMerge w:val="restart"/>
            <w:vAlign w:val="center"/>
          </w:tcPr>
          <w:p w:rsidR="00074C05" w:rsidRPr="00074C05" w:rsidRDefault="00BB03D6" w:rsidP="00074C05">
            <w:pPr>
              <w:shd w:val="clear" w:color="auto" w:fill="FFFFFF"/>
              <w:spacing w:line="276"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r w:rsidR="00074C05" w:rsidRPr="00074C05">
              <w:rPr>
                <w:rFonts w:ascii="Times New Roman" w:eastAsia="Times New Roman" w:hAnsi="Times New Roman" w:cs="Times New Roman"/>
                <w:sz w:val="20"/>
                <w:szCs w:val="20"/>
                <w:lang w:eastAsia="en-GB"/>
              </w:rPr>
              <w:t>300</w:t>
            </w:r>
          </w:p>
        </w:tc>
        <w:tc>
          <w:tcPr>
            <w:tcW w:w="1053" w:type="dxa"/>
            <w:vAlign w:val="center"/>
          </w:tcPr>
          <w:p w:rsidR="00074C05" w:rsidRPr="00074C05" w:rsidRDefault="00BB03D6" w:rsidP="00074C05">
            <w:pPr>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w:t>
            </w:r>
            <w:r w:rsidR="00074C05" w:rsidRPr="00074C05">
              <w:rPr>
                <w:rFonts w:ascii="Times New Roman" w:hAnsi="Times New Roman" w:cs="Times New Roman"/>
                <w:color w:val="000000"/>
                <w:sz w:val="20"/>
                <w:szCs w:val="20"/>
              </w:rPr>
              <w:t>14</w:t>
            </w:r>
          </w:p>
        </w:tc>
        <w:tc>
          <w:tcPr>
            <w:tcW w:w="1053" w:type="dxa"/>
            <w:vMerge w:val="restart"/>
            <w:vAlign w:val="center"/>
          </w:tcPr>
          <w:p w:rsidR="00074C05" w:rsidRPr="00074C05" w:rsidRDefault="00BB03D6" w:rsidP="00074C05">
            <w:pPr>
              <w:spacing w:line="276"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r w:rsidR="00074C05" w:rsidRPr="00074C05">
              <w:rPr>
                <w:rFonts w:ascii="Times New Roman" w:eastAsia="Times New Roman" w:hAnsi="Times New Roman" w:cs="Times New Roman"/>
                <w:sz w:val="20"/>
                <w:szCs w:val="20"/>
                <w:lang w:eastAsia="en-GB"/>
              </w:rPr>
              <w:t>450</w:t>
            </w:r>
          </w:p>
        </w:tc>
      </w:tr>
      <w:tr w:rsidR="00074C05" w:rsidRPr="00074C05" w:rsidTr="00500D0D">
        <w:tc>
          <w:tcPr>
            <w:tcW w:w="2322" w:type="dxa"/>
            <w:shd w:val="clear" w:color="auto" w:fill="DDD9C3" w:themeFill="background2" w:themeFillShade="E6"/>
          </w:tcPr>
          <w:p w:rsidR="00074C05" w:rsidRPr="00074C05" w:rsidRDefault="00074C05" w:rsidP="00074C05">
            <w:pPr>
              <w:spacing w:line="276" w:lineRule="auto"/>
              <w:jc w:val="both"/>
              <w:rPr>
                <w:rFonts w:ascii="Times New Roman" w:eastAsia="Times New Roman" w:hAnsi="Times New Roman" w:cs="Times New Roman"/>
                <w:sz w:val="20"/>
                <w:szCs w:val="20"/>
                <w:lang w:eastAsia="en-GB"/>
              </w:rPr>
            </w:pPr>
            <w:r w:rsidRPr="00074C05">
              <w:rPr>
                <w:rFonts w:ascii="Times New Roman" w:eastAsia="Times New Roman" w:hAnsi="Times New Roman" w:cs="Times New Roman"/>
                <w:sz w:val="20"/>
                <w:szCs w:val="20"/>
                <w:lang w:eastAsia="en-GB"/>
              </w:rPr>
              <w:t xml:space="preserve">              Non-palletized</w:t>
            </w:r>
          </w:p>
        </w:tc>
        <w:tc>
          <w:tcPr>
            <w:tcW w:w="1161" w:type="dxa"/>
            <w:vAlign w:val="center"/>
          </w:tcPr>
          <w:p w:rsidR="00074C05" w:rsidRPr="00074C05" w:rsidRDefault="00BB03D6" w:rsidP="00074C05">
            <w:pPr>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w:t>
            </w:r>
            <w:r w:rsidR="00074C05" w:rsidRPr="00074C05">
              <w:rPr>
                <w:rFonts w:ascii="Times New Roman" w:hAnsi="Times New Roman" w:cs="Times New Roman"/>
                <w:color w:val="000000"/>
                <w:sz w:val="20"/>
                <w:szCs w:val="20"/>
              </w:rPr>
              <w:t>92</w:t>
            </w:r>
          </w:p>
        </w:tc>
        <w:tc>
          <w:tcPr>
            <w:tcW w:w="1161" w:type="dxa"/>
            <w:vMerge/>
            <w:vAlign w:val="center"/>
          </w:tcPr>
          <w:p w:rsidR="00074C05" w:rsidRPr="00074C05" w:rsidRDefault="00074C05" w:rsidP="00074C05">
            <w:pPr>
              <w:shd w:val="clear" w:color="auto" w:fill="FFFFFF"/>
              <w:spacing w:line="276" w:lineRule="auto"/>
              <w:jc w:val="both"/>
              <w:rPr>
                <w:rFonts w:ascii="Times New Roman" w:eastAsia="Times New Roman" w:hAnsi="Times New Roman" w:cs="Times New Roman"/>
                <w:sz w:val="20"/>
                <w:szCs w:val="20"/>
                <w:lang w:eastAsia="en-GB"/>
              </w:rPr>
            </w:pPr>
          </w:p>
        </w:tc>
        <w:tc>
          <w:tcPr>
            <w:tcW w:w="1053" w:type="dxa"/>
            <w:vAlign w:val="center"/>
          </w:tcPr>
          <w:p w:rsidR="00074C05" w:rsidRPr="00074C05" w:rsidRDefault="00BB03D6" w:rsidP="00074C05">
            <w:pPr>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sidR="00074C05" w:rsidRPr="00074C05">
              <w:rPr>
                <w:rFonts w:ascii="Times New Roman" w:hAnsi="Times New Roman" w:cs="Times New Roman"/>
                <w:color w:val="000000"/>
                <w:sz w:val="20"/>
                <w:szCs w:val="20"/>
              </w:rPr>
              <w:t>73</w:t>
            </w:r>
          </w:p>
        </w:tc>
        <w:tc>
          <w:tcPr>
            <w:tcW w:w="1053" w:type="dxa"/>
            <w:vMerge/>
            <w:vAlign w:val="center"/>
          </w:tcPr>
          <w:p w:rsidR="00074C05" w:rsidRPr="00074C05" w:rsidRDefault="00074C05" w:rsidP="00074C05">
            <w:pPr>
              <w:spacing w:line="276" w:lineRule="auto"/>
              <w:jc w:val="both"/>
              <w:rPr>
                <w:rFonts w:ascii="Times New Roman" w:eastAsia="Times New Roman" w:hAnsi="Times New Roman" w:cs="Times New Roman"/>
                <w:sz w:val="20"/>
                <w:szCs w:val="20"/>
                <w:lang w:eastAsia="en-GB"/>
              </w:rPr>
            </w:pPr>
          </w:p>
        </w:tc>
      </w:tr>
      <w:tr w:rsidR="00074C05" w:rsidRPr="00074C05" w:rsidTr="00500D0D">
        <w:tc>
          <w:tcPr>
            <w:tcW w:w="2322" w:type="dxa"/>
            <w:shd w:val="clear" w:color="auto" w:fill="DDD9C3" w:themeFill="background2" w:themeFillShade="E6"/>
          </w:tcPr>
          <w:p w:rsidR="00074C05" w:rsidRPr="00074C05" w:rsidRDefault="00074C05" w:rsidP="00074C05">
            <w:pPr>
              <w:spacing w:line="276" w:lineRule="auto"/>
              <w:jc w:val="both"/>
              <w:rPr>
                <w:rFonts w:ascii="Times New Roman" w:eastAsia="Times New Roman" w:hAnsi="Times New Roman" w:cs="Times New Roman"/>
                <w:sz w:val="20"/>
                <w:szCs w:val="20"/>
                <w:lang w:eastAsia="en-GB"/>
              </w:rPr>
            </w:pPr>
            <w:r w:rsidRPr="00074C05">
              <w:rPr>
                <w:rFonts w:ascii="Times New Roman" w:eastAsia="Times New Roman" w:hAnsi="Times New Roman" w:cs="Times New Roman"/>
                <w:sz w:val="20"/>
                <w:szCs w:val="20"/>
                <w:lang w:eastAsia="en-GB"/>
              </w:rPr>
              <w:t>40 DC - Palletized</w:t>
            </w:r>
          </w:p>
        </w:tc>
        <w:tc>
          <w:tcPr>
            <w:tcW w:w="1161" w:type="dxa"/>
            <w:vAlign w:val="center"/>
          </w:tcPr>
          <w:p w:rsidR="00074C05" w:rsidRPr="00074C05" w:rsidRDefault="00BB03D6" w:rsidP="00074C05">
            <w:pPr>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w:t>
            </w:r>
            <w:r w:rsidR="00074C05" w:rsidRPr="00074C05">
              <w:rPr>
                <w:rFonts w:ascii="Times New Roman" w:hAnsi="Times New Roman" w:cs="Times New Roman"/>
                <w:color w:val="000000"/>
                <w:sz w:val="20"/>
                <w:szCs w:val="20"/>
              </w:rPr>
              <w:t>92</w:t>
            </w:r>
          </w:p>
        </w:tc>
        <w:tc>
          <w:tcPr>
            <w:tcW w:w="1161" w:type="dxa"/>
            <w:vMerge w:val="restart"/>
            <w:vAlign w:val="center"/>
          </w:tcPr>
          <w:p w:rsidR="00074C05" w:rsidRPr="00074C05" w:rsidRDefault="00BB03D6" w:rsidP="00074C05">
            <w:pPr>
              <w:shd w:val="clear" w:color="auto" w:fill="FFFFFF"/>
              <w:spacing w:line="276"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r w:rsidR="00074C05" w:rsidRPr="00074C05">
              <w:rPr>
                <w:rFonts w:ascii="Times New Roman" w:eastAsia="Times New Roman" w:hAnsi="Times New Roman" w:cs="Times New Roman"/>
                <w:sz w:val="20"/>
                <w:szCs w:val="20"/>
                <w:lang w:eastAsia="en-GB"/>
              </w:rPr>
              <w:t>200</w:t>
            </w:r>
          </w:p>
        </w:tc>
        <w:tc>
          <w:tcPr>
            <w:tcW w:w="1053" w:type="dxa"/>
            <w:vAlign w:val="center"/>
          </w:tcPr>
          <w:p w:rsidR="00074C05" w:rsidRPr="00074C05" w:rsidRDefault="00BB03D6" w:rsidP="00074C05">
            <w:pPr>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sidR="00074C05" w:rsidRPr="00074C05">
              <w:rPr>
                <w:rFonts w:ascii="Times New Roman" w:hAnsi="Times New Roman" w:cs="Times New Roman"/>
                <w:color w:val="000000"/>
                <w:sz w:val="20"/>
                <w:szCs w:val="20"/>
              </w:rPr>
              <w:t>30</w:t>
            </w:r>
          </w:p>
        </w:tc>
        <w:tc>
          <w:tcPr>
            <w:tcW w:w="1053" w:type="dxa"/>
            <w:vMerge w:val="restart"/>
            <w:vAlign w:val="center"/>
          </w:tcPr>
          <w:p w:rsidR="00074C05" w:rsidRPr="00074C05" w:rsidRDefault="00BB03D6" w:rsidP="00074C05">
            <w:pPr>
              <w:spacing w:line="276"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$3,</w:t>
            </w:r>
            <w:r w:rsidR="00074C05" w:rsidRPr="00074C05">
              <w:rPr>
                <w:rFonts w:ascii="Times New Roman" w:eastAsia="Times New Roman" w:hAnsi="Times New Roman" w:cs="Times New Roman"/>
                <w:sz w:val="20"/>
                <w:szCs w:val="20"/>
                <w:lang w:eastAsia="en-GB"/>
              </w:rPr>
              <w:t>100</w:t>
            </w:r>
          </w:p>
        </w:tc>
      </w:tr>
      <w:tr w:rsidR="00074C05" w:rsidRPr="00074C05" w:rsidTr="00500D0D">
        <w:tc>
          <w:tcPr>
            <w:tcW w:w="2322" w:type="dxa"/>
            <w:shd w:val="clear" w:color="auto" w:fill="DDD9C3" w:themeFill="background2" w:themeFillShade="E6"/>
          </w:tcPr>
          <w:p w:rsidR="00074C05" w:rsidRPr="00074C05" w:rsidRDefault="00074C05" w:rsidP="00074C05">
            <w:pPr>
              <w:spacing w:line="276" w:lineRule="auto"/>
              <w:jc w:val="both"/>
              <w:rPr>
                <w:rFonts w:ascii="Times New Roman" w:eastAsia="Times New Roman" w:hAnsi="Times New Roman" w:cs="Times New Roman"/>
                <w:sz w:val="20"/>
                <w:szCs w:val="20"/>
                <w:lang w:eastAsia="en-GB"/>
              </w:rPr>
            </w:pPr>
            <w:r w:rsidRPr="00074C05">
              <w:rPr>
                <w:rFonts w:ascii="Times New Roman" w:eastAsia="Times New Roman" w:hAnsi="Times New Roman" w:cs="Times New Roman"/>
                <w:sz w:val="20"/>
                <w:szCs w:val="20"/>
                <w:lang w:eastAsia="en-GB"/>
              </w:rPr>
              <w:t xml:space="preserve">              Non-palletized</w:t>
            </w:r>
          </w:p>
        </w:tc>
        <w:tc>
          <w:tcPr>
            <w:tcW w:w="1161" w:type="dxa"/>
            <w:vAlign w:val="center"/>
          </w:tcPr>
          <w:p w:rsidR="00074C05" w:rsidRPr="00074C05" w:rsidRDefault="00BB03D6" w:rsidP="00074C05">
            <w:pPr>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w:t>
            </w:r>
            <w:r w:rsidR="00074C05" w:rsidRPr="00074C05">
              <w:rPr>
                <w:rFonts w:ascii="Times New Roman" w:hAnsi="Times New Roman" w:cs="Times New Roman"/>
                <w:color w:val="000000"/>
                <w:sz w:val="20"/>
                <w:szCs w:val="20"/>
              </w:rPr>
              <w:t>79</w:t>
            </w:r>
          </w:p>
        </w:tc>
        <w:tc>
          <w:tcPr>
            <w:tcW w:w="1161" w:type="dxa"/>
            <w:vMerge/>
          </w:tcPr>
          <w:p w:rsidR="00074C05" w:rsidRPr="00074C05" w:rsidRDefault="00074C05" w:rsidP="00074C05">
            <w:pPr>
              <w:spacing w:line="276" w:lineRule="auto"/>
              <w:jc w:val="both"/>
              <w:rPr>
                <w:rFonts w:ascii="Times New Roman" w:eastAsia="Times New Roman" w:hAnsi="Times New Roman" w:cs="Times New Roman"/>
                <w:sz w:val="20"/>
                <w:szCs w:val="20"/>
                <w:lang w:eastAsia="en-GB"/>
              </w:rPr>
            </w:pPr>
          </w:p>
        </w:tc>
        <w:tc>
          <w:tcPr>
            <w:tcW w:w="1053" w:type="dxa"/>
            <w:vAlign w:val="center"/>
          </w:tcPr>
          <w:p w:rsidR="00074C05" w:rsidRPr="00074C05" w:rsidRDefault="00BB03D6" w:rsidP="00074C05">
            <w:pPr>
              <w:spacing w:line="276"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sidR="00074C05" w:rsidRPr="00074C05">
              <w:rPr>
                <w:rFonts w:ascii="Times New Roman" w:hAnsi="Times New Roman" w:cs="Times New Roman"/>
                <w:color w:val="000000"/>
                <w:sz w:val="20"/>
                <w:szCs w:val="20"/>
              </w:rPr>
              <w:t>11</w:t>
            </w:r>
          </w:p>
        </w:tc>
        <w:tc>
          <w:tcPr>
            <w:tcW w:w="1053" w:type="dxa"/>
            <w:vMerge/>
          </w:tcPr>
          <w:p w:rsidR="00074C05" w:rsidRPr="00074C05" w:rsidRDefault="00074C05" w:rsidP="00074C05">
            <w:pPr>
              <w:spacing w:line="276" w:lineRule="auto"/>
              <w:jc w:val="both"/>
              <w:rPr>
                <w:rFonts w:ascii="Times New Roman" w:eastAsia="Times New Roman" w:hAnsi="Times New Roman" w:cs="Times New Roman"/>
                <w:sz w:val="20"/>
                <w:szCs w:val="20"/>
                <w:lang w:eastAsia="en-GB"/>
              </w:rPr>
            </w:pPr>
          </w:p>
        </w:tc>
      </w:tr>
    </w:tbl>
    <w:p w:rsidR="00074C05" w:rsidRPr="001D396E" w:rsidRDefault="00074C05" w:rsidP="00074C05">
      <w:pPr>
        <w:spacing w:line="360" w:lineRule="auto"/>
        <w:jc w:val="both"/>
        <w:rPr>
          <w:rFonts w:ascii="Times New Roman" w:hAnsi="Times New Roman" w:cs="Times New Roman"/>
          <w:sz w:val="16"/>
          <w:szCs w:val="16"/>
        </w:rPr>
      </w:pPr>
      <w:r w:rsidRPr="001D396E">
        <w:rPr>
          <w:rFonts w:ascii="Times New Roman" w:hAnsi="Times New Roman" w:cs="Times New Roman"/>
          <w:b/>
          <w:sz w:val="16"/>
          <w:szCs w:val="16"/>
        </w:rPr>
        <w:t>Table 5 – Economic transport data Local Sourcing (Source: UNHCR)</w:t>
      </w:r>
    </w:p>
    <w:p w:rsidR="00500D0D" w:rsidRPr="00074C05" w:rsidRDefault="00500D0D" w:rsidP="00074C05">
      <w:pPr>
        <w:spacing w:line="360" w:lineRule="auto"/>
        <w:jc w:val="both"/>
        <w:rPr>
          <w:rFonts w:ascii="Times New Roman" w:hAnsi="Times New Roman" w:cs="Times New Roman"/>
          <w:sz w:val="20"/>
          <w:szCs w:val="20"/>
        </w:rPr>
      </w:pPr>
    </w:p>
    <w:sectPr w:rsidR="00500D0D" w:rsidRPr="00074C05">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7CF" w:rsidRDefault="002947CF" w:rsidP="00074C05">
      <w:pPr>
        <w:spacing w:after="0" w:line="240" w:lineRule="auto"/>
      </w:pPr>
      <w:r>
        <w:separator/>
      </w:r>
    </w:p>
  </w:endnote>
  <w:endnote w:type="continuationSeparator" w:id="0">
    <w:p w:rsidR="002947CF" w:rsidRDefault="002947CF" w:rsidP="00074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17591"/>
      <w:docPartObj>
        <w:docPartGallery w:val="Page Numbers (Bottom of Page)"/>
        <w:docPartUnique/>
      </w:docPartObj>
    </w:sdtPr>
    <w:sdtEndPr>
      <w:rPr>
        <w:rFonts w:ascii="Times New Roman" w:hAnsi="Times New Roman" w:cs="Times New Roman"/>
        <w:sz w:val="20"/>
        <w:szCs w:val="20"/>
      </w:rPr>
    </w:sdtEndPr>
    <w:sdtContent>
      <w:p w:rsidR="003F4728" w:rsidRPr="00500D0D" w:rsidRDefault="003F4728">
        <w:pPr>
          <w:pStyle w:val="Fuzeile"/>
          <w:rPr>
            <w:rFonts w:ascii="Times New Roman" w:hAnsi="Times New Roman" w:cs="Times New Roman"/>
            <w:sz w:val="20"/>
            <w:szCs w:val="20"/>
          </w:rPr>
        </w:pPr>
        <w:r w:rsidRPr="00500D0D">
          <w:rPr>
            <w:rFonts w:ascii="Times New Roman" w:hAnsi="Times New Roman" w:cs="Times New Roman"/>
            <w:sz w:val="20"/>
            <w:szCs w:val="20"/>
          </w:rPr>
          <w:fldChar w:fldCharType="begin"/>
        </w:r>
        <w:r w:rsidRPr="00500D0D">
          <w:rPr>
            <w:rFonts w:ascii="Times New Roman" w:hAnsi="Times New Roman" w:cs="Times New Roman"/>
            <w:sz w:val="20"/>
            <w:szCs w:val="20"/>
          </w:rPr>
          <w:instrText>PAGE   \* MERGEFORMAT</w:instrText>
        </w:r>
        <w:r w:rsidRPr="00500D0D">
          <w:rPr>
            <w:rFonts w:ascii="Times New Roman" w:hAnsi="Times New Roman" w:cs="Times New Roman"/>
            <w:sz w:val="20"/>
            <w:szCs w:val="20"/>
          </w:rPr>
          <w:fldChar w:fldCharType="separate"/>
        </w:r>
        <w:r w:rsidR="009A23B7" w:rsidRPr="009A23B7">
          <w:rPr>
            <w:rFonts w:ascii="Times New Roman" w:hAnsi="Times New Roman" w:cs="Times New Roman"/>
            <w:noProof/>
            <w:sz w:val="20"/>
            <w:szCs w:val="20"/>
            <w:lang w:val="nl-NL"/>
          </w:rPr>
          <w:t>12</w:t>
        </w:r>
        <w:r w:rsidRPr="00500D0D">
          <w:rPr>
            <w:rFonts w:ascii="Times New Roman" w:hAnsi="Times New Roman" w:cs="Times New Roman"/>
            <w:sz w:val="20"/>
            <w:szCs w:val="20"/>
          </w:rPr>
          <w:fldChar w:fldCharType="end"/>
        </w:r>
      </w:p>
    </w:sdtContent>
  </w:sdt>
  <w:p w:rsidR="003F4728" w:rsidRDefault="003F472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7CF" w:rsidRDefault="002947CF" w:rsidP="00074C05">
      <w:pPr>
        <w:spacing w:after="0" w:line="240" w:lineRule="auto"/>
      </w:pPr>
      <w:r>
        <w:separator/>
      </w:r>
    </w:p>
  </w:footnote>
  <w:footnote w:type="continuationSeparator" w:id="0">
    <w:p w:rsidR="002947CF" w:rsidRDefault="002947CF" w:rsidP="00074C05">
      <w:pPr>
        <w:spacing w:after="0" w:line="240" w:lineRule="auto"/>
      </w:pPr>
      <w:r>
        <w:continuationSeparator/>
      </w:r>
    </w:p>
  </w:footnote>
  <w:footnote w:id="1">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ILO (2015) http://www.ilo.org/dyn/normlex/en/f?p=1000:11200:0::NO:11200:P11200_COUNTRY_ID:103315</w:t>
      </w:r>
    </w:p>
  </w:footnote>
  <w:footnote w:id="2">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http://www.africapay.org/kenya/home/labour-laws/employment-security/collective-bargaining-agreements</w:t>
      </w:r>
    </w:p>
  </w:footnote>
  <w:footnote w:id="3">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http://www.commonwealthofnations.org/sectors-kenya/civil_society/trade_unions/</w:t>
      </w:r>
    </w:p>
  </w:footnote>
  <w:footnote w:id="4">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http://www.mywage.org/kenya/home/labour-laws/collective-agreements-database</w:t>
      </w:r>
    </w:p>
  </w:footnote>
  <w:footnote w:id="5">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ILO (2015)</w:t>
      </w:r>
    </w:p>
  </w:footnote>
  <w:footnote w:id="6">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http://www.africapay.org/kenya/home/labour-laws/fair-treatment-at-work/children-at-work</w:t>
      </w:r>
    </w:p>
  </w:footnote>
  <w:footnote w:id="7">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http://www.dol.gov/ilab/reports/child-labor/findings/2014TDA/kenya.pdf</w:t>
      </w:r>
    </w:p>
  </w:footnote>
  <w:footnote w:id="8">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ILO (2015) </w:t>
      </w:r>
    </w:p>
  </w:footnote>
  <w:footnote w:id="9">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http://www.refworld.org/cgi-bin/texis/vtx/rwmain?page=topic&amp;docid=559bd55d12&amp;skip=0&amp;tocid=50ffbce582&amp;toid=50ffbce5b2&amp;querysi=kenya&amp;searchin=title&amp;sort=date</w:t>
      </w:r>
    </w:p>
  </w:footnote>
  <w:footnote w:id="10">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http://www.africapay.org/kenya/home/labour-laws/work-and-wages</w:t>
      </w:r>
    </w:p>
  </w:footnote>
  <w:footnote w:id="11">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http://www.africapay.org/kenya/home/salary/cost-of-living-survey/global-living-wage-map</w:t>
      </w:r>
    </w:p>
  </w:footnote>
  <w:footnote w:id="12">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http://www.africapay.org/kenya/home/labour-laws/work-time-holiday</w:t>
      </w:r>
    </w:p>
  </w:footnote>
  <w:footnote w:id="13">
    <w:p w:rsidR="003F4728" w:rsidRPr="00D74123" w:rsidRDefault="003F4728" w:rsidP="00074C05">
      <w:pPr>
        <w:pStyle w:val="Funotentext"/>
        <w:rPr>
          <w:rFonts w:ascii="Times New Roman" w:hAnsi="Times New Roman" w:cs="Times New Roman"/>
          <w:lang w:val="fr-FR"/>
        </w:rPr>
      </w:pPr>
      <w:r w:rsidRPr="00D74123">
        <w:rPr>
          <w:rStyle w:val="Funotenzeichen"/>
          <w:rFonts w:ascii="Times New Roman" w:hAnsi="Times New Roman" w:cs="Times New Roman"/>
        </w:rPr>
        <w:footnoteRef/>
      </w:r>
      <w:r w:rsidRPr="00D74123">
        <w:rPr>
          <w:rFonts w:ascii="Times New Roman" w:hAnsi="Times New Roman" w:cs="Times New Roman"/>
          <w:lang w:val="fr-FR"/>
        </w:rPr>
        <w:t xml:space="preserve"> http://www.africapay.org/kenya/home/labour-laws/compensation</w:t>
      </w:r>
    </w:p>
  </w:footnote>
  <w:footnote w:id="14">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Labour market profile Kenya (2014) http://www.ulandssekretariatet.dk/sites/default/files/uploads/public/PDF/LMP/lmp_kenya_2014_final_version.pdf</w:t>
      </w:r>
    </w:p>
  </w:footnote>
  <w:footnote w:id="15">
    <w:p w:rsidR="003F4728" w:rsidRPr="00D20450" w:rsidRDefault="003F4728" w:rsidP="00074C05">
      <w:pPr>
        <w:pStyle w:val="Funotentext"/>
        <w:rPr>
          <w:rFonts w:ascii="Times New Roman" w:hAnsi="Times New Roman" w:cs="Times New Roman"/>
          <w:lang w:val="nl-NL"/>
        </w:rPr>
      </w:pPr>
      <w:r w:rsidRPr="00D74123">
        <w:rPr>
          <w:rStyle w:val="Funotenzeichen"/>
          <w:rFonts w:ascii="Times New Roman" w:hAnsi="Times New Roman" w:cs="Times New Roman"/>
        </w:rPr>
        <w:footnoteRef/>
      </w:r>
      <w:r w:rsidRPr="00D20450">
        <w:rPr>
          <w:rFonts w:ascii="Times New Roman" w:hAnsi="Times New Roman" w:cs="Times New Roman"/>
          <w:lang w:val="nl-NL"/>
        </w:rPr>
        <w:t xml:space="preserve"> Genderindex (2014) http://www.genderindex.org/ranking?order=field_sigi_value14_value&amp;sort=asc</w:t>
      </w:r>
    </w:p>
  </w:footnote>
  <w:footnote w:id="16">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WHO (2015) http://www.who.int/countries/ken/en/ </w:t>
      </w:r>
    </w:p>
  </w:footnote>
  <w:footnote w:id="17">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http://www.industrialization.go.ke/index.php/vision-2030-manufacturing-sector/137-development-of-iron-and-steel-industry</w:t>
      </w:r>
    </w:p>
  </w:footnote>
  <w:footnote w:id="18">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Unicef (2015) http://www.unicef.org/infobycountry/kenya_statistics.html</w:t>
      </w:r>
    </w:p>
  </w:footnote>
  <w:footnote w:id="19">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http://www.eac.int/infrastructure/</w:t>
      </w:r>
    </w:p>
  </w:footnote>
  <w:footnote w:id="20">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http://www.worldbank.org/en/news/press-release/2014/11/29/world-bank-group-to-provide-12-billion-to-improve-infrastructure-and-competitiveness-of-east-african-community</w:t>
      </w:r>
    </w:p>
  </w:footnote>
  <w:footnote w:id="21">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William (n.d.) The role of ISO standards in Kenya’s economy, retrieved from: http://www.iso.org/iso/</w:t>
      </w:r>
      <w:r w:rsidRPr="00D74123">
        <w:rPr>
          <w:rFonts w:ascii="Times New Roman" w:hAnsi="Times New Roman" w:cs="Times New Roman"/>
        </w:rPr>
        <w:br/>
        <w:t>iso_essay_contest-2012.pdf</w:t>
      </w:r>
    </w:p>
  </w:footnote>
  <w:footnote w:id="22">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http://www.transconflict.com/gcct/gcct-members/africa/eastern-africa/kenya/conflict-in-kenya/</w:t>
      </w:r>
    </w:p>
  </w:footnote>
  <w:footnote w:id="23">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Freedomhouse (2015) https://freedomhouse.org/report/freedom-press/2015/kenya</w:t>
      </w:r>
    </w:p>
  </w:footnote>
  <w:footnote w:id="24">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http://www.ungei.org/infobycountry/kenya_206.html</w:t>
      </w:r>
    </w:p>
  </w:footnote>
  <w:footnote w:id="25">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http://www.international.gc.ca/development-developpement/stories-histoires/kenya/feed_school_children-nourrir_ecoliers.aspx?lang=eng</w:t>
      </w:r>
    </w:p>
  </w:footnote>
  <w:footnote w:id="26">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http://www.iom.int/countries/kenya/facts-and-figures</w:t>
      </w:r>
    </w:p>
  </w:footnote>
  <w:footnote w:id="27">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http://www.eac.int/~eacint/migration/index.php?option=com_content&amp;view=article&amp;id=145&amp;Itemid=107</w:t>
      </w:r>
    </w:p>
  </w:footnote>
  <w:footnote w:id="28">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http://www.fmreview.org/crisis/kiama-koome</w:t>
      </w:r>
    </w:p>
  </w:footnote>
  <w:footnote w:id="29">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http://www.museums.or.ke/component/option,com_frontpage/Itemid,1/ &amp; http://www.maasai-association.org/mcc/mission.html</w:t>
      </w:r>
    </w:p>
  </w:footnote>
  <w:footnote w:id="30">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http://www.un.org/apps/news/story.asp?NewsID=46914#.VlM9ELcvfIU</w:t>
      </w:r>
    </w:p>
  </w:footnote>
  <w:footnote w:id="31">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http://apps.who.int/iris/bitstream/10665/170250/1/9789240694439_eng.pdf?ua=1&amp;ua=1</w:t>
      </w:r>
    </w:p>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http://www.tbcindia.nic.in/key.html</w:t>
      </w:r>
    </w:p>
  </w:footnote>
  <w:footnote w:id="32">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Google Public Data (2011) http://www.google.com/publicdata/explore?ds=d5bncppjof8f9_&amp;ctype=l&amp;strail=false&amp;nselm=h&amp;met_y=en_atm_co2e_pc&amp;hl=en&amp;dl=en#!ctype=l&amp;strail=false&amp;bcs=d&amp;nselm=h&amp;met_y=en_atm_co2e_pc&amp;scale_y=lin&amp;ind_y=false&amp;rdim=region&amp;idim=region:SSF&amp;idim=country:KEN&amp;ifdim=region&amp;tstart=-287283600000&amp;tend=1322089200000&amp;hl=en_US&amp;dl=en&amp;ind=false</w:t>
      </w:r>
    </w:p>
  </w:footnote>
  <w:footnote w:id="33">
    <w:p w:rsidR="003F4728" w:rsidRPr="00D74123" w:rsidRDefault="003F4728" w:rsidP="00074C05">
      <w:pPr>
        <w:pStyle w:val="Funotentext"/>
        <w:rPr>
          <w:rFonts w:ascii="Times New Roman" w:hAnsi="Times New Roman" w:cs="Times New Roman"/>
        </w:rPr>
      </w:pPr>
      <w:r w:rsidRPr="00D74123">
        <w:rPr>
          <w:rStyle w:val="Funotenzeichen"/>
          <w:rFonts w:ascii="Times New Roman" w:hAnsi="Times New Roman" w:cs="Times New Roman"/>
        </w:rPr>
        <w:footnoteRef/>
      </w:r>
      <w:r w:rsidRPr="00D74123">
        <w:rPr>
          <w:rFonts w:ascii="Times New Roman" w:hAnsi="Times New Roman" w:cs="Times New Roman"/>
        </w:rPr>
        <w:t xml:space="preserve"> http://ilo.org/ilostat/faces/home/statisticaldata/ContryProfileId;jsessionid=op85pEBmiNOEJG1Hu_</w:t>
      </w:r>
      <w:r w:rsidRPr="00D74123">
        <w:rPr>
          <w:rFonts w:ascii="Times New Roman" w:hAnsi="Times New Roman" w:cs="Times New Roman"/>
        </w:rPr>
        <w:br/>
        <w:t>J2Fb2eowL5DHeo5VJLEkk3ou4gqX0_9T_Q!1546527395?_afrLoop=106878187021587&amp;_adf.ctrl-state=ndxftil0r_19#%40%3F_afrLoop%3D106878187021587%26_adf.ctrl-state%3D1cnf1owgcn_4</w:t>
      </w:r>
    </w:p>
  </w:footnote>
  <w:footnote w:id="34">
    <w:p w:rsidR="003F4728" w:rsidRPr="000576EC" w:rsidRDefault="003F4728" w:rsidP="00074C05">
      <w:pPr>
        <w:pStyle w:val="Funotentext"/>
      </w:pPr>
    </w:p>
  </w:footnote>
  <w:footnote w:id="35">
    <w:p w:rsidR="003F4728" w:rsidRPr="00D74123" w:rsidRDefault="003F4728" w:rsidP="00074C05">
      <w:pPr>
        <w:pStyle w:val="Funotentext"/>
        <w:rPr>
          <w:rFonts w:ascii="Times New Roman" w:hAnsi="Times New Roman" w:cs="Times New Roman"/>
          <w:lang w:val="nl-NL"/>
        </w:rPr>
      </w:pPr>
      <w:r w:rsidRPr="00D74123">
        <w:rPr>
          <w:rStyle w:val="Funotenzeichen"/>
          <w:rFonts w:ascii="Times New Roman" w:hAnsi="Times New Roman" w:cs="Times New Roman"/>
        </w:rPr>
        <w:footnoteRef/>
      </w:r>
      <w:r w:rsidRPr="00D74123">
        <w:rPr>
          <w:rFonts w:ascii="Times New Roman" w:hAnsi="Times New Roman" w:cs="Times New Roman"/>
          <w:lang w:val="nl-NL"/>
        </w:rPr>
        <w:t xml:space="preserve"> UNEP (n.d.)  http://www.unep.org/delc/Portals/119/publications/enforcement-environmental-laws.pdf</w:t>
      </w:r>
    </w:p>
  </w:footnote>
  <w:footnote w:id="36">
    <w:p w:rsidR="003F4728" w:rsidRPr="00D74123" w:rsidRDefault="003F4728" w:rsidP="00074C05">
      <w:pPr>
        <w:pStyle w:val="Funotentext"/>
        <w:rPr>
          <w:rFonts w:ascii="Times New Roman" w:hAnsi="Times New Roman" w:cs="Times New Roman"/>
          <w:lang w:val="nl-NL"/>
        </w:rPr>
      </w:pPr>
      <w:r w:rsidRPr="00D74123">
        <w:rPr>
          <w:rStyle w:val="Funotenzeichen"/>
          <w:rFonts w:ascii="Times New Roman" w:hAnsi="Times New Roman" w:cs="Times New Roman"/>
        </w:rPr>
        <w:footnoteRef/>
      </w:r>
      <w:r w:rsidRPr="00D74123">
        <w:rPr>
          <w:rFonts w:ascii="Times New Roman" w:hAnsi="Times New Roman" w:cs="Times New Roman"/>
          <w:lang w:val="nl-NL"/>
        </w:rPr>
        <w:t xml:space="preserve"> http://www.forbes.com/places/kenya/</w:t>
      </w:r>
    </w:p>
  </w:footnote>
  <w:footnote w:id="37">
    <w:p w:rsidR="003F4728" w:rsidRPr="008B7839" w:rsidRDefault="003F4728" w:rsidP="00074C05">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UNEP/SETAC (2009) retrieved 11-05-2015 from http://www.unep.org/pdf/DTIE_PDFS/DTIx1164x PA-guidelines_sLCA.pdf</w:t>
      </w:r>
    </w:p>
  </w:footnote>
  <w:footnote w:id="38">
    <w:p w:rsidR="003F4728" w:rsidRPr="005976FC" w:rsidRDefault="003F4728" w:rsidP="00074C05">
      <w:pPr>
        <w:pStyle w:val="Funotentext"/>
        <w:rPr>
          <w:rFonts w:ascii="Times New Roman" w:hAnsi="Times New Roman" w:cs="Times New Roman"/>
        </w:rPr>
      </w:pPr>
      <w:r w:rsidRPr="005976FC">
        <w:rPr>
          <w:rStyle w:val="Funotenzeichen"/>
          <w:rFonts w:ascii="Times New Roman" w:hAnsi="Times New Roman" w:cs="Times New Roman"/>
        </w:rPr>
        <w:footnoteRef/>
      </w:r>
      <w:r w:rsidRPr="005976FC">
        <w:rPr>
          <w:rFonts w:ascii="Times New Roman" w:hAnsi="Times New Roman" w:cs="Times New Roman"/>
        </w:rPr>
        <w:t xml:space="preserve"> According to method Ciroth and Franze (2011).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728" w:rsidRDefault="003F4728">
    <w:pPr>
      <w:pStyle w:val="Kopfzeile"/>
    </w:pPr>
  </w:p>
  <w:p w:rsidR="003F4728" w:rsidRDefault="003F472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05"/>
    <w:rsid w:val="00034492"/>
    <w:rsid w:val="000366F6"/>
    <w:rsid w:val="00074C05"/>
    <w:rsid w:val="000A0D31"/>
    <w:rsid w:val="001644EA"/>
    <w:rsid w:val="001D396E"/>
    <w:rsid w:val="002947CF"/>
    <w:rsid w:val="002B0E0D"/>
    <w:rsid w:val="002D655E"/>
    <w:rsid w:val="00305F89"/>
    <w:rsid w:val="003072A4"/>
    <w:rsid w:val="003F4728"/>
    <w:rsid w:val="00434792"/>
    <w:rsid w:val="00473E50"/>
    <w:rsid w:val="004E010E"/>
    <w:rsid w:val="00500D0D"/>
    <w:rsid w:val="005713EE"/>
    <w:rsid w:val="005E7ED1"/>
    <w:rsid w:val="00650B55"/>
    <w:rsid w:val="0067507A"/>
    <w:rsid w:val="00675453"/>
    <w:rsid w:val="006A096D"/>
    <w:rsid w:val="006F1FDD"/>
    <w:rsid w:val="00712EB5"/>
    <w:rsid w:val="00762F80"/>
    <w:rsid w:val="007A4C44"/>
    <w:rsid w:val="007F6B39"/>
    <w:rsid w:val="00834F9E"/>
    <w:rsid w:val="008920DE"/>
    <w:rsid w:val="009A23B7"/>
    <w:rsid w:val="00B24B32"/>
    <w:rsid w:val="00BB03D6"/>
    <w:rsid w:val="00BB5B49"/>
    <w:rsid w:val="00C2517C"/>
    <w:rsid w:val="00C54510"/>
    <w:rsid w:val="00C8314F"/>
    <w:rsid w:val="00D10CFF"/>
    <w:rsid w:val="00D20450"/>
    <w:rsid w:val="00D4149B"/>
    <w:rsid w:val="00D734CF"/>
    <w:rsid w:val="00D9411E"/>
    <w:rsid w:val="00DD2BC0"/>
    <w:rsid w:val="00ED004F"/>
    <w:rsid w:val="00EE5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074C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74C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4C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4C05"/>
  </w:style>
  <w:style w:type="paragraph" w:styleId="Fuzeile">
    <w:name w:val="footer"/>
    <w:basedOn w:val="Standard"/>
    <w:link w:val="FuzeileZchn"/>
    <w:uiPriority w:val="99"/>
    <w:unhideWhenUsed/>
    <w:rsid w:val="00074C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4C05"/>
  </w:style>
  <w:style w:type="paragraph" w:styleId="Sprechblasentext">
    <w:name w:val="Balloon Text"/>
    <w:basedOn w:val="Standard"/>
    <w:link w:val="SprechblasentextZchn"/>
    <w:uiPriority w:val="99"/>
    <w:semiHidden/>
    <w:unhideWhenUsed/>
    <w:rsid w:val="00074C0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4C05"/>
    <w:rPr>
      <w:rFonts w:ascii="Tahoma" w:hAnsi="Tahoma" w:cs="Tahoma"/>
      <w:sz w:val="16"/>
      <w:szCs w:val="16"/>
    </w:rPr>
  </w:style>
  <w:style w:type="character" w:customStyle="1" w:styleId="berschrift1Zchn">
    <w:name w:val="Überschrift 1 Zchn"/>
    <w:basedOn w:val="Absatz-Standardschriftart"/>
    <w:link w:val="berschrift1"/>
    <w:uiPriority w:val="9"/>
    <w:rsid w:val="00074C05"/>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74C05"/>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rsid w:val="00074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074C0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74C05"/>
    <w:rPr>
      <w:sz w:val="20"/>
      <w:szCs w:val="20"/>
    </w:rPr>
  </w:style>
  <w:style w:type="character" w:styleId="Funotenzeichen">
    <w:name w:val="footnote reference"/>
    <w:basedOn w:val="Absatz-Standardschriftart"/>
    <w:uiPriority w:val="99"/>
    <w:semiHidden/>
    <w:unhideWhenUsed/>
    <w:rsid w:val="00074C05"/>
    <w:rPr>
      <w:vertAlign w:val="superscript"/>
    </w:rPr>
  </w:style>
  <w:style w:type="paragraph" w:styleId="KeinLeerraum">
    <w:name w:val="No Spacing"/>
    <w:uiPriority w:val="1"/>
    <w:qFormat/>
    <w:rsid w:val="00074C05"/>
    <w:pPr>
      <w:spacing w:after="0" w:line="240" w:lineRule="auto"/>
    </w:pPr>
  </w:style>
  <w:style w:type="paragraph" w:styleId="Inhaltsverzeichnisberschrift">
    <w:name w:val="TOC Heading"/>
    <w:basedOn w:val="berschrift1"/>
    <w:next w:val="Standard"/>
    <w:uiPriority w:val="39"/>
    <w:unhideWhenUsed/>
    <w:qFormat/>
    <w:rsid w:val="00074C05"/>
    <w:pPr>
      <w:outlineLvl w:val="9"/>
    </w:pPr>
    <w:rPr>
      <w:lang w:eastAsia="en-GB"/>
    </w:rPr>
  </w:style>
  <w:style w:type="table" w:styleId="MittlereSchattierung1-Akzent1">
    <w:name w:val="Medium Shading 1 Accent 1"/>
    <w:basedOn w:val="NormaleTabelle"/>
    <w:uiPriority w:val="63"/>
    <w:rsid w:val="00074C0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Liste-Akzent1">
    <w:name w:val="Light List Accent 1"/>
    <w:basedOn w:val="NormaleTabelle"/>
    <w:uiPriority w:val="61"/>
    <w:rsid w:val="00074C0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zeichen">
    <w:name w:val="annotation reference"/>
    <w:basedOn w:val="Absatz-Standardschriftart"/>
    <w:uiPriority w:val="99"/>
    <w:semiHidden/>
    <w:unhideWhenUsed/>
    <w:rsid w:val="00074C05"/>
    <w:rPr>
      <w:sz w:val="18"/>
      <w:szCs w:val="18"/>
    </w:rPr>
  </w:style>
  <w:style w:type="paragraph" w:styleId="Kommentartext">
    <w:name w:val="annotation text"/>
    <w:basedOn w:val="Standard"/>
    <w:link w:val="KommentartextZchn"/>
    <w:uiPriority w:val="99"/>
    <w:semiHidden/>
    <w:unhideWhenUsed/>
    <w:rsid w:val="00074C05"/>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074C05"/>
    <w:rPr>
      <w:sz w:val="24"/>
      <w:szCs w:val="24"/>
    </w:rPr>
  </w:style>
  <w:style w:type="character" w:styleId="Hyperlink">
    <w:name w:val="Hyperlink"/>
    <w:basedOn w:val="Absatz-Standardschriftart"/>
    <w:uiPriority w:val="99"/>
    <w:unhideWhenUsed/>
    <w:rsid w:val="006F1F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074C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74C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4C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4C05"/>
  </w:style>
  <w:style w:type="paragraph" w:styleId="Fuzeile">
    <w:name w:val="footer"/>
    <w:basedOn w:val="Standard"/>
    <w:link w:val="FuzeileZchn"/>
    <w:uiPriority w:val="99"/>
    <w:unhideWhenUsed/>
    <w:rsid w:val="00074C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4C05"/>
  </w:style>
  <w:style w:type="paragraph" w:styleId="Sprechblasentext">
    <w:name w:val="Balloon Text"/>
    <w:basedOn w:val="Standard"/>
    <w:link w:val="SprechblasentextZchn"/>
    <w:uiPriority w:val="99"/>
    <w:semiHidden/>
    <w:unhideWhenUsed/>
    <w:rsid w:val="00074C0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4C05"/>
    <w:rPr>
      <w:rFonts w:ascii="Tahoma" w:hAnsi="Tahoma" w:cs="Tahoma"/>
      <w:sz w:val="16"/>
      <w:szCs w:val="16"/>
    </w:rPr>
  </w:style>
  <w:style w:type="character" w:customStyle="1" w:styleId="berschrift1Zchn">
    <w:name w:val="Überschrift 1 Zchn"/>
    <w:basedOn w:val="Absatz-Standardschriftart"/>
    <w:link w:val="berschrift1"/>
    <w:uiPriority w:val="9"/>
    <w:rsid w:val="00074C05"/>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74C05"/>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rsid w:val="00074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074C0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74C05"/>
    <w:rPr>
      <w:sz w:val="20"/>
      <w:szCs w:val="20"/>
    </w:rPr>
  </w:style>
  <w:style w:type="character" w:styleId="Funotenzeichen">
    <w:name w:val="footnote reference"/>
    <w:basedOn w:val="Absatz-Standardschriftart"/>
    <w:uiPriority w:val="99"/>
    <w:semiHidden/>
    <w:unhideWhenUsed/>
    <w:rsid w:val="00074C05"/>
    <w:rPr>
      <w:vertAlign w:val="superscript"/>
    </w:rPr>
  </w:style>
  <w:style w:type="paragraph" w:styleId="KeinLeerraum">
    <w:name w:val="No Spacing"/>
    <w:uiPriority w:val="1"/>
    <w:qFormat/>
    <w:rsid w:val="00074C05"/>
    <w:pPr>
      <w:spacing w:after="0" w:line="240" w:lineRule="auto"/>
    </w:pPr>
  </w:style>
  <w:style w:type="paragraph" w:styleId="Inhaltsverzeichnisberschrift">
    <w:name w:val="TOC Heading"/>
    <w:basedOn w:val="berschrift1"/>
    <w:next w:val="Standard"/>
    <w:uiPriority w:val="39"/>
    <w:unhideWhenUsed/>
    <w:qFormat/>
    <w:rsid w:val="00074C05"/>
    <w:pPr>
      <w:outlineLvl w:val="9"/>
    </w:pPr>
    <w:rPr>
      <w:lang w:eastAsia="en-GB"/>
    </w:rPr>
  </w:style>
  <w:style w:type="table" w:styleId="MittlereSchattierung1-Akzent1">
    <w:name w:val="Medium Shading 1 Accent 1"/>
    <w:basedOn w:val="NormaleTabelle"/>
    <w:uiPriority w:val="63"/>
    <w:rsid w:val="00074C0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Liste-Akzent1">
    <w:name w:val="Light List Accent 1"/>
    <w:basedOn w:val="NormaleTabelle"/>
    <w:uiPriority w:val="61"/>
    <w:rsid w:val="00074C0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zeichen">
    <w:name w:val="annotation reference"/>
    <w:basedOn w:val="Absatz-Standardschriftart"/>
    <w:uiPriority w:val="99"/>
    <w:semiHidden/>
    <w:unhideWhenUsed/>
    <w:rsid w:val="00074C05"/>
    <w:rPr>
      <w:sz w:val="18"/>
      <w:szCs w:val="18"/>
    </w:rPr>
  </w:style>
  <w:style w:type="paragraph" w:styleId="Kommentartext">
    <w:name w:val="annotation text"/>
    <w:basedOn w:val="Standard"/>
    <w:link w:val="KommentartextZchn"/>
    <w:uiPriority w:val="99"/>
    <w:semiHidden/>
    <w:unhideWhenUsed/>
    <w:rsid w:val="00074C05"/>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074C05"/>
    <w:rPr>
      <w:sz w:val="24"/>
      <w:szCs w:val="24"/>
    </w:rPr>
  </w:style>
  <w:style w:type="character" w:styleId="Hyperlink">
    <w:name w:val="Hyperlink"/>
    <w:basedOn w:val="Absatz-Standardschriftart"/>
    <w:uiPriority w:val="99"/>
    <w:unhideWhenUsed/>
    <w:rsid w:val="006F1F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percentStacked"/>
        <c:varyColors val="0"/>
        <c:ser>
          <c:idx val="0"/>
          <c:order val="0"/>
          <c:tx>
            <c:strRef>
              <c:f>Kenya!$J$8</c:f>
              <c:strCache>
                <c:ptCount val="1"/>
                <c:pt idx="0">
                  <c:v>Human Health</c:v>
                </c:pt>
              </c:strCache>
            </c:strRef>
          </c:tx>
          <c:invertIfNegative val="0"/>
          <c:dLbls>
            <c:dLblPos val="ctr"/>
            <c:showLegendKey val="0"/>
            <c:showVal val="1"/>
            <c:showCatName val="0"/>
            <c:showSerName val="0"/>
            <c:showPercent val="0"/>
            <c:showBubbleSize val="0"/>
            <c:showLeaderLines val="0"/>
          </c:dLbls>
          <c:val>
            <c:numRef>
              <c:f>Kenya!$J$10</c:f>
              <c:numCache>
                <c:formatCode>0.00%</c:formatCode>
                <c:ptCount val="1"/>
                <c:pt idx="0">
                  <c:v>0.99436837482182894</c:v>
                </c:pt>
              </c:numCache>
            </c:numRef>
          </c:val>
        </c:ser>
        <c:ser>
          <c:idx val="1"/>
          <c:order val="1"/>
          <c:tx>
            <c:strRef>
              <c:f>Kenya!$L$8</c:f>
              <c:strCache>
                <c:ptCount val="1"/>
                <c:pt idx="0">
                  <c:v>Ecosystems</c:v>
                </c:pt>
              </c:strCache>
            </c:strRef>
          </c:tx>
          <c:invertIfNegative val="0"/>
          <c:dLbls>
            <c:dLblPos val="ctr"/>
            <c:showLegendKey val="0"/>
            <c:showVal val="1"/>
            <c:showCatName val="0"/>
            <c:showSerName val="0"/>
            <c:showPercent val="0"/>
            <c:showBubbleSize val="0"/>
            <c:showLeaderLines val="0"/>
          </c:dLbls>
          <c:val>
            <c:numRef>
              <c:f>Kenya!$L$10</c:f>
              <c:numCache>
                <c:formatCode>0.00%</c:formatCode>
                <c:ptCount val="1"/>
                <c:pt idx="0">
                  <c:v>5.6315379627157238E-3</c:v>
                </c:pt>
              </c:numCache>
            </c:numRef>
          </c:val>
        </c:ser>
        <c:ser>
          <c:idx val="2"/>
          <c:order val="2"/>
          <c:tx>
            <c:strRef>
              <c:f>Kenya!$N$8</c:f>
              <c:strCache>
                <c:ptCount val="1"/>
                <c:pt idx="0">
                  <c:v>Resources</c:v>
                </c:pt>
              </c:strCache>
            </c:strRef>
          </c:tx>
          <c:invertIfNegative val="0"/>
          <c:val>
            <c:numRef>
              <c:f>Kenya!$N$10</c:f>
              <c:numCache>
                <c:formatCode>General</c:formatCode>
                <c:ptCount val="1"/>
                <c:pt idx="0">
                  <c:v>0</c:v>
                </c:pt>
              </c:numCache>
            </c:numRef>
          </c:val>
        </c:ser>
        <c:dLbls>
          <c:showLegendKey val="0"/>
          <c:showVal val="0"/>
          <c:showCatName val="0"/>
          <c:showSerName val="0"/>
          <c:showPercent val="0"/>
          <c:showBubbleSize val="0"/>
        </c:dLbls>
        <c:gapWidth val="150"/>
        <c:overlap val="100"/>
        <c:axId val="235770880"/>
        <c:axId val="235859328"/>
      </c:barChart>
      <c:catAx>
        <c:axId val="235770880"/>
        <c:scaling>
          <c:orientation val="minMax"/>
        </c:scaling>
        <c:delete val="1"/>
        <c:axPos val="b"/>
        <c:title>
          <c:tx>
            <c:rich>
              <a:bodyPr/>
              <a:lstStyle/>
              <a:p>
                <a:pPr>
                  <a:defRPr/>
                </a:pPr>
                <a:r>
                  <a:rPr lang="en-GB"/>
                  <a:t>Production for 1 ton of product</a:t>
                </a:r>
              </a:p>
            </c:rich>
          </c:tx>
          <c:overlay val="0"/>
        </c:title>
        <c:majorTickMark val="out"/>
        <c:minorTickMark val="none"/>
        <c:tickLblPos val="nextTo"/>
        <c:crossAx val="235859328"/>
        <c:crosses val="autoZero"/>
        <c:auto val="1"/>
        <c:lblAlgn val="ctr"/>
        <c:lblOffset val="100"/>
        <c:noMultiLvlLbl val="0"/>
      </c:catAx>
      <c:valAx>
        <c:axId val="235859328"/>
        <c:scaling>
          <c:orientation val="minMax"/>
        </c:scaling>
        <c:delete val="0"/>
        <c:axPos val="l"/>
        <c:majorGridlines/>
        <c:numFmt formatCode="0.00%" sourceLinked="0"/>
        <c:majorTickMark val="out"/>
        <c:minorTickMark val="none"/>
        <c:tickLblPos val="nextTo"/>
        <c:crossAx val="235770880"/>
        <c:crosses val="autoZero"/>
        <c:crossBetween val="between"/>
      </c:valAx>
    </c:plotArea>
    <c:legend>
      <c:legendPos val="r"/>
      <c:overlay val="0"/>
    </c:legend>
    <c:plotVisOnly val="1"/>
    <c:dispBlanksAs val="gap"/>
    <c:showDLblsOverMax val="0"/>
  </c:chart>
  <c:txPr>
    <a:bodyPr/>
    <a:lstStyle/>
    <a:p>
      <a:pPr>
        <a:defRPr sz="900"/>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Contribution to endpoint impacts</a:t>
            </a:r>
          </a:p>
        </c:rich>
      </c:tx>
      <c:overlay val="0"/>
    </c:title>
    <c:autoTitleDeleted val="0"/>
    <c:plotArea>
      <c:layout/>
      <c:barChart>
        <c:barDir val="col"/>
        <c:grouping val="percentStacked"/>
        <c:varyColors val="0"/>
        <c:ser>
          <c:idx val="0"/>
          <c:order val="0"/>
          <c:tx>
            <c:strRef>
              <c:f>Kenya!$K$65</c:f>
              <c:strCache>
                <c:ptCount val="1"/>
                <c:pt idx="0">
                  <c:v>Production</c:v>
                </c:pt>
              </c:strCache>
            </c:strRef>
          </c:tx>
          <c:invertIfNegative val="0"/>
          <c:cat>
            <c:strRef>
              <c:f>Kenya!$L$64:$N$64</c:f>
              <c:strCache>
                <c:ptCount val="3"/>
                <c:pt idx="0">
                  <c:v>Human Health</c:v>
                </c:pt>
                <c:pt idx="1">
                  <c:v>Ecosystems</c:v>
                </c:pt>
                <c:pt idx="2">
                  <c:v>Resources</c:v>
                </c:pt>
              </c:strCache>
            </c:strRef>
          </c:cat>
          <c:val>
            <c:numRef>
              <c:f>Kenya!$L$65:$N$65</c:f>
              <c:numCache>
                <c:formatCode>0.00%</c:formatCode>
                <c:ptCount val="3"/>
                <c:pt idx="0">
                  <c:v>0.89603320027237787</c:v>
                </c:pt>
                <c:pt idx="1">
                  <c:v>0.89784611267997971</c:v>
                </c:pt>
              </c:numCache>
            </c:numRef>
          </c:val>
        </c:ser>
        <c:ser>
          <c:idx val="1"/>
          <c:order val="1"/>
          <c:tx>
            <c:strRef>
              <c:f>Kenya!$K$66</c:f>
              <c:strCache>
                <c:ptCount val="1"/>
                <c:pt idx="0">
                  <c:v>Tranportation</c:v>
                </c:pt>
              </c:strCache>
            </c:strRef>
          </c:tx>
          <c:invertIfNegative val="0"/>
          <c:cat>
            <c:strRef>
              <c:f>Kenya!$L$64:$N$64</c:f>
              <c:strCache>
                <c:ptCount val="3"/>
                <c:pt idx="0">
                  <c:v>Human Health</c:v>
                </c:pt>
                <c:pt idx="1">
                  <c:v>Ecosystems</c:v>
                </c:pt>
                <c:pt idx="2">
                  <c:v>Resources</c:v>
                </c:pt>
              </c:strCache>
            </c:strRef>
          </c:cat>
          <c:val>
            <c:numRef>
              <c:f>Kenya!$L$66:$N$66</c:f>
              <c:numCache>
                <c:formatCode>0.00%</c:formatCode>
                <c:ptCount val="3"/>
                <c:pt idx="0">
                  <c:v>0.10396679972762222</c:v>
                </c:pt>
                <c:pt idx="1">
                  <c:v>0.10215388732002022</c:v>
                </c:pt>
              </c:numCache>
            </c:numRef>
          </c:val>
        </c:ser>
        <c:dLbls>
          <c:dLblPos val="ctr"/>
          <c:showLegendKey val="0"/>
          <c:showVal val="1"/>
          <c:showCatName val="0"/>
          <c:showSerName val="0"/>
          <c:showPercent val="0"/>
          <c:showBubbleSize val="0"/>
        </c:dLbls>
        <c:gapWidth val="150"/>
        <c:overlap val="100"/>
        <c:axId val="131776512"/>
        <c:axId val="235860480"/>
      </c:barChart>
      <c:catAx>
        <c:axId val="131776512"/>
        <c:scaling>
          <c:orientation val="minMax"/>
        </c:scaling>
        <c:delete val="0"/>
        <c:axPos val="b"/>
        <c:majorTickMark val="out"/>
        <c:minorTickMark val="none"/>
        <c:tickLblPos val="nextTo"/>
        <c:crossAx val="235860480"/>
        <c:crosses val="autoZero"/>
        <c:auto val="1"/>
        <c:lblAlgn val="ctr"/>
        <c:lblOffset val="100"/>
        <c:noMultiLvlLbl val="0"/>
      </c:catAx>
      <c:valAx>
        <c:axId val="235860480"/>
        <c:scaling>
          <c:orientation val="minMax"/>
        </c:scaling>
        <c:delete val="0"/>
        <c:axPos val="l"/>
        <c:majorGridlines/>
        <c:numFmt formatCode="0%" sourceLinked="0"/>
        <c:majorTickMark val="out"/>
        <c:minorTickMark val="none"/>
        <c:tickLblPos val="nextTo"/>
        <c:crossAx val="131776512"/>
        <c:crosses val="autoZero"/>
        <c:crossBetween val="between"/>
      </c:valAx>
    </c:plotArea>
    <c:legend>
      <c:legendPos val="r"/>
      <c:overlay val="0"/>
    </c:legend>
    <c:plotVisOnly val="1"/>
    <c:dispBlanksAs val="gap"/>
    <c:showDLblsOverMax val="0"/>
  </c:chart>
  <c:txPr>
    <a:bodyPr/>
    <a:lstStyle/>
    <a:p>
      <a:pPr>
        <a:defRPr sz="800"/>
      </a:pPr>
      <a:endParaRPr lang="de-D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Contribution to midpoint impacts</a:t>
            </a:r>
          </a:p>
        </c:rich>
      </c:tx>
      <c:overlay val="0"/>
    </c:title>
    <c:autoTitleDeleted val="0"/>
    <c:plotArea>
      <c:layout/>
      <c:barChart>
        <c:barDir val="col"/>
        <c:grouping val="clustered"/>
        <c:varyColors val="0"/>
        <c:ser>
          <c:idx val="0"/>
          <c:order val="0"/>
          <c:invertIfNegative val="0"/>
          <c:dLbls>
            <c:numFmt formatCode="0.00%" sourceLinked="0"/>
            <c:showLegendKey val="0"/>
            <c:showVal val="1"/>
            <c:showCatName val="0"/>
            <c:showSerName val="0"/>
            <c:showPercent val="0"/>
            <c:showBubbleSize val="0"/>
            <c:showLeaderLines val="0"/>
          </c:dLbls>
          <c:cat>
            <c:multiLvlStrRef>
              <c:f>Kenya!$G$68:$H$74</c:f>
              <c:multiLvlStrCache>
                <c:ptCount val="7"/>
                <c:lvl>
                  <c:pt idx="0">
                    <c:v>Climate Change</c:v>
                  </c:pt>
                  <c:pt idx="1">
                    <c:v>Water depletion</c:v>
                  </c:pt>
                  <c:pt idx="2">
                    <c:v>Marine Eutroph</c:v>
                  </c:pt>
                  <c:pt idx="3">
                    <c:v>Terrestrial acidification</c:v>
                  </c:pt>
                  <c:pt idx="4">
                    <c:v>Climate Change</c:v>
                  </c:pt>
                  <c:pt idx="5">
                    <c:v>Photochemical Oxidant Formation</c:v>
                  </c:pt>
                  <c:pt idx="6">
                    <c:v>Particulate Matter Formation</c:v>
                  </c:pt>
                </c:lvl>
                <c:lvl>
                  <c:pt idx="0">
                    <c:v>Production</c:v>
                  </c:pt>
                  <c:pt idx="2">
                    <c:v>Transportation</c:v>
                  </c:pt>
                </c:lvl>
              </c:multiLvlStrCache>
            </c:multiLvlStrRef>
          </c:cat>
          <c:val>
            <c:numRef>
              <c:f>Kenya!$J$68:$J$74</c:f>
              <c:numCache>
                <c:formatCode>0.0000%</c:formatCode>
                <c:ptCount val="7"/>
                <c:pt idx="0">
                  <c:v>0.68817846578198427</c:v>
                </c:pt>
                <c:pt idx="1">
                  <c:v>3.7351791728298493E-3</c:v>
                </c:pt>
                <c:pt idx="2">
                  <c:v>7.471553602995006E-5</c:v>
                </c:pt>
                <c:pt idx="3">
                  <c:v>1.2471514246134012E-3</c:v>
                </c:pt>
                <c:pt idx="4">
                  <c:v>0.30658350650587401</c:v>
                </c:pt>
                <c:pt idx="5">
                  <c:v>2.3304489514804616E-6</c:v>
                </c:pt>
                <c:pt idx="6">
                  <c:v>1.7865112971700317E-4</c:v>
                </c:pt>
              </c:numCache>
            </c:numRef>
          </c:val>
        </c:ser>
        <c:dLbls>
          <c:showLegendKey val="0"/>
          <c:showVal val="1"/>
          <c:showCatName val="0"/>
          <c:showSerName val="0"/>
          <c:showPercent val="0"/>
          <c:showBubbleSize val="0"/>
        </c:dLbls>
        <c:gapWidth val="75"/>
        <c:axId val="224834560"/>
        <c:axId val="235862784"/>
      </c:barChart>
      <c:catAx>
        <c:axId val="224834560"/>
        <c:scaling>
          <c:orientation val="minMax"/>
        </c:scaling>
        <c:delete val="0"/>
        <c:axPos val="b"/>
        <c:majorTickMark val="none"/>
        <c:minorTickMark val="none"/>
        <c:tickLblPos val="nextTo"/>
        <c:crossAx val="235862784"/>
        <c:crosses val="autoZero"/>
        <c:auto val="1"/>
        <c:lblAlgn val="ctr"/>
        <c:lblOffset val="100"/>
        <c:noMultiLvlLbl val="0"/>
      </c:catAx>
      <c:valAx>
        <c:axId val="235862784"/>
        <c:scaling>
          <c:orientation val="minMax"/>
        </c:scaling>
        <c:delete val="1"/>
        <c:axPos val="l"/>
        <c:numFmt formatCode="0%" sourceLinked="0"/>
        <c:majorTickMark val="none"/>
        <c:minorTickMark val="none"/>
        <c:tickLblPos val="nextTo"/>
        <c:crossAx val="224834560"/>
        <c:crosses val="autoZero"/>
        <c:crossBetween val="between"/>
      </c:valAx>
    </c:plotArea>
    <c:plotVisOnly val="1"/>
    <c:dispBlanksAs val="gap"/>
    <c:showDLblsOverMax val="0"/>
  </c:chart>
  <c:txPr>
    <a:bodyPr/>
    <a:lstStyle/>
    <a:p>
      <a:pPr>
        <a:defRPr sz="800"/>
      </a:pPr>
      <a:endParaRPr lang="de-D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GB"/>
              <a:t>Contribution to Climate Change impacts</a:t>
            </a:r>
          </a:p>
        </c:rich>
      </c:tx>
      <c:layout>
        <c:manualLayout>
          <c:xMode val="edge"/>
          <c:yMode val="edge"/>
          <c:x val="0.20971965460839134"/>
          <c:y val="2.7777777777777776E-2"/>
        </c:manualLayout>
      </c:layout>
      <c:overlay val="0"/>
    </c:title>
    <c:autoTitleDeleted val="0"/>
    <c:plotArea>
      <c:layout/>
      <c:pieChart>
        <c:varyColors val="1"/>
        <c:ser>
          <c:idx val="0"/>
          <c:order val="0"/>
          <c:dLbls>
            <c:numFmt formatCode="0.00%" sourceLinked="0"/>
            <c:showLegendKey val="0"/>
            <c:showVal val="0"/>
            <c:showCatName val="0"/>
            <c:showSerName val="0"/>
            <c:showPercent val="1"/>
            <c:showBubbleSize val="0"/>
            <c:showLeaderLines val="1"/>
          </c:dLbls>
          <c:cat>
            <c:strRef>
              <c:f>Kenya!$D$63:$D$64</c:f>
              <c:strCache>
                <c:ptCount val="2"/>
                <c:pt idx="0">
                  <c:v>Production</c:v>
                </c:pt>
                <c:pt idx="1">
                  <c:v>Transportation</c:v>
                </c:pt>
              </c:strCache>
            </c:strRef>
          </c:cat>
          <c:val>
            <c:numRef>
              <c:f>Kenya!$F$63:$F$64</c:f>
              <c:numCache>
                <c:formatCode>0.00%</c:formatCode>
                <c:ptCount val="2"/>
                <c:pt idx="0">
                  <c:v>0.69180214458664824</c:v>
                </c:pt>
                <c:pt idx="1">
                  <c:v>0.30819785541335176</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sz="800"/>
      </a:pPr>
      <a:endParaRPr lang="de-DE"/>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Comparison!$D$15</c:f>
              <c:strCache>
                <c:ptCount val="1"/>
                <c:pt idx="0">
                  <c:v>Human health</c:v>
                </c:pt>
              </c:strCache>
            </c:strRef>
          </c:tx>
          <c:invertIfNegative val="0"/>
          <c:cat>
            <c:multiLvlStrRef>
              <c:f>Comparison!$B$16:$C$19</c:f>
              <c:multiLvlStrCache>
                <c:ptCount val="4"/>
                <c:lvl>
                  <c:pt idx="0">
                    <c:v>Production</c:v>
                  </c:pt>
                  <c:pt idx="1">
                    <c:v>Transportation</c:v>
                  </c:pt>
                  <c:pt idx="2">
                    <c:v>Production</c:v>
                  </c:pt>
                  <c:pt idx="3">
                    <c:v>Transportation</c:v>
                  </c:pt>
                </c:lvl>
                <c:lvl>
                  <c:pt idx="0">
                    <c:v>International sourcing</c:v>
                  </c:pt>
                  <c:pt idx="2">
                    <c:v>Local sourcing</c:v>
                  </c:pt>
                </c:lvl>
              </c:multiLvlStrCache>
            </c:multiLvlStrRef>
          </c:cat>
          <c:val>
            <c:numRef>
              <c:f>Comparison!$D$16:$D$19</c:f>
              <c:numCache>
                <c:formatCode>0.000000000</c:formatCode>
                <c:ptCount val="4"/>
                <c:pt idx="0" formatCode="0.00000000">
                  <c:v>5.4915939985594082E-3</c:v>
                </c:pt>
                <c:pt idx="1">
                  <c:v>2.1518800043914528E-4</c:v>
                </c:pt>
                <c:pt idx="2" formatCode="0.00000000">
                  <c:v>5.0909090909090902E-4</c:v>
                </c:pt>
                <c:pt idx="3" formatCode="0.00000000">
                  <c:v>2.5134400048505592E-4</c:v>
                </c:pt>
              </c:numCache>
            </c:numRef>
          </c:val>
        </c:ser>
        <c:ser>
          <c:idx val="1"/>
          <c:order val="1"/>
          <c:tx>
            <c:strRef>
              <c:f>Comparison!$E$15</c:f>
              <c:strCache>
                <c:ptCount val="1"/>
                <c:pt idx="0">
                  <c:v>Ecosystems</c:v>
                </c:pt>
              </c:strCache>
            </c:strRef>
          </c:tx>
          <c:invertIfNegative val="0"/>
          <c:cat>
            <c:multiLvlStrRef>
              <c:f>Comparison!$B$16:$C$19</c:f>
              <c:multiLvlStrCache>
                <c:ptCount val="4"/>
                <c:lvl>
                  <c:pt idx="0">
                    <c:v>Production</c:v>
                  </c:pt>
                  <c:pt idx="1">
                    <c:v>Transportation</c:v>
                  </c:pt>
                  <c:pt idx="2">
                    <c:v>Production</c:v>
                  </c:pt>
                  <c:pt idx="3">
                    <c:v>Transportation</c:v>
                  </c:pt>
                </c:lvl>
                <c:lvl>
                  <c:pt idx="0">
                    <c:v>International sourcing</c:v>
                  </c:pt>
                  <c:pt idx="2">
                    <c:v>Local sourcing</c:v>
                  </c:pt>
                </c:lvl>
              </c:multiLvlStrCache>
            </c:multiLvlStrRef>
          </c:cat>
          <c:val>
            <c:numRef>
              <c:f>Comparison!$E$16:$E$19</c:f>
              <c:numCache>
                <c:formatCode>0.00000000</c:formatCode>
                <c:ptCount val="4"/>
                <c:pt idx="0">
                  <c:v>3.110175244272118E-5</c:v>
                </c:pt>
                <c:pt idx="1">
                  <c:v>1.1126483199999999E-6</c:v>
                </c:pt>
                <c:pt idx="2">
                  <c:v>2.8832465454545454E-6</c:v>
                </c:pt>
                <c:pt idx="3">
                  <c:v>1.2883085359999999E-6</c:v>
                </c:pt>
              </c:numCache>
            </c:numRef>
          </c:val>
        </c:ser>
        <c:dLbls>
          <c:showLegendKey val="0"/>
          <c:showVal val="0"/>
          <c:showCatName val="0"/>
          <c:showSerName val="0"/>
          <c:showPercent val="0"/>
          <c:showBubbleSize val="0"/>
        </c:dLbls>
        <c:gapWidth val="95"/>
        <c:overlap val="100"/>
        <c:axId val="235771904"/>
        <c:axId val="264911040"/>
      </c:barChart>
      <c:valAx>
        <c:axId val="264911040"/>
        <c:scaling>
          <c:orientation val="minMax"/>
        </c:scaling>
        <c:delete val="0"/>
        <c:axPos val="b"/>
        <c:majorGridlines/>
        <c:numFmt formatCode="#,##0.000" sourceLinked="0"/>
        <c:majorTickMark val="none"/>
        <c:minorTickMark val="none"/>
        <c:tickLblPos val="nextTo"/>
        <c:crossAx val="235771904"/>
        <c:crosses val="autoZero"/>
        <c:crossBetween val="between"/>
      </c:valAx>
      <c:catAx>
        <c:axId val="235771904"/>
        <c:scaling>
          <c:orientation val="minMax"/>
        </c:scaling>
        <c:delete val="0"/>
        <c:axPos val="l"/>
        <c:majorTickMark val="none"/>
        <c:minorTickMark val="none"/>
        <c:tickLblPos val="nextTo"/>
        <c:crossAx val="264911040"/>
        <c:crosses val="autoZero"/>
        <c:auto val="1"/>
        <c:lblAlgn val="ctr"/>
        <c:lblOffset val="100"/>
        <c:noMultiLvlLbl val="0"/>
      </c:cat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2392</Words>
  <Characters>15071</Characters>
  <Application>Microsoft Office Word</Application>
  <DocSecurity>0</DocSecurity>
  <Lines>125</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17429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Elisah</dc:creator>
  <cp:lastModifiedBy>HP</cp:lastModifiedBy>
  <cp:revision>3</cp:revision>
  <cp:lastPrinted>2016-07-12T10:58:00Z</cp:lastPrinted>
  <dcterms:created xsi:type="dcterms:W3CDTF">2016-11-29T06:54:00Z</dcterms:created>
  <dcterms:modified xsi:type="dcterms:W3CDTF">2016-11-29T06:54:00Z</dcterms:modified>
</cp:coreProperties>
</file>