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330" w:rsidRPr="00B67C4E" w:rsidRDefault="00DF6330" w:rsidP="00DF6330">
      <w:pPr>
        <w:rPr>
          <w:b/>
        </w:rPr>
      </w:pPr>
      <w:r w:rsidRPr="00B67C4E">
        <w:rPr>
          <w:b/>
        </w:rPr>
        <w:t>Appendix A</w:t>
      </w:r>
    </w:p>
    <w:p w:rsidR="00DF6330" w:rsidRDefault="00DF6330" w:rsidP="00DF6330">
      <w:r>
        <w:t xml:space="preserve">In the text it was argued that </w:t>
      </w:r>
      <w:r w:rsidRPr="000F5025">
        <w:t>a typical functional unit should show normalized indicator results for the different impact categories in the same order of magnitude.</w:t>
      </w:r>
      <w:r>
        <w:t xml:space="preserve"> In this appendix, we provide a proof for this.</w:t>
      </w:r>
    </w:p>
    <w:p w:rsidR="00DF6330" w:rsidRDefault="00DF6330" w:rsidP="00DF6330">
      <w:pPr>
        <w:rPr>
          <w:rFonts w:eastAsiaTheme="minorEastAsia"/>
        </w:rPr>
      </w:pPr>
      <w:r>
        <w:t xml:space="preserve">The normalized category result of impact category </w:t>
      </w:r>
      <m:oMath>
        <m:r>
          <w:rPr>
            <w:rFonts w:ascii="Cambria Math" w:hAnsi="Cambria Math"/>
          </w:rPr>
          <m:t>j</m:t>
        </m:r>
      </m:oMath>
      <w:r>
        <w:rPr>
          <w:rFonts w:eastAsiaTheme="minorEastAsia"/>
        </w:rPr>
        <w:t xml:space="preserve"> </w:t>
      </w:r>
      <w:r>
        <w:t xml:space="preserve">for a product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/>
        </w:rPr>
        <w:t xml:space="preserve"> is given as</w:t>
      </w:r>
    </w:p>
    <w:p w:rsidR="00DF6330" w:rsidRPr="00DB577F" w:rsidRDefault="00DF6330" w:rsidP="00DF633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NC</m:t>
              </m:r>
            </m:e>
            <m:sub>
              <m:r>
                <w:rPr>
                  <w:rFonts w:ascii="Cambria Math" w:hAnsi="Cambria Math"/>
                </w:rPr>
                <m:t>k,j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k,j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den>
          </m:f>
        </m:oMath>
      </m:oMathPara>
    </w:p>
    <w:p w:rsidR="00DF6330" w:rsidRDefault="00DF6330" w:rsidP="00DF6330">
      <w:pPr>
        <w:rPr>
          <w:rFonts w:eastAsiaTheme="minorEastAsia"/>
        </w:rPr>
      </w:pPr>
      <w:proofErr w:type="gramStart"/>
      <w:r>
        <w:rPr>
          <w:rFonts w:eastAsiaTheme="minorEastAsia"/>
        </w:rPr>
        <w:t>where</w:t>
      </w:r>
      <w:proofErr w:type="gramEnd"/>
      <w:r>
        <w:rPr>
          <w:rFonts w:eastAsiaTheme="minorEastAsia"/>
        </w:rPr>
        <w:t xml:space="preserve"> product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/>
        </w:rPr>
        <w:t>’s cat</w:t>
      </w:r>
      <w:proofErr w:type="spellStart"/>
      <w:r>
        <w:rPr>
          <w:rFonts w:eastAsiaTheme="minorEastAsia"/>
        </w:rPr>
        <w:t>egory</w:t>
      </w:r>
      <w:proofErr w:type="spellEnd"/>
      <w:r>
        <w:rPr>
          <w:rFonts w:eastAsiaTheme="minorEastAsia"/>
        </w:rPr>
        <w:t xml:space="preserve"> result for impact category </w:t>
      </w:r>
      <m:oMath>
        <m:r>
          <w:rPr>
            <w:rFonts w:ascii="Cambria Math" w:eastAsiaTheme="minorEastAsia" w:hAnsi="Cambria Math"/>
          </w:rPr>
          <m:t>j</m:t>
        </m:r>
      </m:oMath>
      <w:r>
        <w:rPr>
          <w:rFonts w:eastAsiaTheme="minorEastAsia"/>
        </w:rPr>
        <w:t xml:space="preserve"> is</w:t>
      </w:r>
    </w:p>
    <w:p w:rsidR="00DF6330" w:rsidRPr="00DB577F" w:rsidRDefault="00DF6330" w:rsidP="00DF633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k,j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i,k</m:t>
                      </m:r>
                    </m:sub>
                  </m:sSub>
                </m:e>
              </m:d>
            </m:e>
          </m:nary>
        </m:oMath>
      </m:oMathPara>
    </w:p>
    <w:p w:rsidR="00DF6330" w:rsidRDefault="00DF6330" w:rsidP="00DF6330">
      <w:pPr>
        <w:rPr>
          <w:rFonts w:eastAsiaTheme="minorEastAsia"/>
        </w:rPr>
      </w:pPr>
      <w:proofErr w:type="gramStart"/>
      <w:r>
        <w:rPr>
          <w:rFonts w:eastAsiaTheme="minorEastAsia"/>
        </w:rPr>
        <w:t>and</w:t>
      </w:r>
      <w:proofErr w:type="gramEnd"/>
      <w:r>
        <w:rPr>
          <w:rFonts w:eastAsiaTheme="minorEastAsia"/>
        </w:rPr>
        <w:t xml:space="preserve"> the category total for impact category </w:t>
      </w:r>
      <m:oMath>
        <m:r>
          <w:rPr>
            <w:rFonts w:ascii="Cambria Math" w:eastAsiaTheme="minorEastAsia" w:hAnsi="Cambria Math"/>
          </w:rPr>
          <m:t>j</m:t>
        </m:r>
      </m:oMath>
      <w:r>
        <w:rPr>
          <w:rFonts w:eastAsiaTheme="minorEastAsia"/>
        </w:rPr>
        <w:t xml:space="preserve"> is </w:t>
      </w:r>
    </w:p>
    <w:p w:rsidR="00DF6330" w:rsidRDefault="00DF6330" w:rsidP="00DF6330"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j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:rsidR="00DF6330" w:rsidRDefault="00DF6330" w:rsidP="00DF6330">
      <w:r>
        <w:t xml:space="preserve">Here,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ji</m:t>
            </m:r>
          </m:sub>
        </m:sSub>
      </m:oMath>
      <w:r>
        <w:rPr>
          <w:rFonts w:eastAsiaTheme="minorEastAsia"/>
        </w:rPr>
        <w:t xml:space="preserve"> is the characterization factor of emission/resource type </w:t>
      </w:r>
      <m:oMath>
        <m:r>
          <w:rPr>
            <w:rFonts w:ascii="Cambria Math" w:eastAsiaTheme="minorEastAsia" w:hAnsi="Cambria Math"/>
          </w:rPr>
          <m:t>i</m:t>
        </m:r>
      </m:oMath>
      <w:r>
        <w:rPr>
          <w:rFonts w:eastAsiaTheme="minorEastAsia"/>
        </w:rPr>
        <w:t xml:space="preserve"> for impact </w:t>
      </w:r>
      <w:proofErr w:type="gramStart"/>
      <w:r>
        <w:rPr>
          <w:rFonts w:eastAsiaTheme="minorEastAsia"/>
        </w:rPr>
        <w:t xml:space="preserve">category </w:t>
      </w:r>
      <w:proofErr w:type="gramEnd"/>
      <m:oMath>
        <m:r>
          <w:rPr>
            <w:rFonts w:ascii="Cambria Math" w:eastAsiaTheme="minorEastAsia" w:hAnsi="Cambria Math"/>
          </w:rPr>
          <m:t>j</m:t>
        </m:r>
      </m:oMath>
      <w:r>
        <w:rPr>
          <w:rFonts w:eastAsiaTheme="minorEastAsia"/>
        </w:rPr>
        <w:t>.</w:t>
      </w:r>
    </w:p>
    <w:p w:rsidR="00DF6330" w:rsidRDefault="00DF6330" w:rsidP="00DF6330">
      <w:pPr>
        <w:rPr>
          <w:rFonts w:eastAsiaTheme="minorEastAsia"/>
        </w:rPr>
      </w:pPr>
      <w:r>
        <w:t xml:space="preserve">Suppose there are </w:t>
      </w:r>
      <m:oMath>
        <m:r>
          <w:rPr>
            <w:rFonts w:ascii="Cambria Math" w:hAnsi="Cambria Math"/>
          </w:rPr>
          <m:t>N</m:t>
        </m:r>
      </m:oMath>
      <w:r>
        <w:rPr>
          <w:rFonts w:eastAsiaTheme="minorEastAsia"/>
        </w:rPr>
        <w:t xml:space="preserve"> products, and there are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Q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>
        <w:rPr>
          <w:rFonts w:eastAsiaTheme="minorEastAsia"/>
        </w:rPr>
        <w:t xml:space="preserve"> copies of </w:t>
      </w:r>
      <w:proofErr w:type="gramStart"/>
      <w:r>
        <w:rPr>
          <w:rFonts w:eastAsiaTheme="minorEastAsia"/>
        </w:rPr>
        <w:t xml:space="preserve">product </w:t>
      </w:r>
      <w:proofErr w:type="gramEnd"/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/>
        </w:rPr>
        <w:t xml:space="preserve">. Then the total emission/resource use of type </w:t>
      </w:r>
      <m:oMath>
        <m:r>
          <w:rPr>
            <w:rFonts w:ascii="Cambria Math" w:eastAsiaTheme="minorEastAsia" w:hAnsi="Cambria Math"/>
          </w:rPr>
          <m:t>i</m:t>
        </m:r>
      </m:oMath>
      <w:r>
        <w:rPr>
          <w:rFonts w:eastAsiaTheme="minorEastAsia"/>
        </w:rPr>
        <w:t xml:space="preserve"> by all products is</w:t>
      </w:r>
    </w:p>
    <w:p w:rsidR="00DF6330" w:rsidRDefault="00DF6330" w:rsidP="00DF633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l=1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l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i,l</m:t>
                      </m:r>
                    </m:sub>
                  </m:sSub>
                </m:e>
              </m:d>
            </m:e>
          </m:nary>
        </m:oMath>
      </m:oMathPara>
    </w:p>
    <w:p w:rsidR="00DF6330" w:rsidRDefault="00DF6330" w:rsidP="00DF6330">
      <w:pPr>
        <w:rPr>
          <w:rFonts w:eastAsiaTheme="minorEastAsia"/>
        </w:rPr>
      </w:pPr>
      <w:r>
        <w:t xml:space="preserve">Therefore, the normalized category result of impact category </w:t>
      </w:r>
      <m:oMath>
        <m:r>
          <w:rPr>
            <w:rFonts w:ascii="Cambria Math" w:hAnsi="Cambria Math"/>
          </w:rPr>
          <m:t>j</m:t>
        </m:r>
      </m:oMath>
      <w:r>
        <w:rPr>
          <w:rFonts w:eastAsiaTheme="minorEastAsia"/>
        </w:rPr>
        <w:t xml:space="preserve"> </w:t>
      </w:r>
      <w:r>
        <w:t xml:space="preserve">for a product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/>
        </w:rPr>
        <w:t xml:space="preserve"> can be written as</w:t>
      </w:r>
    </w:p>
    <w:p w:rsidR="00DF6330" w:rsidRPr="00DB577F" w:rsidRDefault="00DF6330" w:rsidP="00DF633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NC</m:t>
              </m:r>
            </m:e>
            <m:sub>
              <m:r>
                <w:rPr>
                  <w:rFonts w:ascii="Cambria Math" w:hAnsi="Cambria Math"/>
                </w:rPr>
                <m:t>k,j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i,k</m:t>
                          </m:r>
                        </m:sub>
                      </m:sSub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l=1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N</m:t>
                          </m:r>
                        </m:sup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l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i,l</m:t>
                                  </m:r>
                                </m:sub>
                              </m:sSub>
                            </m:e>
                          </m:d>
                        </m:e>
                      </m:nary>
                    </m:e>
                  </m:d>
                </m:e>
              </m:nary>
            </m:den>
          </m:f>
        </m:oMath>
      </m:oMathPara>
    </w:p>
    <w:p w:rsidR="00DF6330" w:rsidRDefault="00DF6330" w:rsidP="00DF6330">
      <w:r>
        <w:t>This can also be written as</w:t>
      </w:r>
    </w:p>
    <w:p w:rsidR="00DF6330" w:rsidRPr="00DB577F" w:rsidRDefault="00DF6330" w:rsidP="00DF633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NC</m:t>
              </m:r>
            </m:e>
            <m:sub>
              <m:r>
                <w:rPr>
                  <w:rFonts w:ascii="Cambria Math" w:hAnsi="Cambria Math"/>
                </w:rPr>
                <m:t>k,j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i,k</m:t>
                          </m:r>
                        </m:sub>
                      </m:sSub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l=1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  <m:sup/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j,i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i,l</m:t>
                                  </m:r>
                                </m:sub>
                              </m:sSub>
                            </m:e>
                          </m:d>
                        </m:e>
                      </m:nary>
                    </m:e>
                  </m:d>
                </m:e>
              </m:nary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k,j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l=1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l,j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:rsidR="00DF6330" w:rsidRDefault="00DF6330" w:rsidP="00DF6330">
      <w:r>
        <w:t xml:space="preserve">A typical product has emission/resources use of type </w:t>
      </w:r>
      <m:oMath>
        <m:r>
          <w:rPr>
            <w:rFonts w:ascii="Cambria Math" w:hAnsi="Cambria Math"/>
          </w:rPr>
          <m:t>i</m:t>
        </m:r>
      </m:oMath>
      <w:r>
        <w:rPr>
          <w:rFonts w:eastAsiaTheme="minorEastAsia"/>
        </w:rPr>
        <w:t xml:space="preserve"> </w:t>
      </w:r>
      <w:r>
        <w:t xml:space="preserve">given by </w:t>
      </w:r>
    </w:p>
    <w:p w:rsidR="00DF6330" w:rsidRDefault="00DF6330" w:rsidP="00DF6330"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l=1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l</m:t>
                      </m:r>
                    </m:sub>
                  </m:sSub>
                </m:e>
              </m:nary>
            </m:den>
          </m:f>
        </m:oMath>
      </m:oMathPara>
    </w:p>
    <w:p w:rsidR="00DF6330" w:rsidRDefault="00DF6330" w:rsidP="00DF6330">
      <w:r>
        <w:t xml:space="preserve">As a consequence, its impact on category </w:t>
      </w:r>
      <m:oMath>
        <m:r>
          <w:rPr>
            <w:rFonts w:ascii="Cambria Math" w:hAnsi="Cambria Math"/>
          </w:rPr>
          <m:t>j</m:t>
        </m:r>
      </m:oMath>
      <w:r>
        <w:rPr>
          <w:rFonts w:eastAsiaTheme="minorEastAsia"/>
        </w:rPr>
        <w:t xml:space="preserve"> is</w:t>
      </w:r>
    </w:p>
    <w:p w:rsidR="00DF6330" w:rsidRPr="00DB577F" w:rsidRDefault="00DF6330" w:rsidP="00DF6330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bSup>
                </m:e>
              </m:d>
            </m:e>
          </m:nary>
        </m:oMath>
      </m:oMathPara>
    </w:p>
    <w:p w:rsidR="00DF6330" w:rsidRDefault="00DF6330" w:rsidP="00DF6330">
      <w:proofErr w:type="gramStart"/>
      <w:r>
        <w:t>and</w:t>
      </w:r>
      <w:proofErr w:type="gramEnd"/>
      <w:r>
        <w:t xml:space="preserve"> its normalised impact on category </w:t>
      </w:r>
      <m:oMath>
        <m:r>
          <w:rPr>
            <w:rFonts w:ascii="Cambria Math" w:hAnsi="Cambria Math"/>
          </w:rPr>
          <m:t>j</m:t>
        </m:r>
      </m:oMath>
      <w:r>
        <w:rPr>
          <w:rFonts w:eastAsiaTheme="minorEastAsia"/>
        </w:rPr>
        <w:t xml:space="preserve"> is</w:t>
      </w:r>
    </w:p>
    <w:p w:rsidR="00DF6330" w:rsidRPr="00DB577F" w:rsidRDefault="00DF6330" w:rsidP="00DF633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N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*</m:t>
                          </m:r>
                        </m:sup>
                      </m:sSubSup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:rsidR="00DF6330" w:rsidRDefault="00DF6330" w:rsidP="00DF6330">
      <w:r>
        <w:t>This can be rewritten as</w:t>
      </w:r>
    </w:p>
    <w:p w:rsidR="00DF6330" w:rsidRPr="00DB577F" w:rsidRDefault="00DF6330" w:rsidP="00DF633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w:lastRenderedPageBreak/>
            <m:t>N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l=1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N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l</m:t>
                                  </m:r>
                                </m:sub>
                              </m:sSub>
                            </m:e>
                          </m:nary>
                        </m:den>
                      </m:f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l=1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l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l=1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l</m:t>
                      </m:r>
                    </m:sub>
                  </m:sSub>
                </m:e>
              </m:nary>
            </m:den>
          </m:f>
        </m:oMath>
      </m:oMathPara>
    </w:p>
    <w:p w:rsidR="00DF6330" w:rsidRDefault="00DF6330" w:rsidP="00DF6330">
      <w:r>
        <w:t>This result (</w:t>
      </w:r>
      <m:oMath>
        <m:r>
          <w:rPr>
            <w:rFonts w:ascii="Cambria Math" w:hAnsi="Cambria Math"/>
          </w:rPr>
          <m:t>1/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l=1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l</m:t>
                </m:r>
              </m:sub>
            </m:sSub>
          </m:e>
        </m:nary>
      </m:oMath>
      <w:r>
        <w:t>) is independent of the impact category</w:t>
      </w:r>
      <w:proofErr w:type="gramStart"/>
      <w:r>
        <w:t xml:space="preserve">, </w:t>
      </w:r>
      <w:proofErr w:type="gramEnd"/>
      <m:oMath>
        <m:r>
          <w:rPr>
            <w:rFonts w:ascii="Cambria Math" w:hAnsi="Cambria Math"/>
          </w:rPr>
          <m:t>j</m:t>
        </m:r>
      </m:oMath>
      <w:r>
        <w:rPr>
          <w:rFonts w:eastAsiaTheme="minorEastAsia"/>
        </w:rPr>
        <w:t xml:space="preserve">. So </w:t>
      </w:r>
      <m:oMath>
        <m:r>
          <w:rPr>
            <w:rFonts w:ascii="Cambria Math" w:hAnsi="Cambria Math"/>
          </w:rPr>
          <m:t>N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w:rPr>
                <w:rFonts w:ascii="Cambria Math" w:hAnsi="Cambria Math"/>
              </w:rPr>
              <m:t>*</m:t>
            </m:r>
          </m:sup>
        </m:sSubSup>
      </m:oMath>
      <w:r>
        <w:rPr>
          <w:rFonts w:eastAsiaTheme="minorEastAsia"/>
        </w:rPr>
        <w:t xml:space="preserve"> has a constant value, independent </w:t>
      </w:r>
      <w:proofErr w:type="gramStart"/>
      <w:r>
        <w:rPr>
          <w:rFonts w:eastAsiaTheme="minorEastAsia"/>
        </w:rPr>
        <w:t xml:space="preserve">of </w:t>
      </w:r>
      <w:proofErr w:type="gramEnd"/>
      <m:oMath>
        <m:r>
          <w:rPr>
            <w:rFonts w:ascii="Cambria Math" w:eastAsiaTheme="minorEastAsia" w:hAnsi="Cambria Math"/>
          </w:rPr>
          <m:t>j</m:t>
        </m:r>
      </m:oMath>
      <w:r>
        <w:rPr>
          <w:rFonts w:eastAsiaTheme="minorEastAsia"/>
        </w:rPr>
        <w:t>.</w:t>
      </w:r>
    </w:p>
    <w:p w:rsidR="00DF6330" w:rsidRDefault="00DF6330" w:rsidP="00DF6330"/>
    <w:p w:rsidR="00DF6330" w:rsidRPr="00B67C4E" w:rsidRDefault="00DF6330" w:rsidP="00DF6330">
      <w:pPr>
        <w:rPr>
          <w:b/>
        </w:rPr>
      </w:pPr>
      <w:r w:rsidRPr="00B67C4E">
        <w:rPr>
          <w:b/>
        </w:rPr>
        <w:t>Appendix B</w:t>
      </w:r>
    </w:p>
    <w:p w:rsidR="00DF6330" w:rsidRDefault="00DF6330" w:rsidP="00DF6330">
      <w:r>
        <w:t>In the text it was argued that</w:t>
      </w:r>
      <w:r w:rsidRPr="000F5025">
        <w:t xml:space="preserve"> the choice </w:t>
      </w:r>
      <w:r>
        <w:t xml:space="preserve">of the reference substance </w:t>
      </w:r>
      <w:r w:rsidRPr="000F5025">
        <w:t>is irrelevant in the final results, comparable to the choice between kilogram and pound.</w:t>
      </w:r>
      <w:r>
        <w:t xml:space="preserve"> In particular, we argue the following:</w:t>
      </w:r>
    </w:p>
    <w:p w:rsidR="00DF6330" w:rsidRDefault="00DF6330" w:rsidP="00DF6330">
      <w:r>
        <w:t xml:space="preserve">a) </w:t>
      </w:r>
      <w:proofErr w:type="gramStart"/>
      <w:r>
        <w:t>in</w:t>
      </w:r>
      <w:proofErr w:type="gramEnd"/>
      <w:r>
        <w:t xml:space="preserve"> a comparative LCA, product rankings are independent of the reference substance;</w:t>
      </w:r>
    </w:p>
    <w:p w:rsidR="00DF6330" w:rsidRDefault="00DF6330" w:rsidP="00DF6330">
      <w:r>
        <w:t xml:space="preserve">b) </w:t>
      </w:r>
      <w:proofErr w:type="gramStart"/>
      <w:r>
        <w:t>the</w:t>
      </w:r>
      <w:proofErr w:type="gramEnd"/>
      <w:r>
        <w:t xml:space="preserve"> share of different elements in the category total is independent of the reference substance.</w:t>
      </w:r>
    </w:p>
    <w:p w:rsidR="00DF6330" w:rsidRDefault="00DF6330" w:rsidP="00DF6330">
      <w:pPr>
        <w:rPr>
          <w:rFonts w:eastAsiaTheme="minorEastAsia"/>
        </w:rPr>
      </w:pPr>
      <w:r>
        <w:t xml:space="preserve">Ad a) Suppose we have </w:t>
      </w:r>
      <m:oMath>
        <m:r>
          <w:rPr>
            <w:rFonts w:ascii="Cambria Math" w:hAnsi="Cambria Math"/>
          </w:rPr>
          <m:t>2</m:t>
        </m:r>
      </m:oMath>
      <w:r>
        <w:rPr>
          <w:rFonts w:eastAsiaTheme="minorEastAsia"/>
        </w:rPr>
        <w:t xml:space="preserve"> products, numbered </w:t>
      </w:r>
      <m:oMath>
        <m:r>
          <w:rPr>
            <w:rFonts w:ascii="Cambria Math" w:eastAsiaTheme="minorEastAsia" w:hAnsi="Cambria Math"/>
          </w:rPr>
          <m:t>1</m:t>
        </m:r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and </w:t>
      </w:r>
      <w:proofErr w:type="gramEnd"/>
      <m:oMath>
        <m:r>
          <w:rPr>
            <w:rFonts w:ascii="Cambria Math" w:eastAsiaTheme="minorEastAsia" w:hAnsi="Cambria Math"/>
          </w:rPr>
          <m:t>2</m:t>
        </m:r>
      </m:oMath>
      <w:r>
        <w:rPr>
          <w:rFonts w:eastAsiaTheme="minorEastAsia"/>
        </w:rPr>
        <w:t xml:space="preserve">. Their resource consumptions of resource are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1,i</m:t>
            </m:r>
          </m:sub>
        </m:sSub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and </w:t>
      </w:r>
      <w:proofErr w:type="gramEnd"/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2,i</m:t>
            </m:r>
          </m:sub>
        </m:sSub>
      </m:oMath>
      <w:r>
        <w:rPr>
          <w:rFonts w:eastAsiaTheme="minorEastAsia"/>
        </w:rPr>
        <w:t>, so their depletion category indicator results are</w:t>
      </w:r>
    </w:p>
    <w:p w:rsidR="00DF6330" w:rsidRPr="00891A2A" w:rsidRDefault="00DF6330" w:rsidP="00DF633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A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  <m:sup/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AD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1,i</m:t>
                      </m:r>
                    </m:sub>
                  </m:sSub>
                </m:e>
              </m:d>
            </m:e>
          </m:nary>
        </m:oMath>
      </m:oMathPara>
    </w:p>
    <w:p w:rsidR="00DF6330" w:rsidRDefault="00DF6330" w:rsidP="00DF6330">
      <w:pPr>
        <w:rPr>
          <w:rFonts w:eastAsiaTheme="minorEastAsia"/>
        </w:rPr>
      </w:pPr>
      <w:proofErr w:type="gramStart"/>
      <w:r>
        <w:rPr>
          <w:rFonts w:eastAsiaTheme="minorEastAsia"/>
        </w:rPr>
        <w:t>and</w:t>
      </w:r>
      <w:proofErr w:type="gramEnd"/>
    </w:p>
    <w:p w:rsidR="00DF6330" w:rsidRPr="00891A2A" w:rsidRDefault="00DF6330" w:rsidP="00DF633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A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  <m:sup/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AD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2,i</m:t>
                      </m:r>
                    </m:sub>
                  </m:sSub>
                </m:e>
              </m:d>
            </m:e>
          </m:nary>
        </m:oMath>
      </m:oMathPara>
    </w:p>
    <w:p w:rsidR="00DF6330" w:rsidRDefault="00DF6330" w:rsidP="00DF6330">
      <w:pPr>
        <w:rPr>
          <w:rFonts w:eastAsiaTheme="minorEastAsia"/>
        </w:rPr>
      </w:pPr>
      <w:r>
        <w:rPr>
          <w:rFonts w:eastAsiaTheme="minorEastAsia"/>
        </w:rPr>
        <w:t>The ratio of these two scores is</w:t>
      </w:r>
    </w:p>
    <w:p w:rsidR="00DF6330" w:rsidRPr="00891A2A" w:rsidRDefault="00DF6330" w:rsidP="00DF633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A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AD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1,i</m:t>
                          </m:r>
                        </m:sub>
                      </m:sSub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AD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2,i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:rsidR="00DF6330" w:rsidRDefault="00DF6330" w:rsidP="00DF6330">
      <w:pPr>
        <w:rPr>
          <w:rFonts w:eastAsiaTheme="minorEastAsia"/>
        </w:rPr>
      </w:pPr>
      <w:r>
        <w:rPr>
          <w:rFonts w:eastAsiaTheme="minorEastAsia"/>
        </w:rPr>
        <w:t>Using the definition of the ADP,</w:t>
      </w:r>
    </w:p>
    <w:p w:rsidR="00DF6330" w:rsidRPr="00F06209" w:rsidRDefault="00DF6330" w:rsidP="00DF633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AD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/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ref</m:t>
                  </m:r>
                </m:sub>
              </m:sSub>
              <m:r>
                <w:rPr>
                  <w:rFonts w:ascii="Cambria Math" w:hAnsi="Cambria Math"/>
                </w:rPr>
                <m:t>/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ref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</m:oMath>
      </m:oMathPara>
    </w:p>
    <w:p w:rsidR="00DF6330" w:rsidRDefault="00DF6330" w:rsidP="00DF6330">
      <w:pPr>
        <w:rPr>
          <w:rFonts w:eastAsiaTheme="minorEastAsia"/>
        </w:rPr>
      </w:pPr>
      <w:proofErr w:type="gramStart"/>
      <w:r>
        <w:rPr>
          <w:rFonts w:eastAsiaTheme="minorEastAsia"/>
        </w:rPr>
        <w:t>this</w:t>
      </w:r>
      <w:proofErr w:type="gramEnd"/>
      <w:r>
        <w:rPr>
          <w:rFonts w:eastAsiaTheme="minorEastAsia"/>
        </w:rPr>
        <w:t xml:space="preserve"> can be rewritten as</w:t>
      </w:r>
    </w:p>
    <w:p w:rsidR="00DF6330" w:rsidRPr="00891A2A" w:rsidRDefault="00DF6330" w:rsidP="00DF633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A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/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ref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/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ref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1,i</m:t>
                          </m:r>
                        </m:sub>
                      </m:sSub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/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ref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/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ref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2,i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:rsidR="00DF6330" w:rsidRDefault="00DF6330" w:rsidP="00DF6330">
      <w:pPr>
        <w:rPr>
          <w:rFonts w:eastAsiaTheme="minorEastAsia"/>
        </w:rPr>
      </w:pPr>
      <w:r>
        <w:rPr>
          <w:rFonts w:eastAsiaTheme="minorEastAsia"/>
        </w:rPr>
        <w:t xml:space="preserve">We can simplify this by taking out all terms </w:t>
      </w:r>
      <w:proofErr w:type="gramStart"/>
      <w:r>
        <w:rPr>
          <w:rFonts w:eastAsiaTheme="minorEastAsia"/>
        </w:rPr>
        <w:t xml:space="preserve">with </w:t>
      </w:r>
      <w:proofErr w:type="gramEnd"/>
      <m:oMath>
        <m:r>
          <w:rPr>
            <w:rFonts w:ascii="Cambria Math" w:eastAsiaTheme="minorEastAsia" w:hAnsi="Cambria Math"/>
          </w:rPr>
          <m:t>ref</m:t>
        </m:r>
      </m:oMath>
      <w:r>
        <w:rPr>
          <w:rFonts w:eastAsiaTheme="minorEastAsia"/>
        </w:rPr>
        <w:t>:</w:t>
      </w:r>
    </w:p>
    <w:p w:rsidR="00DF6330" w:rsidRPr="00891A2A" w:rsidRDefault="00DF6330" w:rsidP="00DF633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A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</m:sSub>
                  <m:r>
                    <w:rPr>
                      <w:rFonts w:ascii="Cambria Math" w:hAnsi="Cambria Math"/>
                    </w:rPr>
                    <m:t>/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×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/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1,i</m:t>
                          </m:r>
                        </m:sub>
                      </m:sSub>
                    </m:e>
                  </m:d>
                </m:e>
              </m:nary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</m:sSub>
                  <m:r>
                    <w:rPr>
                      <w:rFonts w:ascii="Cambria Math" w:hAnsi="Cambria Math"/>
                    </w:rPr>
                    <m:t>/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×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/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2,i</m:t>
                          </m:r>
                        </m:sub>
                      </m:sSub>
                    </m:e>
                  </m:d>
                </m:e>
              </m:nary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/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1,i</m:t>
                          </m:r>
                        </m:sub>
                      </m:sSub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/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2,i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:rsidR="00DF6330" w:rsidRDefault="00DF6330" w:rsidP="00DF6330">
      <w:pPr>
        <w:rPr>
          <w:rFonts w:eastAsiaTheme="minorEastAsia"/>
        </w:rPr>
      </w:pPr>
      <w:r>
        <w:rPr>
          <w:rFonts w:eastAsiaTheme="minorEastAsia"/>
        </w:rPr>
        <w:t xml:space="preserve">This last expression doesn’t contain any term that depends </w:t>
      </w:r>
      <w:proofErr w:type="gramStart"/>
      <w:r>
        <w:rPr>
          <w:rFonts w:eastAsiaTheme="minorEastAsia"/>
        </w:rPr>
        <w:t xml:space="preserve">on </w:t>
      </w:r>
      <w:proofErr w:type="gramEnd"/>
      <m:oMath>
        <m:r>
          <w:rPr>
            <w:rFonts w:ascii="Cambria Math" w:eastAsiaTheme="minorEastAsia" w:hAnsi="Cambria Math"/>
          </w:rPr>
          <m:t>ref</m:t>
        </m:r>
      </m:oMath>
      <w:r>
        <w:rPr>
          <w:rFonts w:eastAsiaTheme="minorEastAsia"/>
        </w:rPr>
        <w:t xml:space="preserve">. This proves that the ratio of the scores of any two products, </w:t>
      </w:r>
      <m:oMath>
        <m:r>
          <w:rPr>
            <w:rFonts w:ascii="Cambria Math" w:eastAsiaTheme="minorEastAsia" w:hAnsi="Cambria Math"/>
          </w:rPr>
          <m:t>1</m:t>
        </m:r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and </w:t>
      </w:r>
      <w:proofErr w:type="gramEnd"/>
      <m:oMath>
        <m:r>
          <w:rPr>
            <w:rFonts w:ascii="Cambria Math" w:eastAsiaTheme="minorEastAsia" w:hAnsi="Cambria Math"/>
          </w:rPr>
          <m:t>2</m:t>
        </m:r>
      </m:oMath>
      <w:r>
        <w:rPr>
          <w:rFonts w:eastAsiaTheme="minorEastAsia"/>
        </w:rPr>
        <w:t>, does not depend on the choice of the reference substance. If we choose for the ADP a slightly different formula, for instance with the moving average or cumulative production, this conclusion remains valid as long as we do this consistently for every resource, including the reference resource.</w:t>
      </w:r>
    </w:p>
    <w:p w:rsidR="00DF6330" w:rsidRDefault="00DF6330" w:rsidP="00DF6330">
      <w:r>
        <w:lastRenderedPageBreak/>
        <w:t xml:space="preserve">Ad b) </w:t>
      </w:r>
      <w:proofErr w:type="gramStart"/>
      <w:r>
        <w:t>The</w:t>
      </w:r>
      <w:proofErr w:type="gramEnd"/>
      <w:r>
        <w:t xml:space="preserve"> </w:t>
      </w:r>
      <w:r w:rsidRPr="00B67C4E">
        <w:t xml:space="preserve">share of resource </w:t>
      </w:r>
      <m:oMath>
        <m:r>
          <w:rPr>
            <w:rFonts w:ascii="Cambria Math" w:hAnsi="Cambria Math"/>
          </w:rPr>
          <m:t>i</m:t>
        </m:r>
      </m:oMath>
      <w:r w:rsidRPr="00B67C4E">
        <w:t xml:space="preserve"> in the category total</w:t>
      </w:r>
      <w:r>
        <w:t xml:space="preserve"> </w:t>
      </w:r>
      <m:oMath>
        <m:r>
          <w:rPr>
            <w:rFonts w:ascii="Cambria Math" w:hAnsi="Cambria Math"/>
          </w:rPr>
          <m:t>TAD</m:t>
        </m:r>
      </m:oMath>
      <w:r>
        <w:t xml:space="preserve"> is</w:t>
      </w:r>
    </w:p>
    <w:p w:rsidR="00DF6330" w:rsidRPr="00B67C4E" w:rsidRDefault="00DF6330" w:rsidP="00DF633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TA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:rsidR="00DF6330" w:rsidRDefault="00DF6330" w:rsidP="00DF6330">
      <w:pPr>
        <w:rPr>
          <w:rFonts w:eastAsiaTheme="minorEastAsia"/>
        </w:rPr>
      </w:pPr>
      <w:r>
        <w:rPr>
          <w:rFonts w:eastAsiaTheme="minorEastAsia"/>
        </w:rPr>
        <w:t>Because</w:t>
      </w:r>
    </w:p>
    <w:p w:rsidR="00DF6330" w:rsidRPr="00F06209" w:rsidRDefault="00DF6330" w:rsidP="00DF633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AD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/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ref</m:t>
                  </m:r>
                </m:sub>
              </m:sSub>
              <m:r>
                <w:rPr>
                  <w:rFonts w:ascii="Cambria Math" w:hAnsi="Cambria Math"/>
                </w:rPr>
                <m:t>/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ref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</m:oMath>
      </m:oMathPara>
    </w:p>
    <w:p w:rsidR="00DF6330" w:rsidRDefault="00DF6330" w:rsidP="00DF6330">
      <w:pPr>
        <w:rPr>
          <w:rFonts w:eastAsiaTheme="minorEastAsia"/>
        </w:rPr>
      </w:pPr>
      <w:proofErr w:type="gramStart"/>
      <w:r>
        <w:rPr>
          <w:rFonts w:eastAsiaTheme="minorEastAsia"/>
        </w:rPr>
        <w:t>we</w:t>
      </w:r>
      <w:proofErr w:type="gramEnd"/>
      <w:r>
        <w:rPr>
          <w:rFonts w:eastAsiaTheme="minorEastAsia"/>
        </w:rPr>
        <w:t xml:space="preserve"> can rewrite this as</w:t>
      </w:r>
    </w:p>
    <w:p w:rsidR="00DF6330" w:rsidRPr="00B67C4E" w:rsidRDefault="00DF6330" w:rsidP="00DF633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TA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/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</m:sSub>
                  <m:r>
                    <w:rPr>
                      <w:rFonts w:ascii="Cambria Math" w:hAnsi="Cambria Math"/>
                    </w:rPr>
                    <m:t>/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/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ref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/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ref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:rsidR="00DF6330" w:rsidRDefault="00DF6330" w:rsidP="00DF6330">
      <w:pPr>
        <w:rPr>
          <w:rFonts w:eastAsiaTheme="minorEastAsia"/>
        </w:rPr>
      </w:pPr>
      <w:r>
        <w:rPr>
          <w:rFonts w:eastAsiaTheme="minorEastAsia"/>
        </w:rPr>
        <w:t xml:space="preserve">We can simplify this by taking out all terms </w:t>
      </w:r>
      <w:proofErr w:type="gramStart"/>
      <w:r>
        <w:rPr>
          <w:rFonts w:eastAsiaTheme="minorEastAsia"/>
        </w:rPr>
        <w:t xml:space="preserve">with </w:t>
      </w:r>
      <w:proofErr w:type="gramEnd"/>
      <m:oMath>
        <m:r>
          <w:rPr>
            <w:rFonts w:ascii="Cambria Math" w:eastAsiaTheme="minorEastAsia" w:hAnsi="Cambria Math"/>
          </w:rPr>
          <m:t>ref</m:t>
        </m:r>
      </m:oMath>
      <w:r>
        <w:rPr>
          <w:rFonts w:eastAsiaTheme="minorEastAsia"/>
        </w:rPr>
        <w:t>:</w:t>
      </w:r>
    </w:p>
    <w:p w:rsidR="00DF6330" w:rsidRPr="00B67C4E" w:rsidRDefault="00DF6330" w:rsidP="00DF633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TA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</m:sSub>
                  <m:r>
                    <w:rPr>
                      <w:rFonts w:ascii="Cambria Math" w:hAnsi="Cambria Math"/>
                    </w:rPr>
                    <m:t>/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/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</m:sSub>
                  <m:r>
                    <w:rPr>
                      <w:rFonts w:ascii="Cambria Math" w:hAnsi="Cambria Math"/>
                    </w:rPr>
                    <m:t>/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ref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×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/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</m:e>
                  </m:d>
                </m:e>
              </m:nary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/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/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:rsidR="00DF6330" w:rsidRDefault="00DF6330" w:rsidP="00DF6330">
      <w:pPr>
        <w:rPr>
          <w:rFonts w:eastAsiaTheme="minorEastAsia"/>
        </w:rPr>
      </w:pPr>
      <w:r>
        <w:rPr>
          <w:rFonts w:eastAsiaTheme="minorEastAsia"/>
        </w:rPr>
        <w:t xml:space="preserve">This last expression doesn’t contain any term that depends </w:t>
      </w:r>
      <w:proofErr w:type="gramStart"/>
      <w:r>
        <w:rPr>
          <w:rFonts w:eastAsiaTheme="minorEastAsia"/>
        </w:rPr>
        <w:t xml:space="preserve">on </w:t>
      </w:r>
      <w:proofErr w:type="gramEnd"/>
      <m:oMath>
        <m:r>
          <w:rPr>
            <w:rFonts w:ascii="Cambria Math" w:eastAsiaTheme="minorEastAsia" w:hAnsi="Cambria Math"/>
          </w:rPr>
          <m:t>ref</m:t>
        </m:r>
      </m:oMath>
      <w:r>
        <w:rPr>
          <w:rFonts w:eastAsiaTheme="minorEastAsia"/>
        </w:rPr>
        <w:t>. This proves that the share of a resource in the category total does not depend on the choice of the reference substance. If we choose for the ADP a slightly different formula, for instance with the moving average or cumulative production, this conclusion remains valid as long as we do this consistently for every resource, including the reference resource.</w:t>
      </w:r>
    </w:p>
    <w:p w:rsidR="00110E66" w:rsidRDefault="00110E66">
      <w:bookmarkStart w:id="0" w:name="_GoBack"/>
      <w:bookmarkEnd w:id="0"/>
    </w:p>
    <w:sectPr w:rsidR="00110E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30"/>
    <w:rsid w:val="00110E66"/>
    <w:rsid w:val="00D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6D929-DDC5-4A1C-AC08-BC93DED5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F6330"/>
    <w:rPr>
      <w:rFonts w:ascii="Times New Roman" w:hAnsi="Times New Roman"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Ledger</dc:creator>
  <cp:keywords/>
  <dc:description/>
  <cp:lastModifiedBy>Moira Ledger</cp:lastModifiedBy>
  <cp:revision>1</cp:revision>
  <dcterms:created xsi:type="dcterms:W3CDTF">2019-08-30T11:22:00Z</dcterms:created>
  <dcterms:modified xsi:type="dcterms:W3CDTF">2019-08-30T11:22:00Z</dcterms:modified>
</cp:coreProperties>
</file>