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D14EF" w14:textId="37384153" w:rsidR="00215082" w:rsidRPr="00C57942" w:rsidRDefault="003D7EAB" w:rsidP="003D7EAB">
      <w:pPr>
        <w:rPr>
          <w:b/>
          <w:i/>
          <w:sz w:val="28"/>
          <w:u w:val="single"/>
          <w:lang w:val="en-GB"/>
        </w:rPr>
      </w:pPr>
      <w:r w:rsidRPr="00C57942">
        <w:rPr>
          <w:b/>
          <w:i/>
          <w:sz w:val="28"/>
          <w:u w:val="single"/>
          <w:lang w:val="en-GB"/>
        </w:rPr>
        <w:t>Supplement</w:t>
      </w:r>
      <w:r w:rsidR="00215082" w:rsidRPr="00C57942">
        <w:rPr>
          <w:b/>
          <w:i/>
          <w:sz w:val="28"/>
          <w:u w:val="single"/>
          <w:lang w:val="en-GB"/>
        </w:rPr>
        <w:t>ary m</w:t>
      </w:r>
      <w:r w:rsidRPr="00C57942">
        <w:rPr>
          <w:b/>
          <w:i/>
          <w:sz w:val="28"/>
          <w:u w:val="single"/>
          <w:lang w:val="en-GB"/>
        </w:rPr>
        <w:t>aterial</w:t>
      </w:r>
      <w:r w:rsidR="00215082" w:rsidRPr="00C57942">
        <w:rPr>
          <w:b/>
          <w:i/>
          <w:sz w:val="28"/>
          <w:u w:val="single"/>
          <w:lang w:val="en-GB"/>
        </w:rPr>
        <w:t xml:space="preserve"> for </w:t>
      </w:r>
    </w:p>
    <w:p w14:paraId="199A56E4" w14:textId="6B279772" w:rsidR="00B23334" w:rsidRPr="001A0C66" w:rsidRDefault="00B23334" w:rsidP="00ED2A31">
      <w:pPr>
        <w:pStyle w:val="Titel"/>
        <w:pBdr>
          <w:top w:val="none" w:sz="0" w:space="0" w:color="auto"/>
        </w:pBdr>
        <w:jc w:val="left"/>
        <w:rPr>
          <w:rFonts w:ascii="Times New Roman" w:hAnsi="Times New Roman" w:cs="Times New Roman"/>
          <w:b/>
          <w:sz w:val="40"/>
          <w:szCs w:val="36"/>
          <w:lang w:val="en-US"/>
        </w:rPr>
      </w:pPr>
      <w:r w:rsidRPr="001A0C66">
        <w:rPr>
          <w:rFonts w:ascii="Times New Roman" w:hAnsi="Times New Roman" w:cs="Times New Roman"/>
          <w:b/>
          <w:sz w:val="40"/>
          <w:szCs w:val="36"/>
          <w:lang w:val="en-US"/>
        </w:rPr>
        <w:t>Prospective</w:t>
      </w:r>
      <w:r w:rsidRPr="001A0C66">
        <w:rPr>
          <w:rFonts w:ascii="Times New Roman" w:hAnsi="Times New Roman" w:cs="Times New Roman"/>
          <w:b/>
          <w:smallCaps w:val="0"/>
          <w:sz w:val="40"/>
          <w:szCs w:val="36"/>
          <w:lang w:val="en-US"/>
        </w:rPr>
        <w:t xml:space="preserve"> </w:t>
      </w:r>
      <w:r w:rsidRPr="001A0C66">
        <w:rPr>
          <w:rFonts w:ascii="Times New Roman" w:hAnsi="Times New Roman" w:cs="Times New Roman"/>
          <w:b/>
          <w:sz w:val="40"/>
          <w:szCs w:val="36"/>
          <w:lang w:val="en-US"/>
        </w:rPr>
        <w:t xml:space="preserve">Sustainability Assessment: The </w:t>
      </w:r>
      <w:r w:rsidR="000D2D86" w:rsidRPr="001A0C66">
        <w:rPr>
          <w:rFonts w:ascii="Times New Roman" w:hAnsi="Times New Roman" w:cs="Times New Roman"/>
          <w:b/>
          <w:sz w:val="40"/>
          <w:szCs w:val="36"/>
          <w:lang w:val="en-US"/>
        </w:rPr>
        <w:t>C</w:t>
      </w:r>
      <w:r w:rsidRPr="001A0C66">
        <w:rPr>
          <w:rFonts w:ascii="Times New Roman" w:hAnsi="Times New Roman" w:cs="Times New Roman"/>
          <w:b/>
          <w:sz w:val="40"/>
          <w:szCs w:val="36"/>
          <w:lang w:val="en-US"/>
        </w:rPr>
        <w:t>ase of Wood in Automotive Applications</w:t>
      </w:r>
    </w:p>
    <w:p w14:paraId="7728FD3B" w14:textId="77777777" w:rsidR="001A0C66" w:rsidRPr="001A0C66" w:rsidRDefault="001A0C66" w:rsidP="001A0C66">
      <w:pPr>
        <w:rPr>
          <w:sz w:val="22"/>
          <w:lang w:val="en-US"/>
        </w:rPr>
      </w:pPr>
      <w:bookmarkStart w:id="0" w:name="_Hlk39856778"/>
      <w:r w:rsidRPr="001A0C66">
        <w:rPr>
          <w:sz w:val="22"/>
          <w:lang w:val="en-US"/>
        </w:rPr>
        <w:t>Mair-Bauernfeind, Claudia</w:t>
      </w:r>
      <w:r w:rsidRPr="001A0C66">
        <w:rPr>
          <w:sz w:val="22"/>
          <w:vertAlign w:val="superscript"/>
          <w:lang w:val="en-US"/>
        </w:rPr>
        <w:t>1*</w:t>
      </w:r>
      <w:r w:rsidRPr="001A0C66">
        <w:rPr>
          <w:sz w:val="22"/>
          <w:lang w:val="en-US"/>
        </w:rPr>
        <w:t>; Zimek, Martina</w:t>
      </w:r>
      <w:r w:rsidRPr="001A0C66">
        <w:rPr>
          <w:sz w:val="22"/>
          <w:vertAlign w:val="superscript"/>
          <w:lang w:val="en-US"/>
        </w:rPr>
        <w:t>1</w:t>
      </w:r>
      <w:r w:rsidRPr="001A0C66">
        <w:rPr>
          <w:sz w:val="22"/>
          <w:lang w:val="en-US"/>
        </w:rPr>
        <w:t>; Asada, Raphael</w:t>
      </w:r>
      <w:r w:rsidRPr="001A0C66">
        <w:rPr>
          <w:sz w:val="22"/>
          <w:vertAlign w:val="superscript"/>
          <w:lang w:val="en-US"/>
        </w:rPr>
        <w:t>1</w:t>
      </w:r>
      <w:r w:rsidRPr="001A0C66">
        <w:rPr>
          <w:sz w:val="22"/>
          <w:lang w:val="en-US"/>
        </w:rPr>
        <w:t>; Bauernfeind, Daniel</w:t>
      </w:r>
      <w:r w:rsidRPr="001A0C66">
        <w:rPr>
          <w:sz w:val="22"/>
          <w:vertAlign w:val="superscript"/>
          <w:lang w:val="en-US"/>
        </w:rPr>
        <w:t>2</w:t>
      </w:r>
      <w:r w:rsidRPr="001A0C66">
        <w:rPr>
          <w:sz w:val="22"/>
          <w:lang w:val="en-US"/>
        </w:rPr>
        <w:t>; Baumgartner, Rupert J.</w:t>
      </w:r>
      <w:r w:rsidRPr="001A0C66">
        <w:rPr>
          <w:sz w:val="22"/>
          <w:vertAlign w:val="superscript"/>
          <w:lang w:val="en-US"/>
        </w:rPr>
        <w:t>1,3</w:t>
      </w:r>
      <w:r w:rsidRPr="001A0C66">
        <w:rPr>
          <w:sz w:val="22"/>
          <w:lang w:val="en-US"/>
        </w:rPr>
        <w:t>; Stern, Tobias</w:t>
      </w:r>
      <w:r w:rsidRPr="001A0C66">
        <w:rPr>
          <w:sz w:val="22"/>
          <w:vertAlign w:val="superscript"/>
          <w:lang w:val="en-US"/>
        </w:rPr>
        <w:t>1</w:t>
      </w:r>
    </w:p>
    <w:p w14:paraId="7A87C50E" w14:textId="512F7252" w:rsidR="001A0C66" w:rsidRDefault="001A0C66" w:rsidP="001A0C66">
      <w:pPr>
        <w:spacing w:after="0"/>
        <w:rPr>
          <w:rFonts w:eastAsia="Times New Roman"/>
          <w:i/>
          <w:lang w:val="en-US"/>
        </w:rPr>
      </w:pPr>
      <w:r w:rsidRPr="00985ADD">
        <w:rPr>
          <w:i/>
          <w:vertAlign w:val="superscript"/>
          <w:lang w:val="en-US"/>
        </w:rPr>
        <w:t>1</w:t>
      </w:r>
      <w:r w:rsidRPr="00985ADD">
        <w:rPr>
          <w:rFonts w:eastAsia="Times New Roman"/>
          <w:i/>
          <w:lang w:val="en-US"/>
        </w:rPr>
        <w:t xml:space="preserve">Institute of Systems Sciences, Innovation and Sustainability Research, University of Graz, </w:t>
      </w:r>
      <w:proofErr w:type="spellStart"/>
      <w:r w:rsidRPr="00985ADD">
        <w:rPr>
          <w:rFonts w:eastAsia="Times New Roman"/>
          <w:i/>
          <w:lang w:val="en-US"/>
        </w:rPr>
        <w:t>Merangasse</w:t>
      </w:r>
      <w:proofErr w:type="spellEnd"/>
      <w:r w:rsidRPr="00985ADD">
        <w:rPr>
          <w:rFonts w:eastAsia="Times New Roman"/>
          <w:i/>
          <w:lang w:val="en-US"/>
        </w:rPr>
        <w:t xml:space="preserve"> 18, 8010 Graz, </w:t>
      </w:r>
    </w:p>
    <w:p w14:paraId="24418F94" w14:textId="77777777" w:rsidR="000D0760" w:rsidRDefault="000D0760" w:rsidP="001A0C66">
      <w:pPr>
        <w:spacing w:after="0"/>
        <w:rPr>
          <w:rFonts w:eastAsia="Times New Roman"/>
          <w:i/>
          <w:lang w:val="en-US"/>
        </w:rPr>
      </w:pPr>
      <w:bookmarkStart w:id="1" w:name="_GoBack"/>
      <w:bookmarkEnd w:id="1"/>
    </w:p>
    <w:p w14:paraId="459F9768" w14:textId="43728F7B" w:rsidR="001A0C66" w:rsidRDefault="001A0C66" w:rsidP="001A0C66">
      <w:pPr>
        <w:spacing w:after="0"/>
        <w:rPr>
          <w:rFonts w:eastAsia="Times New Roman"/>
          <w:i/>
          <w:lang w:val="en-US"/>
        </w:rPr>
      </w:pPr>
      <w:r w:rsidRPr="00A832B3">
        <w:rPr>
          <w:i/>
          <w:vertAlign w:val="superscript"/>
          <w:lang w:val="en-US"/>
        </w:rPr>
        <w:t>2</w:t>
      </w:r>
      <w:r w:rsidRPr="00A832B3">
        <w:rPr>
          <w:rFonts w:eastAsia="Times New Roman"/>
          <w:i/>
          <w:lang w:val="en-US"/>
        </w:rPr>
        <w:t>Center for Computational Quantum Physics, Flatiron Institute, 162 Fifth Avenue, New York, New York 10010, USA</w:t>
      </w:r>
    </w:p>
    <w:p w14:paraId="1CF72ABE" w14:textId="77777777" w:rsidR="000D0760" w:rsidRDefault="000D0760" w:rsidP="001A0C66">
      <w:pPr>
        <w:spacing w:after="0"/>
        <w:rPr>
          <w:rFonts w:eastAsia="Times New Roman"/>
          <w:i/>
          <w:lang w:val="en-US"/>
        </w:rPr>
      </w:pPr>
    </w:p>
    <w:p w14:paraId="52D28666" w14:textId="3A1199A3" w:rsidR="001A0C66" w:rsidRDefault="001A0C66" w:rsidP="001A0C66">
      <w:pPr>
        <w:spacing w:after="0"/>
        <w:rPr>
          <w:rFonts w:eastAsia="Times New Roman"/>
          <w:i/>
          <w:lang w:val="en-US"/>
        </w:rPr>
      </w:pPr>
      <w:r w:rsidRPr="00EF1677">
        <w:rPr>
          <w:rFonts w:eastAsia="Times New Roman"/>
          <w:i/>
          <w:vertAlign w:val="superscript"/>
          <w:lang w:val="en-US"/>
        </w:rPr>
        <w:t>3</w:t>
      </w:r>
      <w:r>
        <w:rPr>
          <w:rFonts w:eastAsia="Times New Roman"/>
          <w:i/>
          <w:lang w:val="en-US"/>
        </w:rPr>
        <w:t>Christian-Doppler-Laboratory for Sustainable Product Management enabling a Circular Economy</w:t>
      </w:r>
      <w:r w:rsidRPr="00072E9B">
        <w:rPr>
          <w:rFonts w:eastAsia="Times New Roman"/>
          <w:i/>
          <w:lang w:val="en-US"/>
        </w:rPr>
        <w:t xml:space="preserve"> </w:t>
      </w:r>
      <w:proofErr w:type="spellStart"/>
      <w:r w:rsidRPr="00985ADD">
        <w:rPr>
          <w:rFonts w:eastAsia="Times New Roman"/>
          <w:i/>
          <w:lang w:val="en-US"/>
        </w:rPr>
        <w:t>Merangasse</w:t>
      </w:r>
      <w:proofErr w:type="spellEnd"/>
      <w:r w:rsidRPr="00985ADD">
        <w:rPr>
          <w:rFonts w:eastAsia="Times New Roman"/>
          <w:i/>
          <w:lang w:val="en-US"/>
        </w:rPr>
        <w:t xml:space="preserve"> 18, 8010 Graz,</w:t>
      </w:r>
    </w:p>
    <w:p w14:paraId="503FCEA4" w14:textId="77777777" w:rsidR="001A0C66" w:rsidRPr="001A0C66" w:rsidRDefault="001A0C66" w:rsidP="001A0C66">
      <w:pPr>
        <w:rPr>
          <w:rFonts w:eastAsia="Times New Roman"/>
          <w:i/>
          <w:lang w:val="en-US"/>
        </w:rPr>
      </w:pPr>
    </w:p>
    <w:p w14:paraId="717AD5D6" w14:textId="77777777" w:rsidR="001A0C66" w:rsidRPr="00985ADD" w:rsidRDefault="001A0C66" w:rsidP="001A0C66">
      <w:pPr>
        <w:rPr>
          <w:rFonts w:eastAsia="Times New Roman"/>
          <w:lang w:val="en-US"/>
        </w:rPr>
      </w:pPr>
      <w:r w:rsidRPr="00985ADD">
        <w:rPr>
          <w:rFonts w:eastAsia="Times New Roman"/>
          <w:b/>
          <w:lang w:val="en-US"/>
        </w:rPr>
        <w:t>*</w:t>
      </w:r>
      <w:r w:rsidRPr="00985ADD">
        <w:rPr>
          <w:rFonts w:eastAsia="Times New Roman"/>
          <w:lang w:val="en-US"/>
        </w:rPr>
        <w:t>Corresponding author: claudia.mair@uni-graz.at; Tel.: +43-316-380-7346</w:t>
      </w:r>
    </w:p>
    <w:bookmarkEnd w:id="0"/>
    <w:p w14:paraId="2EB860EF" w14:textId="77777777" w:rsidR="000D2D86" w:rsidRDefault="000D2D86" w:rsidP="00215082">
      <w:pPr>
        <w:pStyle w:val="berschrift1"/>
        <w:rPr>
          <w:lang w:val="en-US"/>
        </w:rPr>
      </w:pPr>
      <w:r>
        <w:rPr>
          <w:lang w:val="en-US"/>
        </w:rPr>
        <w:t xml:space="preserve">generic </w:t>
      </w:r>
      <w:r w:rsidR="003D7EAB" w:rsidRPr="00FB0019">
        <w:rPr>
          <w:lang w:val="en-US"/>
        </w:rPr>
        <w:t>S</w:t>
      </w:r>
      <w:r w:rsidR="00215082" w:rsidRPr="00FB0019">
        <w:rPr>
          <w:lang w:val="en-US"/>
        </w:rPr>
        <w:t>ocial</w:t>
      </w:r>
      <w:r w:rsidR="00FB0019" w:rsidRPr="00FB0019">
        <w:rPr>
          <w:lang w:val="en-US"/>
        </w:rPr>
        <w:t xml:space="preserve"> Life Cycle Assessment</w:t>
      </w:r>
    </w:p>
    <w:p w14:paraId="6F5B6DDF" w14:textId="26077F21" w:rsidR="005F77DD" w:rsidRPr="00FB0019" w:rsidRDefault="000D2D86" w:rsidP="000D2D86">
      <w:pPr>
        <w:rPr>
          <w:lang w:val="en-US"/>
        </w:rPr>
      </w:pPr>
      <w:r>
        <w:rPr>
          <w:lang w:val="en-US"/>
        </w:rPr>
        <w:t xml:space="preserve">The complete results of the social hotspot database are listed in Table 1. </w:t>
      </w:r>
      <w:r w:rsidR="00ED2A31" w:rsidRPr="00FB0019">
        <w:rPr>
          <w:lang w:val="en-US"/>
        </w:rPr>
        <w:t xml:space="preserve"> </w:t>
      </w:r>
      <w:r>
        <w:rPr>
          <w:lang w:val="en-US"/>
        </w:rPr>
        <w:t xml:space="preserve">A summary of those results is provided in Figure 2 in the paper. Table 2 provides a more detailed description and the data sources for all indicator chosen. </w:t>
      </w:r>
    </w:p>
    <w:p w14:paraId="5F13EAFB" w14:textId="58FBB2A5" w:rsidR="005F77DD" w:rsidRPr="005F77DD" w:rsidRDefault="005F77DD" w:rsidP="005F77DD">
      <w:pPr>
        <w:pStyle w:val="Beschriftung"/>
        <w:keepNext/>
        <w:rPr>
          <w:lang w:val="en-US"/>
        </w:rPr>
      </w:pPr>
      <w:r w:rsidRPr="005F77DD">
        <w:rPr>
          <w:lang w:val="en-US"/>
        </w:rPr>
        <w:t xml:space="preserve">Table </w:t>
      </w:r>
      <w:r>
        <w:fldChar w:fldCharType="begin"/>
      </w:r>
      <w:r w:rsidRPr="005F77DD">
        <w:rPr>
          <w:lang w:val="en-US"/>
        </w:rPr>
        <w:instrText xml:space="preserve"> SEQ Table \* ARABIC </w:instrText>
      </w:r>
      <w:r>
        <w:fldChar w:fldCharType="separate"/>
      </w:r>
      <w:r w:rsidR="00572639">
        <w:rPr>
          <w:noProof/>
          <w:lang w:val="en-US"/>
        </w:rPr>
        <w:t>1</w:t>
      </w:r>
      <w:r>
        <w:fldChar w:fldCharType="end"/>
      </w:r>
      <w:r w:rsidRPr="005F77DD">
        <w:rPr>
          <w:lang w:val="en-US"/>
        </w:rPr>
        <w:t xml:space="preserve">: </w:t>
      </w:r>
      <w:r w:rsidRPr="00F705BE">
        <w:rPr>
          <w:b w:val="0"/>
          <w:lang w:val="en-US"/>
        </w:rPr>
        <w:t xml:space="preserve">Identified high risk topics in the </w:t>
      </w:r>
      <w:sdt>
        <w:sdtPr>
          <w:rPr>
            <w:b w:val="0"/>
            <w:lang w:val="en-US"/>
          </w:rPr>
          <w:alias w:val="Don't edit this field"/>
          <w:tag w:val="CitaviPlaceholder#b9e7b6dd-63ab-4e8a-8287-a9d33b0aa4c8"/>
          <w:id w:val="1309199483"/>
          <w:placeholder>
            <w:docPart w:val="B46EF0317B0840CABC5B9A51E8DB2DC7"/>
          </w:placeholder>
        </w:sdtPr>
        <w:sdtEndPr/>
        <w:sdtContent>
          <w:r w:rsidRPr="00F705BE">
            <w:rPr>
              <w:b w:val="0"/>
              <w:lang w:val="en-US"/>
            </w:rPr>
            <w:fldChar w:fldCharType="begin"/>
          </w:r>
          <w:r w:rsidR="00DC20CF">
            <w:rPr>
              <w:b w:val="0"/>
              <w:lang w:val="en-US"/>
            </w:rPr>
            <w:instrText>ADDIN CitaviPlaceholder{eyIkaWQiOiIxIiwiRW50cmllcyI6W10sIlRhZyI6IkNpdGF2aVBsYWNlaG9sZGVyI2I5ZTdiNmRkLTYzYWItNGU4YS04Mjg3LWE5ZDMzYjBhYTRjOCIsIldBSVZlcnNpb24iOiI2LjMuMC4wIn0=}</w:instrText>
          </w:r>
          <w:r w:rsidRPr="00F705BE">
            <w:rPr>
              <w:b w:val="0"/>
              <w:lang w:val="en-US"/>
            </w:rPr>
            <w:fldChar w:fldCharType="separate"/>
          </w:r>
          <w:r w:rsidR="00D4732B" w:rsidRPr="00F705BE">
            <w:rPr>
              <w:b w:val="0"/>
              <w:lang w:val="en-US"/>
            </w:rPr>
            <w:t>SHDB</w:t>
          </w:r>
          <w:r w:rsidRPr="00F705BE">
            <w:rPr>
              <w:b w:val="0"/>
              <w:lang w:val="en-US"/>
            </w:rPr>
            <w:fldChar w:fldCharType="end"/>
          </w:r>
        </w:sdtContent>
      </w:sdt>
      <w:r w:rsidRPr="00F705BE">
        <w:rPr>
          <w:b w:val="0"/>
          <w:lang w:val="en-US"/>
        </w:rPr>
        <w:t xml:space="preserve"> </w:t>
      </w:r>
      <w:sdt>
        <w:sdtPr>
          <w:rPr>
            <w:b w:val="0"/>
            <w:lang w:val="en-US"/>
          </w:rPr>
          <w:alias w:val="Don't edit this field"/>
          <w:tag w:val="CitaviPlaceholder#e9437128-5403-482b-9a93-cd39689a3c5c"/>
          <w:id w:val="-148748857"/>
          <w:placeholder>
            <w:docPart w:val="B46EF0317B0840CABC5B9A51E8DB2DC7"/>
          </w:placeholder>
        </w:sdtPr>
        <w:sdtEndPr/>
        <w:sdtContent>
          <w:r w:rsidRPr="00F705BE">
            <w:rPr>
              <w:b w:val="0"/>
              <w:lang w:val="en-US"/>
            </w:rPr>
            <w:fldChar w:fldCharType="begin"/>
          </w:r>
          <w:r w:rsidR="00DC20CF">
            <w:rPr>
              <w:b w:val="0"/>
              <w:lang w:val="en-US"/>
            </w:rPr>
            <w:instrText>ADDIN CitaviPlaceholder{eyIkaWQiOiIxIiwiRW50cmllcyI6W10sIlRhZyI6IkNpdGF2aVBsYWNlaG9sZGVyI2U5NDM3MTI4LTU0MDMtNDgyYi05YTkzLWNkMzk2ODlhM2M1YyIsIldBSVZlcnNpb24iOiI2LjMuMC4wIn0=}</w:instrText>
          </w:r>
          <w:r w:rsidRPr="00F705BE">
            <w:rPr>
              <w:b w:val="0"/>
              <w:lang w:val="en-US"/>
            </w:rPr>
            <w:fldChar w:fldCharType="separate"/>
          </w:r>
          <w:r w:rsidR="00D4732B" w:rsidRPr="00F705BE">
            <w:rPr>
              <w:b w:val="0"/>
              <w:lang w:val="en-US"/>
            </w:rPr>
            <w:t>(2019)</w:t>
          </w:r>
          <w:r w:rsidRPr="00F705BE">
            <w:rPr>
              <w:b w:val="0"/>
              <w:lang w:val="en-US"/>
            </w:rPr>
            <w:fldChar w:fldCharType="end"/>
          </w:r>
        </w:sdtContent>
      </w:sdt>
      <w:r w:rsidRPr="00F705BE">
        <w:rPr>
          <w:b w:val="0"/>
          <w:lang w:val="en-US"/>
        </w:rPr>
        <w:t xml:space="preserve">, assigned to the subcategories and stakeholdergroups of the </w:t>
      </w:r>
      <w:sdt>
        <w:sdtPr>
          <w:rPr>
            <w:b w:val="0"/>
            <w:lang w:val="en-US"/>
          </w:rPr>
          <w:alias w:val="Don't edit this field"/>
          <w:tag w:val="CitaviPlaceholder#d0891f29-2a2e-4710-afdd-67915ae551ec"/>
          <w:id w:val="901561489"/>
          <w:placeholder>
            <w:docPart w:val="B46EF0317B0840CABC5B9A51E8DB2DC7"/>
          </w:placeholder>
        </w:sdtPr>
        <w:sdtEndPr/>
        <w:sdtContent>
          <w:r w:rsidRPr="00F705BE">
            <w:rPr>
              <w:b w:val="0"/>
              <w:lang w:val="en-US"/>
            </w:rPr>
            <w:fldChar w:fldCharType="begin"/>
          </w:r>
          <w:r w:rsidR="00DC20CF">
            <w:rPr>
              <w:b w:val="0"/>
              <w:lang w:val="en-US"/>
            </w:rPr>
            <w:instrText>ADDIN CitaviPlaceholder{eyIkaWQiOiIxIiwiRW50cmllcyI6W10sIlRhZyI6IkNpdGF2aVBsYWNlaG9sZGVyI2QwODkxZjI5LTJhMmUtNDcxMC1hZmRkLTY3OTE1YWU1NTFlYyIsIldBSVZlcnNpb24iOiI2LjMuMC4wIn0=}</w:instrText>
          </w:r>
          <w:r w:rsidRPr="00F705BE">
            <w:rPr>
              <w:b w:val="0"/>
              <w:lang w:val="en-US"/>
            </w:rPr>
            <w:fldChar w:fldCharType="separate"/>
          </w:r>
          <w:r w:rsidR="00D4732B" w:rsidRPr="00F705BE">
            <w:rPr>
              <w:b w:val="0"/>
              <w:lang w:val="en-US"/>
            </w:rPr>
            <w:t>UNEP/SETAC</w:t>
          </w:r>
          <w:r w:rsidRPr="00F705BE">
            <w:rPr>
              <w:b w:val="0"/>
              <w:lang w:val="en-US"/>
            </w:rPr>
            <w:fldChar w:fldCharType="end"/>
          </w:r>
        </w:sdtContent>
      </w:sdt>
      <w:r w:rsidRPr="00F705BE">
        <w:rPr>
          <w:b w:val="0"/>
          <w:lang w:val="en-US"/>
        </w:rPr>
        <w:t xml:space="preserve"> </w:t>
      </w:r>
      <w:sdt>
        <w:sdtPr>
          <w:rPr>
            <w:b w:val="0"/>
            <w:lang w:val="en-US"/>
          </w:rPr>
          <w:alias w:val="Don't edit this field"/>
          <w:tag w:val="CitaviPlaceholder#e7e5321c-dd06-4976-aaef-a53e8fdd0651"/>
          <w:id w:val="1661504707"/>
          <w:placeholder>
            <w:docPart w:val="B46EF0317B0840CABC5B9A51E8DB2DC7"/>
          </w:placeholder>
        </w:sdtPr>
        <w:sdtEndPr/>
        <w:sdtContent>
          <w:r w:rsidRPr="00F705BE">
            <w:rPr>
              <w:b w:val="0"/>
              <w:lang w:val="en-US"/>
            </w:rPr>
            <w:fldChar w:fldCharType="begin"/>
          </w:r>
          <w:r w:rsidR="00DC20CF">
            <w:rPr>
              <w:b w:val="0"/>
              <w:lang w:val="en-US"/>
            </w:rPr>
            <w:instrText>ADDIN CitaviPlaceholder{eyIkaWQiOiIxIiwiRW50cmllcyI6W10sIlRhZyI6IkNpdGF2aVBsYWNlaG9sZGVyI2U3ZTUzMjFjLWRkMDYtNDk3Ni1hYWVmLWE1M2U4ZmRkMDY1MSIsIldBSVZlcnNpb24iOiI2LjMuMC4wIn0=}</w:instrText>
          </w:r>
          <w:r w:rsidRPr="00F705BE">
            <w:rPr>
              <w:b w:val="0"/>
              <w:lang w:val="en-US"/>
            </w:rPr>
            <w:fldChar w:fldCharType="separate"/>
          </w:r>
          <w:r w:rsidR="00D4732B" w:rsidRPr="00F705BE">
            <w:rPr>
              <w:b w:val="0"/>
              <w:lang w:val="en-US"/>
            </w:rPr>
            <w:t>(2009)</w:t>
          </w:r>
          <w:r w:rsidRPr="00F705BE">
            <w:rPr>
              <w:b w:val="0"/>
              <w:lang w:val="en-US"/>
            </w:rPr>
            <w:fldChar w:fldCharType="end"/>
          </w:r>
        </w:sdtContent>
      </w:sdt>
      <w:r w:rsidRPr="00F705BE">
        <w:rPr>
          <w:b w:val="0"/>
          <w:lang w:val="en-US"/>
        </w:rPr>
        <w:t xml:space="preserve"> guidelines</w:t>
      </w:r>
    </w:p>
    <w:tbl>
      <w:tblPr>
        <w:tblW w:w="9866" w:type="dxa"/>
        <w:tblBorders>
          <w:insideH w:val="single" w:sz="4" w:space="0" w:color="auto"/>
        </w:tblBorders>
        <w:tblCellMar>
          <w:left w:w="0" w:type="dxa"/>
          <w:right w:w="0" w:type="dxa"/>
        </w:tblCellMar>
        <w:tblLook w:val="0600" w:firstRow="0" w:lastRow="0" w:firstColumn="0" w:lastColumn="0" w:noHBand="1" w:noVBand="1"/>
      </w:tblPr>
      <w:tblGrid>
        <w:gridCol w:w="791"/>
        <w:gridCol w:w="901"/>
        <w:gridCol w:w="3313"/>
        <w:gridCol w:w="188"/>
        <w:gridCol w:w="188"/>
        <w:gridCol w:w="335"/>
        <w:gridCol w:w="188"/>
        <w:gridCol w:w="188"/>
        <w:gridCol w:w="188"/>
        <w:gridCol w:w="188"/>
        <w:gridCol w:w="188"/>
        <w:gridCol w:w="188"/>
        <w:gridCol w:w="188"/>
        <w:gridCol w:w="188"/>
        <w:gridCol w:w="188"/>
        <w:gridCol w:w="188"/>
        <w:gridCol w:w="188"/>
        <w:gridCol w:w="188"/>
        <w:gridCol w:w="188"/>
        <w:gridCol w:w="188"/>
        <w:gridCol w:w="188"/>
        <w:gridCol w:w="188"/>
        <w:gridCol w:w="188"/>
        <w:gridCol w:w="188"/>
        <w:gridCol w:w="188"/>
        <w:gridCol w:w="390"/>
        <w:gridCol w:w="188"/>
      </w:tblGrid>
      <w:tr w:rsidR="005F77DD" w:rsidRPr="000D0760" w14:paraId="17845EB3" w14:textId="77777777" w:rsidTr="00844320">
        <w:trPr>
          <w:cantSplit/>
          <w:trHeight w:val="20"/>
        </w:trPr>
        <w:tc>
          <w:tcPr>
            <w:tcW w:w="797" w:type="dxa"/>
            <w:vMerge w:val="restart"/>
            <w:shd w:val="clear" w:color="auto" w:fill="auto"/>
            <w:tcMar>
              <w:top w:w="3" w:type="dxa"/>
              <w:left w:w="3" w:type="dxa"/>
              <w:bottom w:w="0" w:type="dxa"/>
              <w:right w:w="3" w:type="dxa"/>
            </w:tcMar>
            <w:textDirection w:val="btLr"/>
            <w:vAlign w:val="center"/>
            <w:hideMark/>
          </w:tcPr>
          <w:p w14:paraId="5F50D79C"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Stakeholder group</w:t>
            </w:r>
          </w:p>
        </w:tc>
        <w:tc>
          <w:tcPr>
            <w:tcW w:w="904" w:type="dxa"/>
            <w:vMerge w:val="restart"/>
            <w:shd w:val="clear" w:color="auto" w:fill="auto"/>
            <w:tcMar>
              <w:top w:w="3" w:type="dxa"/>
              <w:left w:w="3" w:type="dxa"/>
              <w:bottom w:w="0" w:type="dxa"/>
              <w:right w:w="3" w:type="dxa"/>
            </w:tcMar>
            <w:textDirection w:val="btLr"/>
            <w:vAlign w:val="center"/>
            <w:hideMark/>
          </w:tcPr>
          <w:p w14:paraId="3B6C7462"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 xml:space="preserve">Subcategory </w:t>
            </w:r>
          </w:p>
        </w:tc>
        <w:tc>
          <w:tcPr>
            <w:tcW w:w="3402" w:type="dxa"/>
            <w:vMerge w:val="restart"/>
            <w:tcBorders>
              <w:right w:val="single" w:sz="4" w:space="0" w:color="auto"/>
            </w:tcBorders>
            <w:shd w:val="clear" w:color="auto" w:fill="auto"/>
            <w:tcMar>
              <w:top w:w="3" w:type="dxa"/>
              <w:left w:w="3" w:type="dxa"/>
              <w:bottom w:w="0" w:type="dxa"/>
              <w:right w:w="3" w:type="dxa"/>
            </w:tcMar>
            <w:textDirection w:val="btLr"/>
            <w:vAlign w:val="center"/>
            <w:hideMark/>
          </w:tcPr>
          <w:p w14:paraId="4AB9AA71"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Indicator</w:t>
            </w:r>
          </w:p>
        </w:tc>
        <w:tc>
          <w:tcPr>
            <w:tcW w:w="1438" w:type="dxa"/>
            <w:gridSpan w:val="7"/>
            <w:tcBorders>
              <w:top w:val="nil"/>
              <w:left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4FCC9EE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wood (forestry, wood products)</w:t>
            </w:r>
          </w:p>
        </w:tc>
        <w:tc>
          <w:tcPr>
            <w:tcW w:w="3325" w:type="dxa"/>
            <w:gridSpan w:val="17"/>
            <w:tcBorders>
              <w:top w:val="nil"/>
              <w:left w:val="single" w:sz="4" w:space="0" w:color="auto"/>
              <w:bottom w:val="single" w:sz="4" w:space="0" w:color="auto"/>
              <w:right w:val="single" w:sz="4" w:space="0" w:color="auto"/>
            </w:tcBorders>
            <w:shd w:val="clear" w:color="auto" w:fill="auto"/>
            <w:tcMar>
              <w:top w:w="3" w:type="dxa"/>
              <w:left w:w="3" w:type="dxa"/>
              <w:bottom w:w="0" w:type="dxa"/>
              <w:right w:w="3" w:type="dxa"/>
            </w:tcMar>
            <w:vAlign w:val="center"/>
            <w:hideMark/>
          </w:tcPr>
          <w:p w14:paraId="77F89BF8" w14:textId="2AFF48F6" w:rsidR="005F77DD" w:rsidRPr="005F77DD" w:rsidRDefault="005F77DD" w:rsidP="005F77DD">
            <w:pPr>
              <w:spacing w:after="0" w:line="240" w:lineRule="auto"/>
              <w:jc w:val="center"/>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 xml:space="preserve">steel (minerals </w:t>
            </w:r>
            <w:r w:rsidR="001A0C66" w:rsidRPr="005F77DD">
              <w:rPr>
                <w:rFonts w:ascii="Calibri Light" w:eastAsia="Times New Roman" w:hAnsi="Calibri Light" w:cs="Calibri Light"/>
                <w:color w:val="000000"/>
                <w:kern w:val="24"/>
                <w:sz w:val="14"/>
                <w:szCs w:val="14"/>
                <w:lang w:val="en-US"/>
              </w:rPr>
              <w:t>NEC</w:t>
            </w:r>
            <w:r w:rsidRPr="005F77DD">
              <w:rPr>
                <w:rFonts w:ascii="Calibri Light" w:eastAsia="Times New Roman" w:hAnsi="Calibri Light" w:cs="Calibri Light"/>
                <w:color w:val="000000"/>
                <w:kern w:val="24"/>
                <w:sz w:val="14"/>
                <w:szCs w:val="14"/>
                <w:lang w:val="en-US"/>
              </w:rPr>
              <w:t>, ferrous metals)</w:t>
            </w:r>
          </w:p>
        </w:tc>
      </w:tr>
      <w:tr w:rsidR="005F77DD" w:rsidRPr="00B23334" w14:paraId="30417701" w14:textId="77777777" w:rsidTr="00844320">
        <w:trPr>
          <w:cantSplit/>
          <w:trHeight w:val="792"/>
        </w:trPr>
        <w:tc>
          <w:tcPr>
            <w:tcW w:w="0" w:type="auto"/>
            <w:vMerge/>
            <w:shd w:val="clear" w:color="auto" w:fill="auto"/>
            <w:vAlign w:val="center"/>
            <w:hideMark/>
          </w:tcPr>
          <w:p w14:paraId="4C31B831"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2A740E5D"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vMerge/>
            <w:tcBorders>
              <w:right w:val="single" w:sz="4" w:space="0" w:color="auto"/>
            </w:tcBorders>
            <w:shd w:val="clear" w:color="auto" w:fill="auto"/>
            <w:vAlign w:val="center"/>
            <w:hideMark/>
          </w:tcPr>
          <w:p w14:paraId="4157C21A" w14:textId="77777777" w:rsidR="005F77DD" w:rsidRPr="005F77DD" w:rsidRDefault="005F77DD" w:rsidP="005F77DD">
            <w:pPr>
              <w:spacing w:after="0" w:line="240" w:lineRule="auto"/>
              <w:rPr>
                <w:rFonts w:ascii="Arial" w:eastAsia="Times New Roman" w:hAnsi="Arial" w:cs="Arial"/>
                <w:sz w:val="36"/>
                <w:szCs w:val="36"/>
                <w:lang w:val="en-US"/>
              </w:rPr>
            </w:pP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5EBE41C0"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Austria</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43ED4894"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Croatia</w:t>
            </w:r>
          </w:p>
        </w:tc>
        <w:tc>
          <w:tcPr>
            <w:tcW w:w="340"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010629D7"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Czech Republic</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647FC8F0"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Germany</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154C82FF"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Hungary</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334A2D7B"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Slovakia</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textDirection w:val="btLr"/>
            <w:vAlign w:val="center"/>
            <w:hideMark/>
          </w:tcPr>
          <w:p w14:paraId="3FBF8E0B"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Slovenia</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32B904FA"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Austria</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7F00C182"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Belgium</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5B0C9E7F"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Brazil</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0E295B29"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Chile</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639AF262"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France</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4A51862C"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Germany</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34952764"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Italy</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59150643"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Kazakhstan</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169E1780"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Netherlands</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49F85733"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Peru</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5736273A"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Poland</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538BC4E5"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Russia</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340D6374"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Spain</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00AD1FF4"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Sweden</w:t>
            </w:r>
          </w:p>
        </w:tc>
        <w:tc>
          <w:tcPr>
            <w:tcW w:w="183"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0CAF79B5"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Ukraine</w:t>
            </w:r>
          </w:p>
        </w:tc>
        <w:tc>
          <w:tcPr>
            <w:tcW w:w="397" w:type="dxa"/>
            <w:tcBorders>
              <w:top w:val="single" w:sz="4" w:space="0" w:color="auto"/>
              <w:bottom w:val="single" w:sz="4" w:space="0" w:color="auto"/>
            </w:tcBorders>
            <w:shd w:val="clear" w:color="auto" w:fill="auto"/>
            <w:tcMar>
              <w:top w:w="3" w:type="dxa"/>
              <w:left w:w="3" w:type="dxa"/>
              <w:bottom w:w="0" w:type="dxa"/>
              <w:right w:w="3" w:type="dxa"/>
            </w:tcMar>
            <w:textDirection w:val="btLr"/>
            <w:vAlign w:val="center"/>
            <w:hideMark/>
          </w:tcPr>
          <w:p w14:paraId="42DCD2B9"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United Kingdom</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textDirection w:val="btLr"/>
            <w:vAlign w:val="center"/>
            <w:hideMark/>
          </w:tcPr>
          <w:p w14:paraId="2C8CCA81"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Venezuela</w:t>
            </w:r>
          </w:p>
        </w:tc>
      </w:tr>
      <w:tr w:rsidR="005F77DD" w:rsidRPr="00B23334" w14:paraId="5553B3A9" w14:textId="77777777" w:rsidTr="00844320">
        <w:trPr>
          <w:cantSplit/>
          <w:trHeight w:val="20"/>
        </w:trPr>
        <w:tc>
          <w:tcPr>
            <w:tcW w:w="797" w:type="dxa"/>
            <w:vMerge w:val="restart"/>
            <w:shd w:val="clear" w:color="auto" w:fill="auto"/>
            <w:tcMar>
              <w:top w:w="3" w:type="dxa"/>
              <w:left w:w="3" w:type="dxa"/>
              <w:bottom w:w="0" w:type="dxa"/>
              <w:right w:w="3" w:type="dxa"/>
            </w:tcMar>
            <w:vAlign w:val="center"/>
            <w:hideMark/>
          </w:tcPr>
          <w:p w14:paraId="5A7F276C" w14:textId="77777777" w:rsidR="005F77DD" w:rsidRPr="005F77DD" w:rsidRDefault="005F77DD" w:rsidP="005F77DD">
            <w:pPr>
              <w:spacing w:after="0" w:line="240" w:lineRule="auto"/>
              <w:jc w:val="center"/>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Worker</w:t>
            </w:r>
          </w:p>
        </w:tc>
        <w:tc>
          <w:tcPr>
            <w:tcW w:w="904" w:type="dxa"/>
            <w:vMerge w:val="restart"/>
            <w:shd w:val="clear" w:color="auto" w:fill="auto"/>
            <w:tcMar>
              <w:top w:w="3" w:type="dxa"/>
              <w:left w:w="3" w:type="dxa"/>
              <w:bottom w:w="0" w:type="dxa"/>
              <w:right w:w="3" w:type="dxa"/>
            </w:tcMar>
            <w:vAlign w:val="center"/>
            <w:hideMark/>
          </w:tcPr>
          <w:p w14:paraId="5B182DB4"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Fair Salary</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499E3991"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Sector Average Wage being lower than Country's Minimum Wage</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6134E1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DA776B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82F4D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6F7E78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7AC0F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49E57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4F63F8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5F125B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F3FE1E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0CB06C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7CFFDA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1429EB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3CFFBB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CF98E6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CD7D75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F6DC02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070BEC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053BDD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7A5FFD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550A8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78125E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097A80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5159BE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90A25A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B23334" w14:paraId="34C0ED9A" w14:textId="77777777" w:rsidTr="00844320">
        <w:trPr>
          <w:cantSplit/>
          <w:trHeight w:val="20"/>
        </w:trPr>
        <w:tc>
          <w:tcPr>
            <w:tcW w:w="0" w:type="auto"/>
            <w:vMerge/>
            <w:shd w:val="clear" w:color="auto" w:fill="auto"/>
            <w:vAlign w:val="center"/>
            <w:hideMark/>
          </w:tcPr>
          <w:p w14:paraId="0720507C"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7DBC62B6"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3F23CCC3"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Sector Average Wage being lower than country's Non-poverty Guideline</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B733D5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F06018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475BC0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3BC7CD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10D30F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1B97A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79565B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96BEFF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E2232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6ABCF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BE06C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A8C47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486871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F9401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01D92A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99086C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890812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AB67ED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2DE71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A07FC8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70B63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20A512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0D795A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9956E9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0D0760" w14:paraId="4EBBABE2" w14:textId="77777777" w:rsidTr="00844320">
        <w:trPr>
          <w:cantSplit/>
          <w:trHeight w:val="20"/>
        </w:trPr>
        <w:tc>
          <w:tcPr>
            <w:tcW w:w="0" w:type="auto"/>
            <w:vMerge/>
            <w:shd w:val="clear" w:color="auto" w:fill="auto"/>
            <w:vAlign w:val="center"/>
            <w:hideMark/>
          </w:tcPr>
          <w:p w14:paraId="6867F6BF"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7771FA5D"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6A9EC116"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country does not pay immigrants enough for remittances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67625A3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32B8EB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90E54F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5DFB10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1970CB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CFCB0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0ABCF3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A3A23F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382752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D60CE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B9AD5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23AED7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9B5D84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037365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2DA9C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D7649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53B46F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E1DE4C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DE232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3F72A8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26EF4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B580A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A148F8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1D3359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B23334" w14:paraId="63180BBE" w14:textId="77777777" w:rsidTr="00844320">
        <w:trPr>
          <w:cantSplit/>
          <w:trHeight w:val="20"/>
        </w:trPr>
        <w:tc>
          <w:tcPr>
            <w:tcW w:w="0" w:type="auto"/>
            <w:vMerge/>
            <w:shd w:val="clear" w:color="auto" w:fill="auto"/>
            <w:vAlign w:val="center"/>
            <w:hideMark/>
          </w:tcPr>
          <w:p w14:paraId="10BDE8A0"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val="restart"/>
            <w:shd w:val="clear" w:color="auto" w:fill="auto"/>
            <w:tcMar>
              <w:top w:w="3" w:type="dxa"/>
              <w:left w:w="3" w:type="dxa"/>
              <w:bottom w:w="0" w:type="dxa"/>
              <w:right w:w="3" w:type="dxa"/>
            </w:tcMar>
            <w:vAlign w:val="center"/>
            <w:hideMark/>
          </w:tcPr>
          <w:p w14:paraId="60920EB3"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Child labor</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5E4ADB4B"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Child labor in sector, female</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8CBA62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7B24B8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E089C1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59DA1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11101E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483727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41CBB7E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3F5B928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7117C6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4DDF46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F4DDD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9F0631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155FB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D05AF7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E296D1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64A73F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150243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A8B6A5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17B633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5995BF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769F4A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DBE0B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C49C1B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498C05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B23334" w14:paraId="7859A6E8" w14:textId="77777777" w:rsidTr="00844320">
        <w:trPr>
          <w:cantSplit/>
          <w:trHeight w:val="20"/>
        </w:trPr>
        <w:tc>
          <w:tcPr>
            <w:tcW w:w="0" w:type="auto"/>
            <w:vMerge/>
            <w:shd w:val="clear" w:color="auto" w:fill="auto"/>
            <w:vAlign w:val="center"/>
            <w:hideMark/>
          </w:tcPr>
          <w:p w14:paraId="2C876A11"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61FCD32F"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3B3E9714"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Child labor in sector, Male</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6B36AE6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BCDCB5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0FD758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692C87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821197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8DB498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2FA031E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FA6784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061191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80BF39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D8C2A0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535A11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571D8E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B9BF9A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9C64C2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765043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96039E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993C8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0B43EC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DD8CDB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159415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82BC99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2E132B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463164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B23334" w14:paraId="622C319F" w14:textId="77777777" w:rsidTr="00844320">
        <w:trPr>
          <w:cantSplit/>
          <w:trHeight w:val="20"/>
        </w:trPr>
        <w:tc>
          <w:tcPr>
            <w:tcW w:w="0" w:type="auto"/>
            <w:vMerge/>
            <w:shd w:val="clear" w:color="auto" w:fill="auto"/>
            <w:vAlign w:val="center"/>
            <w:hideMark/>
          </w:tcPr>
          <w:p w14:paraId="226516AF"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1B23E98E"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4BC3A5FB"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Child labor in sector, Total</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BC36D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343B6C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7C89BE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12E1E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D71A06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246E4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FA8981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31DF06E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4191C2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5988D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FE2777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E0D08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515EB1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E8D1C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2C4CC3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2DBE6D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932FC0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3FA738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A2FC31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55CEFA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96385E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14E8C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31F51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A93C65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B23334" w14:paraId="0ADB9EA3" w14:textId="77777777" w:rsidTr="00844320">
        <w:trPr>
          <w:cantSplit/>
          <w:trHeight w:val="20"/>
        </w:trPr>
        <w:tc>
          <w:tcPr>
            <w:tcW w:w="0" w:type="auto"/>
            <w:vMerge/>
            <w:shd w:val="clear" w:color="auto" w:fill="auto"/>
            <w:vAlign w:val="center"/>
            <w:hideMark/>
          </w:tcPr>
          <w:p w14:paraId="547887F0"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val="restart"/>
            <w:shd w:val="clear" w:color="auto" w:fill="auto"/>
            <w:tcMar>
              <w:top w:w="3" w:type="dxa"/>
              <w:left w:w="3" w:type="dxa"/>
              <w:bottom w:w="0" w:type="dxa"/>
              <w:right w:w="3" w:type="dxa"/>
            </w:tcMar>
            <w:vAlign w:val="center"/>
            <w:hideMark/>
          </w:tcPr>
          <w:p w14:paraId="2F03E099"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Forced Labor</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42CC2253"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forced Labor by sector</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C4DB4B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C1A1C1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0B512E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DA3BCC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D8DFE5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63974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6AFCE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191A51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B77641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E4755B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1B03BD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0F4E30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B64C4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599E7D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5FC9B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1C97A0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95BE3A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39F1A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F7BDD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D3C150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FFF26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A02539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64DDEB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464D21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B23334" w14:paraId="626B1F8E" w14:textId="77777777" w:rsidTr="00844320">
        <w:trPr>
          <w:cantSplit/>
          <w:trHeight w:val="20"/>
        </w:trPr>
        <w:tc>
          <w:tcPr>
            <w:tcW w:w="0" w:type="auto"/>
            <w:vMerge/>
            <w:shd w:val="clear" w:color="auto" w:fill="auto"/>
            <w:vAlign w:val="center"/>
            <w:hideMark/>
          </w:tcPr>
          <w:p w14:paraId="26617921"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0470BD62"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741E1CA2" w14:textId="4DE33D13"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 xml:space="preserve">Characterization of International </w:t>
            </w:r>
            <w:r w:rsidR="001A0C66" w:rsidRPr="005F77DD">
              <w:rPr>
                <w:rFonts w:ascii="Calibri Light" w:eastAsia="Times New Roman" w:hAnsi="Calibri Light" w:cs="Calibri Light"/>
                <w:color w:val="000000"/>
                <w:kern w:val="24"/>
                <w:sz w:val="14"/>
                <w:szCs w:val="14"/>
                <w:lang w:val="en-US"/>
              </w:rPr>
              <w:t>Labor</w:t>
            </w:r>
            <w:r w:rsidRPr="005F77DD">
              <w:rPr>
                <w:rFonts w:ascii="Calibri Light" w:eastAsia="Times New Roman" w:hAnsi="Calibri Light" w:cs="Calibri Light"/>
                <w:color w:val="000000"/>
                <w:kern w:val="24"/>
                <w:sz w:val="14"/>
                <w:szCs w:val="14"/>
                <w:lang w:val="en-US"/>
              </w:rPr>
              <w:t xml:space="preserve"> Organization's Forced Labor Regional Estimate</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23D705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A0C367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19334A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588D7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37E60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812FB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90FE1F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15C5E7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FA14C8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00D72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D4A57A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81221E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AAC3CA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A02F1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3C077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1F7F06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FCD3B9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F72CEF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27BC24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0D9467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A70CB7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43ABA0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00371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F4DB02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B23334" w14:paraId="21DCEA5D" w14:textId="77777777" w:rsidTr="00844320">
        <w:trPr>
          <w:cantSplit/>
          <w:trHeight w:val="20"/>
        </w:trPr>
        <w:tc>
          <w:tcPr>
            <w:tcW w:w="0" w:type="auto"/>
            <w:vMerge/>
            <w:shd w:val="clear" w:color="auto" w:fill="auto"/>
            <w:vAlign w:val="center"/>
            <w:hideMark/>
          </w:tcPr>
          <w:p w14:paraId="42A679B4"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val="restart"/>
            <w:shd w:val="clear" w:color="auto" w:fill="auto"/>
            <w:tcMar>
              <w:top w:w="3" w:type="dxa"/>
              <w:left w:w="3" w:type="dxa"/>
              <w:bottom w:w="0" w:type="dxa"/>
              <w:right w:w="3" w:type="dxa"/>
            </w:tcMar>
            <w:vAlign w:val="center"/>
            <w:hideMark/>
          </w:tcPr>
          <w:p w14:paraId="0797D68B" w14:textId="77777777" w:rsidR="005F77DD" w:rsidRPr="005F77DD" w:rsidRDefault="005F77DD" w:rsidP="00286E51">
            <w:pPr>
              <w:spacing w:after="0" w:line="240" w:lineRule="auto"/>
              <w:jc w:val="left"/>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Freedom of Association and Collective Bargaining</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670E5867"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a country lacks or does not enforce Collective Bargaining rights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C62535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323137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3AF335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5192C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B77E38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15FD38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443ECE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CE4B04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4BD43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418E07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9687F6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8EBD55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64B61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4AB36E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765F09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CBC54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05CB26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F35D3D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F0BD90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492F00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40E7B9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A7CA7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20EE7B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0DBF89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104E3531" w14:textId="77777777" w:rsidTr="00844320">
        <w:trPr>
          <w:cantSplit/>
          <w:trHeight w:val="20"/>
        </w:trPr>
        <w:tc>
          <w:tcPr>
            <w:tcW w:w="0" w:type="auto"/>
            <w:vMerge/>
            <w:shd w:val="clear" w:color="auto" w:fill="auto"/>
            <w:vAlign w:val="center"/>
            <w:hideMark/>
          </w:tcPr>
          <w:p w14:paraId="3317B107"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2EEF18B5"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2593B651"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a country lacks or does not enforce the Right to Strike</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EC5FDB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CA4445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DE305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AF1741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C0055B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E493B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2303853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91B19A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FB3E0C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2C211B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A2EB64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D14AED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D846C8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43A17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9968E8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FE6964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1FF55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113D27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07DDA1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725CEA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0749CC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AF512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C98E3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361217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1F20BA45" w14:textId="77777777" w:rsidTr="00844320">
        <w:trPr>
          <w:cantSplit/>
          <w:trHeight w:val="20"/>
        </w:trPr>
        <w:tc>
          <w:tcPr>
            <w:tcW w:w="0" w:type="auto"/>
            <w:vMerge/>
            <w:shd w:val="clear" w:color="auto" w:fill="auto"/>
            <w:vAlign w:val="center"/>
            <w:hideMark/>
          </w:tcPr>
          <w:p w14:paraId="235B538C"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val="restart"/>
            <w:shd w:val="clear" w:color="auto" w:fill="auto"/>
            <w:tcMar>
              <w:top w:w="3" w:type="dxa"/>
              <w:left w:w="3" w:type="dxa"/>
              <w:bottom w:w="0" w:type="dxa"/>
              <w:right w:w="3" w:type="dxa"/>
            </w:tcMar>
            <w:vAlign w:val="center"/>
            <w:hideMark/>
          </w:tcPr>
          <w:p w14:paraId="01A0E4ED"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Equal opportunities/ Discrimination</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147AFB04"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a country has not ratified international conventions or set up policies for immigrants - indicator 1</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CFC94A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0DFCBF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4A04CC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AE087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386C00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381926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CD951C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824190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E0656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A9DF32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872DB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F17E9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F91B6F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256C0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AE7F9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361BA6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73875F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C11F37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B7318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9F381B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DC572B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ACE0F9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3940D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57A47C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32EB83AE" w14:textId="77777777" w:rsidTr="00844320">
        <w:trPr>
          <w:cantSplit/>
          <w:trHeight w:val="20"/>
        </w:trPr>
        <w:tc>
          <w:tcPr>
            <w:tcW w:w="0" w:type="auto"/>
            <w:vMerge/>
            <w:shd w:val="clear" w:color="auto" w:fill="auto"/>
            <w:vAlign w:val="center"/>
            <w:hideMark/>
          </w:tcPr>
          <w:p w14:paraId="4596B126"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4116CE9B"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2300D4F2"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a country has not ratified international conventions or set up policies for immigrants - indicator 2</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1F60A1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ED63A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14D51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6406C0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07D7F7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98EFAA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D32A20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A7E935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E7AF0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7315B8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9143A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EDD2FF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684F4F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B654F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E73CA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80EF59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0EF6AC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E1445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079FD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B8BB39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975F32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CFD578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140A1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1D4271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2025C118" w14:textId="77777777" w:rsidTr="00844320">
        <w:trPr>
          <w:cantSplit/>
          <w:trHeight w:val="20"/>
        </w:trPr>
        <w:tc>
          <w:tcPr>
            <w:tcW w:w="0" w:type="auto"/>
            <w:vMerge/>
            <w:shd w:val="clear" w:color="auto" w:fill="auto"/>
            <w:vAlign w:val="center"/>
            <w:hideMark/>
          </w:tcPr>
          <w:p w14:paraId="10276F26"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53DFBC7A"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494E6C96"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a country has not ratified international conventions or set up policies for immigrants - indicator 3</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60A88F4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D8DA05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4DD62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1D126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C58901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9C16B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B21822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F8B6AD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28F5F7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14D9D6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99CAEC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AEA801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140736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098251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7D3A1B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EF084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91E354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6EE032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3FC221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AB4E9A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973A97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53839B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90B811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963439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6E1F1C3B" w14:textId="77777777" w:rsidTr="00844320">
        <w:trPr>
          <w:cantSplit/>
          <w:trHeight w:val="20"/>
        </w:trPr>
        <w:tc>
          <w:tcPr>
            <w:tcW w:w="0" w:type="auto"/>
            <w:vMerge/>
            <w:shd w:val="clear" w:color="auto" w:fill="auto"/>
            <w:vAlign w:val="center"/>
            <w:hideMark/>
          </w:tcPr>
          <w:p w14:paraId="636D6E23"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78272C4C"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11DB5BEB"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a country has not ratified international conventions or set up policies for immigrants - indicator 4</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762070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6B4B4B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D86BA0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49AC89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0E88A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59E085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AB229D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FFB5D0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92D3D4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7955F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87707B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970988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F99509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B54B9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1224D4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FC749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F10A03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E01B8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8CDC1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9E4344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2B72E9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8213D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13F1A0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CD68E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36D396E3" w14:textId="77777777" w:rsidTr="00844320">
        <w:trPr>
          <w:cantSplit/>
          <w:trHeight w:val="20"/>
        </w:trPr>
        <w:tc>
          <w:tcPr>
            <w:tcW w:w="0" w:type="auto"/>
            <w:vMerge/>
            <w:shd w:val="clear" w:color="auto" w:fill="auto"/>
            <w:vAlign w:val="center"/>
            <w:hideMark/>
          </w:tcPr>
          <w:p w14:paraId="3A8AFCF8"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0117818D"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7DD1AE53"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migrant workers are treated unfairly (qualitative)</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019978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0D6A7F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5F5FF0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944882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528224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FB6C22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143F26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6B7C3F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2E4E2E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1E240A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FD6A34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843BC0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990561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143A77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B7D5F4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3BCB36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93A895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5B46CF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5C44BE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A04AB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E5EFCB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D11AEB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A6902E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49A0BF3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77BABF24" w14:textId="77777777" w:rsidTr="00844320">
        <w:trPr>
          <w:cantSplit/>
          <w:trHeight w:val="20"/>
        </w:trPr>
        <w:tc>
          <w:tcPr>
            <w:tcW w:w="0" w:type="auto"/>
            <w:vMerge/>
            <w:shd w:val="clear" w:color="auto" w:fill="auto"/>
            <w:vAlign w:val="center"/>
            <w:hideMark/>
          </w:tcPr>
          <w:p w14:paraId="6E50655E"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1D4DBE5D"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4A8CA8F6"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country does not pay immigrants enough for remittances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13AC18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61F41E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830A11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A115E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AD2D06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491FF2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FF7093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329285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CFE90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CF9EC4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AEACDC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CE4ADD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EE28E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AA44CC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C22824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2ECADA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CF44D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692115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CB08A9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BC1244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B99DA2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53485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0AE53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308E80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4574A453" w14:textId="77777777" w:rsidTr="00844320">
        <w:trPr>
          <w:cantSplit/>
          <w:trHeight w:val="20"/>
        </w:trPr>
        <w:tc>
          <w:tcPr>
            <w:tcW w:w="0" w:type="auto"/>
            <w:vMerge/>
            <w:shd w:val="clear" w:color="auto" w:fill="auto"/>
            <w:vAlign w:val="center"/>
            <w:hideMark/>
          </w:tcPr>
          <w:p w14:paraId="5243BD6A"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val="restart"/>
            <w:shd w:val="clear" w:color="auto" w:fill="auto"/>
            <w:tcMar>
              <w:top w:w="3" w:type="dxa"/>
              <w:left w:w="3" w:type="dxa"/>
              <w:bottom w:w="0" w:type="dxa"/>
              <w:right w:w="3" w:type="dxa"/>
            </w:tcMar>
            <w:vAlign w:val="center"/>
            <w:hideMark/>
          </w:tcPr>
          <w:p w14:paraId="0BC676BC"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Health and Safety</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57C5BB00"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fatal injury by sector</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7A3CB6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BE6D6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7708F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9FC6B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29661C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E31AAD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274DA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67EEF78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599E0A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4B9FB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F3AE26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0D839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E7DBB1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87EC0D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1B8B20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9279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F55B8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8D58D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796004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0958B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0CAA1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E4F30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E4CAE9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ED17B5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7A67AB67" w14:textId="77777777" w:rsidTr="00844320">
        <w:trPr>
          <w:cantSplit/>
          <w:trHeight w:val="20"/>
        </w:trPr>
        <w:tc>
          <w:tcPr>
            <w:tcW w:w="0" w:type="auto"/>
            <w:vMerge/>
            <w:shd w:val="clear" w:color="auto" w:fill="auto"/>
            <w:vAlign w:val="center"/>
            <w:hideMark/>
          </w:tcPr>
          <w:p w14:paraId="26D0CC29"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333509BA"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14C2ED54"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non-fatal injuries by sector</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517714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F62833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51CD6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42714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01018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BA50D6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601304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6A6865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D7C69F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F9B83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F1DED0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A1A07F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B08F4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77697D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BAC4B0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BC82F2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9C5C7B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38B2AB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CF3998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854EBF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EC3C9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DDE38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129EB0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02945C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4FB62826" w14:textId="77777777" w:rsidTr="00844320">
        <w:trPr>
          <w:cantSplit/>
          <w:trHeight w:val="20"/>
        </w:trPr>
        <w:tc>
          <w:tcPr>
            <w:tcW w:w="0" w:type="auto"/>
            <w:vMerge/>
            <w:shd w:val="clear" w:color="auto" w:fill="auto"/>
            <w:vAlign w:val="center"/>
            <w:hideMark/>
          </w:tcPr>
          <w:p w14:paraId="762777D7"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632D62D2"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5F350BE5"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non-fatal injuries by country</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11648D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EF4B16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C47763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8F111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78F9BE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B5C28F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299C228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65E4B77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25EE25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D1EE1F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4D005A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754BE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DEDC94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4F023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014703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20BF7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25E5D3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92B2C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56E75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F5F86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F4774A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353712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328C56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E28D66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1097D44B" w14:textId="77777777" w:rsidTr="00844320">
        <w:trPr>
          <w:cantSplit/>
          <w:trHeight w:val="20"/>
        </w:trPr>
        <w:tc>
          <w:tcPr>
            <w:tcW w:w="0" w:type="auto"/>
            <w:vMerge/>
            <w:shd w:val="clear" w:color="auto" w:fill="auto"/>
            <w:vAlign w:val="center"/>
            <w:hideMark/>
          </w:tcPr>
          <w:p w14:paraId="1A2F27E1"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1E198FB3"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55AA78E7"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Overall risk of workplace noise exposure, both genders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7ED1C9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6DE10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85EE17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FDAD0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0E5162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F90B4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D734C6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B478BD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2CBE72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36FCAA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2BDB8A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6134D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35A8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C8562D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42EA59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C9405C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5AD537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66F4D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9CB870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008678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D79225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26BA6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C99FE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D08AB1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071271E8" w14:textId="77777777" w:rsidTr="00844320">
        <w:trPr>
          <w:cantSplit/>
          <w:trHeight w:val="20"/>
        </w:trPr>
        <w:tc>
          <w:tcPr>
            <w:tcW w:w="0" w:type="auto"/>
            <w:vMerge/>
            <w:shd w:val="clear" w:color="auto" w:fill="auto"/>
            <w:vAlign w:val="center"/>
            <w:hideMark/>
          </w:tcPr>
          <w:p w14:paraId="2BB7F34D"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4AFD9156"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7CBD6B34"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workplace noise exposure to males - indicator 1</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9C6975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2A98CC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D8B48E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37965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32ED23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448DF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F07C0E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77F6A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E2F40F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5DCD95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48AB79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B3208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AF2FBA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6AD537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267EA9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79FDEC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B32410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F6518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1A1D48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861F80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753A5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94B5FD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A78A5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57365B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239491B4" w14:textId="77777777" w:rsidTr="00844320">
        <w:trPr>
          <w:cantSplit/>
          <w:trHeight w:val="20"/>
        </w:trPr>
        <w:tc>
          <w:tcPr>
            <w:tcW w:w="0" w:type="auto"/>
            <w:vMerge/>
            <w:shd w:val="clear" w:color="auto" w:fill="auto"/>
            <w:vAlign w:val="center"/>
            <w:hideMark/>
          </w:tcPr>
          <w:p w14:paraId="69A882E2"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00B1FB63"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4705ABED"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workplace noise exposure to males - indicator 2</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3FA18E5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3DDC25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D74982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FE249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CCEFB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B8A38F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0B75C3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65590AE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40371B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32D7B3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2DD376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BA4959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40B637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3F4EE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67FBA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E2D5E0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D7C124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D5CCF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424E8C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0344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7182D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4B667E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BDAA8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B43655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7ABB30BA" w14:textId="77777777" w:rsidTr="00844320">
        <w:trPr>
          <w:cantSplit/>
          <w:trHeight w:val="20"/>
        </w:trPr>
        <w:tc>
          <w:tcPr>
            <w:tcW w:w="797" w:type="dxa"/>
            <w:vMerge w:val="restart"/>
            <w:shd w:val="clear" w:color="auto" w:fill="auto"/>
            <w:tcMar>
              <w:top w:w="3" w:type="dxa"/>
              <w:left w:w="3" w:type="dxa"/>
              <w:bottom w:w="0" w:type="dxa"/>
              <w:right w:w="3" w:type="dxa"/>
            </w:tcMar>
            <w:vAlign w:val="center"/>
            <w:hideMark/>
          </w:tcPr>
          <w:p w14:paraId="15A675F8" w14:textId="77777777" w:rsidR="005F77DD" w:rsidRPr="005F77DD" w:rsidRDefault="005F77DD" w:rsidP="005F77DD">
            <w:pPr>
              <w:spacing w:after="0" w:line="240" w:lineRule="auto"/>
              <w:jc w:val="center"/>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local community</w:t>
            </w:r>
          </w:p>
        </w:tc>
        <w:tc>
          <w:tcPr>
            <w:tcW w:w="904" w:type="dxa"/>
            <w:vMerge w:val="restart"/>
            <w:shd w:val="clear" w:color="auto" w:fill="auto"/>
            <w:tcMar>
              <w:top w:w="3" w:type="dxa"/>
              <w:left w:w="3" w:type="dxa"/>
              <w:bottom w:w="0" w:type="dxa"/>
              <w:right w:w="3" w:type="dxa"/>
            </w:tcMar>
            <w:vAlign w:val="center"/>
            <w:hideMark/>
          </w:tcPr>
          <w:p w14:paraId="2E085AD3"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Safe &amp; healthy living conditions</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11911F2E"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Death from Malignant neoplasms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765E8F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A77A5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30C317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5D1A8E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4A3CA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605A11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4102DC8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5D4199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4E58B5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51E92B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0F0679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1C2697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A54C5C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1338C6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19E941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A3876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B8D4BF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6A8E1C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EA8A5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BC975B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B6702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F8A31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49581E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6A6093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06DB717A" w14:textId="77777777" w:rsidTr="00844320">
        <w:trPr>
          <w:cantSplit/>
          <w:trHeight w:val="20"/>
        </w:trPr>
        <w:tc>
          <w:tcPr>
            <w:tcW w:w="0" w:type="auto"/>
            <w:vMerge/>
            <w:shd w:val="clear" w:color="auto" w:fill="auto"/>
            <w:vAlign w:val="center"/>
            <w:hideMark/>
          </w:tcPr>
          <w:p w14:paraId="7A495BE8"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6B57DBB9"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24953F92"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Pertussis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CB4852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464FD1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14E1F9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D1FB61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4991A9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09F1B2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2E2903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8C4A73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50ADA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1226EA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0FBE31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A43F52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21709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9E89E3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C0A12D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980EBB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DF94D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95DA8E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925E44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DB4999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4752F7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AABA8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C1AB4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ED4700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06B9F645" w14:textId="77777777" w:rsidTr="00844320">
        <w:trPr>
          <w:cantSplit/>
          <w:trHeight w:val="20"/>
        </w:trPr>
        <w:tc>
          <w:tcPr>
            <w:tcW w:w="0" w:type="auto"/>
            <w:vMerge/>
            <w:shd w:val="clear" w:color="auto" w:fill="auto"/>
            <w:vAlign w:val="center"/>
            <w:hideMark/>
          </w:tcPr>
          <w:p w14:paraId="2B9D0520"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41DA721E"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7458CC66"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Dengue Fever</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DA66DA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C9583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B4AFB5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9846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AD5113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B0127D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66349C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A1291A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6A108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108DD9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C2AB05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CBAFCE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C85E05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6FC7E6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F8A787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E3BF31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E900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1BEB46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C1B2F4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9F2883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85FBD3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EB5CF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F5A7C7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D64FFE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175F3DB6" w14:textId="77777777" w:rsidTr="00844320">
        <w:trPr>
          <w:cantSplit/>
          <w:trHeight w:val="20"/>
        </w:trPr>
        <w:tc>
          <w:tcPr>
            <w:tcW w:w="0" w:type="auto"/>
            <w:vMerge/>
            <w:shd w:val="clear" w:color="auto" w:fill="auto"/>
            <w:vAlign w:val="center"/>
            <w:hideMark/>
          </w:tcPr>
          <w:p w14:paraId="27297522"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7C7F5870"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3C70BEA4"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Rubella</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C4E807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A2CB0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25423D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0F0980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905D82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04146A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4341344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377F464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8B824B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65D4F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A859C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18820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4AEB2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2B38C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42D80A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0ACA0F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9A8F78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22CEC4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07151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5A63F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4B977B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A3336F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9CFBEF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1DE473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471ABE11" w14:textId="77777777" w:rsidTr="00844320">
        <w:trPr>
          <w:cantSplit/>
          <w:trHeight w:val="20"/>
        </w:trPr>
        <w:tc>
          <w:tcPr>
            <w:tcW w:w="0" w:type="auto"/>
            <w:vMerge/>
            <w:shd w:val="clear" w:color="auto" w:fill="auto"/>
            <w:vAlign w:val="center"/>
            <w:hideMark/>
          </w:tcPr>
          <w:p w14:paraId="3BCF2717"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151B6B22"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57E9BFA8"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Overall Risk for High Conflict</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3D6A74B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0D2EE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CCE4A1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0FDF25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94773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52081C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B1ECF4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6803EFD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1461A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F3CC2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5EC489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4A9A0E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8E5B8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259A72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46D5E4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2C59F1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275B13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81B6B5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F08C9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D4F57D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7EA009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724814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7F9ED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0FE4E9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11CAF149" w14:textId="77777777" w:rsidTr="00844320">
        <w:trPr>
          <w:cantSplit/>
          <w:trHeight w:val="20"/>
        </w:trPr>
        <w:tc>
          <w:tcPr>
            <w:tcW w:w="0" w:type="auto"/>
            <w:vMerge/>
            <w:shd w:val="clear" w:color="auto" w:fill="auto"/>
            <w:vAlign w:val="center"/>
            <w:hideMark/>
          </w:tcPr>
          <w:p w14:paraId="67FA74A1"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0E593841"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0FCFE172"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Death from Cerebrovascular disease</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35087EF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1FCD96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C2CF2F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371266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DAF3E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8CB4DB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4A704D4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152602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040C36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F95994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925A4C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42FA01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21E645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2FCDF8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A17600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DCB082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10417A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0B716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0B38B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08AB8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4CE3E7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3F2DC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CCF1C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A63629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3612EAB4" w14:textId="77777777" w:rsidTr="00844320">
        <w:trPr>
          <w:cantSplit/>
          <w:trHeight w:val="20"/>
        </w:trPr>
        <w:tc>
          <w:tcPr>
            <w:tcW w:w="0" w:type="auto"/>
            <w:vMerge/>
            <w:shd w:val="clear" w:color="auto" w:fill="auto"/>
            <w:vAlign w:val="center"/>
            <w:hideMark/>
          </w:tcPr>
          <w:p w14:paraId="3197459A"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1355F4BF"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639B0805"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Mumps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D8F905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A1425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07B745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2B6BA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CCA52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E9973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05A4FE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33B90D1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D38FF7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ACF0E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BA215F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30CAE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E46EE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7FB19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9CBE81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E944B3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A1777E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15F550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14D8FE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797ABF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0AD5BB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A4DA7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05DF6A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FCC277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7EE72582" w14:textId="77777777" w:rsidTr="00844320">
        <w:trPr>
          <w:cantSplit/>
          <w:trHeight w:val="20"/>
        </w:trPr>
        <w:tc>
          <w:tcPr>
            <w:tcW w:w="0" w:type="auto"/>
            <w:vMerge/>
            <w:shd w:val="clear" w:color="auto" w:fill="auto"/>
            <w:vAlign w:val="center"/>
            <w:hideMark/>
          </w:tcPr>
          <w:p w14:paraId="0EC2D981"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641EE2BB"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0FED1AF8"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Measles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630595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7DF14E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431964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D5F93D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6B660D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DAED10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4695019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D6A926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7EB0F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357B4C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BEB68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D6CD4B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3289C5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80269D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FA2DB0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5B8C94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D0E4B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6CF1F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8B74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F0B231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94F44A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108FC0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0B9781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640617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18DF7581" w14:textId="77777777" w:rsidTr="00844320">
        <w:trPr>
          <w:cantSplit/>
          <w:trHeight w:val="20"/>
        </w:trPr>
        <w:tc>
          <w:tcPr>
            <w:tcW w:w="0" w:type="auto"/>
            <w:vMerge/>
            <w:shd w:val="clear" w:color="auto" w:fill="auto"/>
            <w:vAlign w:val="center"/>
            <w:hideMark/>
          </w:tcPr>
          <w:p w14:paraId="0496D6EE"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29C00EC0"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4802AE9F"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Death from Cardiovascular diseases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9F1DF8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F1A239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8D49CB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F8C12A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BB4A77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8AA5A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4E00D9F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1B5E53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A265F3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1EC53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0800CA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72DF8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0F6FF7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B41B2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83731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3E3798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8BAC62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0518FC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05A08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6ED4A9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85274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E4BDB1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F21E37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22036B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1BEEE2D1" w14:textId="77777777" w:rsidTr="00844320">
        <w:trPr>
          <w:cantSplit/>
          <w:trHeight w:val="20"/>
        </w:trPr>
        <w:tc>
          <w:tcPr>
            <w:tcW w:w="0" w:type="auto"/>
            <w:vMerge/>
            <w:shd w:val="clear" w:color="auto" w:fill="auto"/>
            <w:vAlign w:val="center"/>
            <w:hideMark/>
          </w:tcPr>
          <w:p w14:paraId="4FAB8EBC"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038F96F8"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369F6550"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HIV</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BFE70E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3E024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4EACFC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F332CD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94CED0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2D2D9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4B3A8E6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0753CF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B090C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CAEA28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29D90B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1C4E85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1205C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073A72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FDFC46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7D8ED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9DD7A3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0A74F7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DA0C29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B5577A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DB9A2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B6BB1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3530A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F98973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79F755FE" w14:textId="77777777" w:rsidTr="00844320">
        <w:trPr>
          <w:cantSplit/>
          <w:trHeight w:val="20"/>
        </w:trPr>
        <w:tc>
          <w:tcPr>
            <w:tcW w:w="0" w:type="auto"/>
            <w:vMerge/>
            <w:shd w:val="clear" w:color="auto" w:fill="auto"/>
            <w:vAlign w:val="center"/>
            <w:hideMark/>
          </w:tcPr>
          <w:p w14:paraId="368035E2"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6F9FDD4A"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62F956F1" w14:textId="628044EA"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 xml:space="preserve">Risk of </w:t>
            </w:r>
            <w:r w:rsidR="001A0C66" w:rsidRPr="005F77DD">
              <w:rPr>
                <w:rFonts w:ascii="Calibri Light" w:eastAsia="Times New Roman" w:hAnsi="Calibri Light" w:cs="Calibri Light"/>
                <w:color w:val="000000"/>
                <w:kern w:val="24"/>
                <w:sz w:val="14"/>
                <w:szCs w:val="14"/>
                <w:lang w:val="en-US"/>
              </w:rPr>
              <w:t>Tetanus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2894D8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6FA55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277D2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FA47D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A3062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2FFA7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3A830B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662EBD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BFEC33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93F79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28E10D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287EF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F9B9D6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FF3345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02AD97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6E5CCD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8EF9AA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B0C2CD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D2114D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92942C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EF317B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E0CDE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146C56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31078C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3FF86539" w14:textId="77777777" w:rsidTr="00844320">
        <w:trPr>
          <w:cantSplit/>
          <w:trHeight w:val="20"/>
        </w:trPr>
        <w:tc>
          <w:tcPr>
            <w:tcW w:w="0" w:type="auto"/>
            <w:vMerge/>
            <w:shd w:val="clear" w:color="auto" w:fill="auto"/>
            <w:vAlign w:val="center"/>
            <w:hideMark/>
          </w:tcPr>
          <w:p w14:paraId="20AAF0D7"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58E63834"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13070367"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Leprosy</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F1A381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BE6DAF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6B254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382C04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A1764A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E7DDE2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DC00C1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B9D396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9B01D4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460061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2D7276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31076D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9ABBB5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C3F036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713CA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300CF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D6EFC3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CF57C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E680A5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60C42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35105C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564F7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8339BB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EE8B1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4FF3D0AD" w14:textId="77777777" w:rsidTr="00844320">
        <w:trPr>
          <w:cantSplit/>
          <w:trHeight w:val="20"/>
        </w:trPr>
        <w:tc>
          <w:tcPr>
            <w:tcW w:w="0" w:type="auto"/>
            <w:vMerge/>
            <w:shd w:val="clear" w:color="auto" w:fill="auto"/>
            <w:vAlign w:val="center"/>
            <w:hideMark/>
          </w:tcPr>
          <w:p w14:paraId="37501E63"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val="restart"/>
            <w:shd w:val="clear" w:color="auto" w:fill="auto"/>
            <w:tcMar>
              <w:top w:w="3" w:type="dxa"/>
              <w:left w:w="3" w:type="dxa"/>
              <w:bottom w:w="0" w:type="dxa"/>
              <w:right w:w="3" w:type="dxa"/>
            </w:tcMar>
            <w:vAlign w:val="center"/>
            <w:hideMark/>
          </w:tcPr>
          <w:p w14:paraId="17AA9E46"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Local employment</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0786A2E6"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unemployment by sector</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323FF4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7047F8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29D8E9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173752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561DAE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6173D7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49EA40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5075C4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6B475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9C95A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E25A7E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5A6C49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9D000D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BDE05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557E4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0DADEB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79FA3E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25F5A9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F240B6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D579F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B561A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57145B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58BB6A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BEBCBB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4AF777FB" w14:textId="77777777" w:rsidTr="00844320">
        <w:trPr>
          <w:cantSplit/>
          <w:trHeight w:val="20"/>
        </w:trPr>
        <w:tc>
          <w:tcPr>
            <w:tcW w:w="0" w:type="auto"/>
            <w:vMerge/>
            <w:shd w:val="clear" w:color="auto" w:fill="auto"/>
            <w:vAlign w:val="center"/>
            <w:hideMark/>
          </w:tcPr>
          <w:p w14:paraId="57994D8B"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2F40BF63"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61FB1666"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unemployment in country</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897344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BBE415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CDE936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1CACC7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129B1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0D5960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CEA6DD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8852B1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D23A7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718BFE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875D1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309D56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4C98C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8EB5C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E0942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FA11FA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347D79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62726E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0C64B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1801FB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4E610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8ED8C2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25C37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2FC8F1F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38813FCD" w14:textId="77777777" w:rsidTr="00844320">
        <w:trPr>
          <w:cantSplit/>
          <w:trHeight w:val="20"/>
        </w:trPr>
        <w:tc>
          <w:tcPr>
            <w:tcW w:w="0" w:type="auto"/>
            <w:vMerge/>
            <w:shd w:val="clear" w:color="auto" w:fill="auto"/>
            <w:vAlign w:val="center"/>
            <w:hideMark/>
          </w:tcPr>
          <w:p w14:paraId="12C2BD91"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val="restart"/>
            <w:shd w:val="clear" w:color="auto" w:fill="auto"/>
            <w:tcMar>
              <w:top w:w="3" w:type="dxa"/>
              <w:left w:w="3" w:type="dxa"/>
              <w:bottom w:w="0" w:type="dxa"/>
              <w:right w:w="3" w:type="dxa"/>
            </w:tcMar>
            <w:vAlign w:val="center"/>
            <w:hideMark/>
          </w:tcPr>
          <w:p w14:paraId="53EF0DEF"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Secure living conditions</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14F674C0"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 xml:space="preserve">Characterization of </w:t>
            </w:r>
            <w:proofErr w:type="spellStart"/>
            <w:r w:rsidRPr="005F77DD">
              <w:rPr>
                <w:rFonts w:ascii="Calibri Light" w:eastAsia="Times New Roman" w:hAnsi="Calibri Light" w:cs="Calibri Light"/>
                <w:color w:val="000000"/>
                <w:kern w:val="24"/>
                <w:sz w:val="14"/>
                <w:szCs w:val="14"/>
                <w:lang w:val="en-US"/>
              </w:rPr>
              <w:t>Cingranelli</w:t>
            </w:r>
            <w:proofErr w:type="spellEnd"/>
            <w:r w:rsidRPr="005F77DD">
              <w:rPr>
                <w:rFonts w:ascii="Calibri Light" w:eastAsia="Times New Roman" w:hAnsi="Calibri Light" w:cs="Calibri Light"/>
                <w:color w:val="000000"/>
                <w:kern w:val="24"/>
                <w:sz w:val="14"/>
                <w:szCs w:val="14"/>
                <w:lang w:val="en-US"/>
              </w:rPr>
              <w:t>-Richards Human Rights Dataset - Independent Judiciary</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DE9A4F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699E6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9EF6C2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114E29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946A80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AA071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3DDDE5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1A6C85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661195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616B13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F99802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ED6CE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1C6B9D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FD49DB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AB32DD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6F1E84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968792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FBCD9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20A00B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4C9C8B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26E23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AC10C8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09975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A00B73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596F69DB" w14:textId="77777777" w:rsidTr="00844320">
        <w:trPr>
          <w:cantSplit/>
          <w:trHeight w:val="20"/>
        </w:trPr>
        <w:tc>
          <w:tcPr>
            <w:tcW w:w="0" w:type="auto"/>
            <w:vMerge/>
            <w:shd w:val="clear" w:color="auto" w:fill="auto"/>
            <w:vAlign w:val="center"/>
            <w:hideMark/>
          </w:tcPr>
          <w:p w14:paraId="51796341"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38E18EE7"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40340909"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Characterization of Bertelsmann Transformation Index - Rule of Law</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74B854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45851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10F539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40797D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258B28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FC4B67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28989E2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1F88E2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772EA7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E992E0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5876A6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709E38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16ACAB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8F0E2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C2545A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CEE410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B40B0A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BC7040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CF1CA2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E4CC3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E7B9E5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77590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8A0774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F0CCF0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09667055" w14:textId="77777777" w:rsidTr="00844320">
        <w:trPr>
          <w:cantSplit/>
          <w:trHeight w:val="20"/>
        </w:trPr>
        <w:tc>
          <w:tcPr>
            <w:tcW w:w="0" w:type="auto"/>
            <w:vMerge/>
            <w:shd w:val="clear" w:color="auto" w:fill="auto"/>
            <w:vAlign w:val="center"/>
            <w:hideMark/>
          </w:tcPr>
          <w:p w14:paraId="223CCB74"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1155F344"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29622E2D"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Characterization of World Bank Worldwide Governance Indicator - Rule of Law</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3692503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61BF59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9AA8B9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EBAB80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C322AD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BA2A5E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9C3EF1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CB8A4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282AD2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A3992F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C74FB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4903D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625B83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018A65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CB13BD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511C0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0ACA3C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144A2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76DCF3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AB2C7D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7A98E1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EBD2CB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A6A892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41CA15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22F2A00A" w14:textId="77777777" w:rsidTr="00844320">
        <w:trPr>
          <w:cantSplit/>
          <w:trHeight w:val="20"/>
        </w:trPr>
        <w:tc>
          <w:tcPr>
            <w:tcW w:w="0" w:type="auto"/>
            <w:vMerge/>
            <w:shd w:val="clear" w:color="auto" w:fill="auto"/>
            <w:vAlign w:val="center"/>
            <w:hideMark/>
          </w:tcPr>
          <w:p w14:paraId="39F02BBF"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4DCB0113"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7FF502B3"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Overall risk of fragility in the legal system</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575943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AC3361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DFE771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2C187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4B4003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7966D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246C3CA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67606D2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9481C6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E766DD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060A37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66B648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0FC11D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1445C6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9A4A9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82C54E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7C1F7C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74BBA0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F2B85F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3C01BA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F14F8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384A59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2D0761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24EC5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0C7B938D" w14:textId="77777777" w:rsidTr="00844320">
        <w:trPr>
          <w:cantSplit/>
          <w:trHeight w:val="20"/>
        </w:trPr>
        <w:tc>
          <w:tcPr>
            <w:tcW w:w="0" w:type="auto"/>
            <w:vMerge/>
            <w:shd w:val="clear" w:color="auto" w:fill="auto"/>
            <w:vAlign w:val="center"/>
            <w:hideMark/>
          </w:tcPr>
          <w:p w14:paraId="50F26D69"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val="restart"/>
            <w:shd w:val="clear" w:color="auto" w:fill="auto"/>
            <w:tcMar>
              <w:top w:w="3" w:type="dxa"/>
              <w:left w:w="3" w:type="dxa"/>
              <w:bottom w:w="0" w:type="dxa"/>
              <w:right w:w="3" w:type="dxa"/>
            </w:tcMar>
            <w:vAlign w:val="center"/>
            <w:hideMark/>
          </w:tcPr>
          <w:p w14:paraId="7F5C3473"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Delocalization and Migration</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0F5521C8"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Characterization of population that are immigrants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FFDAED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228C53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121E24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F1E8A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A78018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8DE69D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790746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BCEEFA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CCBED9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667C97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6A80EC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84BC58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DE4BE3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61B0A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DC2AF6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0CF560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D2569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F44649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D3DD9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3E95AC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4B50B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663611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D9020B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D45091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1C0BC8B5" w14:textId="77777777" w:rsidTr="00844320">
        <w:trPr>
          <w:cantSplit/>
          <w:trHeight w:val="20"/>
        </w:trPr>
        <w:tc>
          <w:tcPr>
            <w:tcW w:w="0" w:type="auto"/>
            <w:vMerge/>
            <w:shd w:val="clear" w:color="auto" w:fill="auto"/>
            <w:vAlign w:val="center"/>
            <w:hideMark/>
          </w:tcPr>
          <w:p w14:paraId="7BD83EFE"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31F58E03"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3455C6C2"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Characterization of the number of immigrants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9B6C6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3F3E8D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F38CE0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144024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9178E8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7C3576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BFD41D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3DD3C81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0B1203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62D6E0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7E2645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33087F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7DC871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3742F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10E4C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24B6F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78B656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9BE64E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830EFC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86B1ED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08B533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C03F31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90B2B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024BA4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355A9E72" w14:textId="77777777" w:rsidTr="00844320">
        <w:trPr>
          <w:cantSplit/>
          <w:trHeight w:val="20"/>
        </w:trPr>
        <w:tc>
          <w:tcPr>
            <w:tcW w:w="0" w:type="auto"/>
            <w:vMerge/>
            <w:shd w:val="clear" w:color="auto" w:fill="auto"/>
            <w:vAlign w:val="center"/>
            <w:hideMark/>
          </w:tcPr>
          <w:p w14:paraId="0B1F8C18"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544E2964"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5596D5C4"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Characterization of the number of emigrants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693A46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91617D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F9CB36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99C11C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363979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BBB64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24C98A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F886CB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FBECD9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5E20D7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2B98D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F93980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3BD3D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E3A47F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CE7309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C40A9E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7C3364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06D5C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43264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720517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E28D6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758CC8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4ABB5A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A64BAA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517948B0" w14:textId="77777777" w:rsidTr="00844320">
        <w:trPr>
          <w:cantSplit/>
          <w:trHeight w:val="20"/>
        </w:trPr>
        <w:tc>
          <w:tcPr>
            <w:tcW w:w="0" w:type="auto"/>
            <w:vMerge/>
            <w:shd w:val="clear" w:color="auto" w:fill="auto"/>
            <w:vAlign w:val="center"/>
            <w:hideMark/>
          </w:tcPr>
          <w:p w14:paraId="707D5134"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shd w:val="clear" w:color="auto" w:fill="auto"/>
            <w:tcMar>
              <w:top w:w="3" w:type="dxa"/>
              <w:left w:w="3" w:type="dxa"/>
              <w:bottom w:w="0" w:type="dxa"/>
              <w:right w:w="3" w:type="dxa"/>
            </w:tcMar>
            <w:vAlign w:val="bottom"/>
            <w:hideMark/>
          </w:tcPr>
          <w:p w14:paraId="12A13746" w14:textId="77777777" w:rsidR="005F77DD" w:rsidRPr="005F77DD" w:rsidRDefault="005F77DD" w:rsidP="005F77DD">
            <w:pPr>
              <w:spacing w:after="0" w:line="240" w:lineRule="auto"/>
              <w:textAlignment w:val="bottom"/>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Respect of indigenous rights</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4DD223D0"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Characterization of Indigenous Population</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1B4C2E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EA6A1D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99B813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DB9A34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5B8C0E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BCCC13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91D6BD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8BE0F0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E53AB8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AE7488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5D66CF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1FE8C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930C21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E941E3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570C3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D7DD3E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37516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83AF2C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8816B2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7F8985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6F97EB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7F6AB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F2E548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F6CF1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25436F5D" w14:textId="77777777" w:rsidTr="00844320">
        <w:trPr>
          <w:cantSplit/>
          <w:trHeight w:val="20"/>
        </w:trPr>
        <w:tc>
          <w:tcPr>
            <w:tcW w:w="797" w:type="dxa"/>
            <w:vMerge w:val="restart"/>
            <w:shd w:val="clear" w:color="auto" w:fill="auto"/>
            <w:tcMar>
              <w:top w:w="3" w:type="dxa"/>
              <w:left w:w="3" w:type="dxa"/>
              <w:bottom w:w="0" w:type="dxa"/>
              <w:right w:w="3" w:type="dxa"/>
            </w:tcMar>
            <w:vAlign w:val="center"/>
            <w:hideMark/>
          </w:tcPr>
          <w:p w14:paraId="34E66094" w14:textId="77777777" w:rsidR="005F77DD" w:rsidRPr="005F77DD" w:rsidRDefault="005F77DD" w:rsidP="005F77DD">
            <w:pPr>
              <w:spacing w:after="0" w:line="240" w:lineRule="auto"/>
              <w:jc w:val="center"/>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Society</w:t>
            </w:r>
          </w:p>
        </w:tc>
        <w:tc>
          <w:tcPr>
            <w:tcW w:w="904" w:type="dxa"/>
            <w:vMerge w:val="restart"/>
            <w:shd w:val="clear" w:color="auto" w:fill="auto"/>
            <w:tcMar>
              <w:top w:w="3" w:type="dxa"/>
              <w:left w:w="3" w:type="dxa"/>
              <w:bottom w:w="0" w:type="dxa"/>
              <w:right w:w="3" w:type="dxa"/>
            </w:tcMar>
            <w:vAlign w:val="center"/>
            <w:hideMark/>
          </w:tcPr>
          <w:p w14:paraId="0513E30A"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Corruption</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66F99EDE"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corruption is increasing in a country over the last 3 years</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150993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13BD4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C506FB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4DB423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A87CD0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6D1ADA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500DD2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D300A9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7120C6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72C04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F4857F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5635A3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F891F1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A7A7BC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7EBC4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AD7C38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274D2E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CCD9D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CDDDB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3C02A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2B22A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7DC41E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D8CC0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31705B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7506AD8F" w14:textId="77777777" w:rsidTr="00844320">
        <w:trPr>
          <w:cantSplit/>
          <w:trHeight w:val="20"/>
        </w:trPr>
        <w:tc>
          <w:tcPr>
            <w:tcW w:w="0" w:type="auto"/>
            <w:vMerge/>
            <w:shd w:val="clear" w:color="auto" w:fill="auto"/>
            <w:vAlign w:val="center"/>
            <w:hideMark/>
          </w:tcPr>
          <w:p w14:paraId="2713FE82"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451782CA"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320156C0"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Overall risk of corruption</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869D5A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36093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70D2B0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F38520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B0CAD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6349B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F0FCB9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C0359F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79E61F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22144C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1577BE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43913F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BF329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E0562B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A8CA5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968415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A0054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F7E1C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89DF08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E2145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D6DA2F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212F7A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CB4054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13C654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48037A07" w14:textId="77777777" w:rsidTr="00844320">
        <w:trPr>
          <w:cantSplit/>
          <w:trHeight w:val="20"/>
        </w:trPr>
        <w:tc>
          <w:tcPr>
            <w:tcW w:w="0" w:type="auto"/>
            <w:vMerge/>
            <w:shd w:val="clear" w:color="auto" w:fill="auto"/>
            <w:vAlign w:val="center"/>
            <w:hideMark/>
          </w:tcPr>
          <w:p w14:paraId="1C3D3373"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72EB76DA"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4E3B6C40"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corruption is a hinder in doing business in a country</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8B4B22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724943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578F7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728E2D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93149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388DCE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490A9F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CD6681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863122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BBBD13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F56C2B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E77B64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19786B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D17458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0D28D5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84A81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430FBE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3DAC2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7034EE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4F7E1B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9B20D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E47BF8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18AAB2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7FD5CC1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7DB7B27C" w14:textId="77777777" w:rsidTr="00844320">
        <w:trPr>
          <w:cantSplit/>
          <w:trHeight w:val="20"/>
        </w:trPr>
        <w:tc>
          <w:tcPr>
            <w:tcW w:w="0" w:type="auto"/>
            <w:vMerge/>
            <w:shd w:val="clear" w:color="auto" w:fill="auto"/>
            <w:vAlign w:val="center"/>
            <w:hideMark/>
          </w:tcPr>
          <w:p w14:paraId="486D3922"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213597FB"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20144EBA"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a country ranks poorly on the World Bank Worldwide Governance Indicator's Corruption Index</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61D078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B72E6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87BBCC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E06AB5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0E8CCA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00E40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339094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E25EB1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FB8CCB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91550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577C64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FDAE3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113E7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195FD9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22FA4E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8D66AE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4D07EE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DA16A6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7C401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B2CB0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F23B93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886300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EEC5DD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CD90C4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3801C141" w14:textId="77777777" w:rsidTr="00844320">
        <w:trPr>
          <w:cantSplit/>
          <w:trHeight w:val="20"/>
        </w:trPr>
        <w:tc>
          <w:tcPr>
            <w:tcW w:w="0" w:type="auto"/>
            <w:vMerge/>
            <w:shd w:val="clear" w:color="auto" w:fill="auto"/>
            <w:vAlign w:val="center"/>
            <w:hideMark/>
          </w:tcPr>
          <w:p w14:paraId="0B474AF1"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4912B7D2"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6E22DCEF"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a country ranks poorly for corruption perception</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4A82C15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413FC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338FFE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CBDFA6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F3B8E0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AC42F6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235C721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2C91C21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D079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EC948B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AF8AAD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0BDEF3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18DE76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BF3CBB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2D9F44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7D43B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9BFAA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ECC36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10DFE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86A24B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B104AB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B0E2E9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1DF28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9ED19C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3DEE048D" w14:textId="77777777" w:rsidTr="00AA750E">
        <w:trPr>
          <w:cantSplit/>
          <w:trHeight w:val="55"/>
        </w:trPr>
        <w:tc>
          <w:tcPr>
            <w:tcW w:w="0" w:type="auto"/>
            <w:vMerge/>
            <w:shd w:val="clear" w:color="auto" w:fill="auto"/>
            <w:vAlign w:val="center"/>
            <w:hideMark/>
          </w:tcPr>
          <w:p w14:paraId="365FA0AC"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0DA3B9F5"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5D21ACD1"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Characterization of Global Integrity Index</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6FEFAC5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8B333F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DDE352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0AA9EA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C95DD4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C5636B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27D2A7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6D2C04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26556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FA8324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29EAFE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CCF1B8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060692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DAFE0B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F4C2EE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8AF779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E8C578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90727F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96137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2758E0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D7700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F268B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7A7B44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57BB0CF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4460288B" w14:textId="77777777" w:rsidTr="005F77DD">
        <w:trPr>
          <w:cantSplit/>
          <w:trHeight w:val="20"/>
        </w:trPr>
        <w:tc>
          <w:tcPr>
            <w:tcW w:w="0" w:type="auto"/>
            <w:vMerge/>
            <w:shd w:val="clear" w:color="auto" w:fill="auto"/>
            <w:vAlign w:val="center"/>
            <w:hideMark/>
          </w:tcPr>
          <w:p w14:paraId="6F31695D"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val="restart"/>
            <w:shd w:val="clear" w:color="auto" w:fill="auto"/>
            <w:tcMar>
              <w:top w:w="3" w:type="dxa"/>
              <w:left w:w="3" w:type="dxa"/>
              <w:bottom w:w="0" w:type="dxa"/>
              <w:right w:w="3" w:type="dxa"/>
            </w:tcMar>
            <w:vAlign w:val="center"/>
            <w:hideMark/>
          </w:tcPr>
          <w:p w14:paraId="55A41450"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Contribution to Economic Development</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12AC20E6"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unemployment by sector</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7076D73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A2C4E8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0CC4A6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84F63A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AFD34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48B55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6C628C9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1BB7AA7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01245A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807160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2E3BB1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58C567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3DCE9A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CFD1CF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54BF88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E8A4EF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B0490E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938D89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D9384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C50AA2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D9D448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55AFAA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E4E01F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21AEA79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5E86D535" w14:textId="77777777" w:rsidTr="00844320">
        <w:trPr>
          <w:cantSplit/>
          <w:trHeight w:val="20"/>
        </w:trPr>
        <w:tc>
          <w:tcPr>
            <w:tcW w:w="0" w:type="auto"/>
            <w:vMerge/>
            <w:shd w:val="clear" w:color="auto" w:fill="auto"/>
            <w:vAlign w:val="center"/>
            <w:hideMark/>
          </w:tcPr>
          <w:p w14:paraId="38002A6C" w14:textId="77777777" w:rsidR="005F77DD" w:rsidRPr="005F77DD" w:rsidRDefault="005F77DD" w:rsidP="005F77DD">
            <w:pPr>
              <w:spacing w:after="0" w:line="240" w:lineRule="auto"/>
              <w:rPr>
                <w:rFonts w:ascii="Arial" w:eastAsia="Times New Roman" w:hAnsi="Arial" w:cs="Arial"/>
                <w:sz w:val="36"/>
                <w:szCs w:val="36"/>
                <w:lang w:val="en-US"/>
              </w:rPr>
            </w:pPr>
          </w:p>
        </w:tc>
        <w:tc>
          <w:tcPr>
            <w:tcW w:w="904" w:type="dxa"/>
            <w:vMerge/>
            <w:shd w:val="clear" w:color="auto" w:fill="auto"/>
            <w:vAlign w:val="center"/>
            <w:hideMark/>
          </w:tcPr>
          <w:p w14:paraId="79684779"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308AEFC8"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of unemployment in country</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5D1DAB3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63D40F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F2B04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7617E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23E746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1054C7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3536D6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29847F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70E39E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7D13FD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18A3C6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F3BD81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5DEC02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D7F70E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D1B906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80BA7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67ED77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B1C3DA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576189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9957E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BCE21F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F9F40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91438B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7D1967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45CF9CE4" w14:textId="77777777" w:rsidTr="005F77DD">
        <w:trPr>
          <w:cantSplit/>
          <w:trHeight w:val="20"/>
        </w:trPr>
        <w:tc>
          <w:tcPr>
            <w:tcW w:w="1701" w:type="dxa"/>
            <w:gridSpan w:val="2"/>
            <w:vMerge w:val="restart"/>
            <w:shd w:val="clear" w:color="auto" w:fill="auto"/>
            <w:tcMar>
              <w:top w:w="3" w:type="dxa"/>
              <w:left w:w="3" w:type="dxa"/>
              <w:bottom w:w="0" w:type="dxa"/>
              <w:right w:w="3" w:type="dxa"/>
            </w:tcMar>
            <w:vAlign w:val="center"/>
            <w:hideMark/>
          </w:tcPr>
          <w:p w14:paraId="75AE3B00"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no assignment</w:t>
            </w:r>
          </w:p>
        </w:tc>
        <w:tc>
          <w:tcPr>
            <w:tcW w:w="3402" w:type="dxa"/>
            <w:tcBorders>
              <w:right w:val="single" w:sz="4" w:space="0" w:color="auto"/>
            </w:tcBorders>
            <w:shd w:val="clear" w:color="auto" w:fill="auto"/>
            <w:tcMar>
              <w:top w:w="3" w:type="dxa"/>
              <w:left w:w="3" w:type="dxa"/>
              <w:bottom w:w="0" w:type="dxa"/>
              <w:right w:w="3" w:type="dxa"/>
            </w:tcMar>
            <w:vAlign w:val="center"/>
            <w:hideMark/>
          </w:tcPr>
          <w:p w14:paraId="381A6CA8" w14:textId="7E9C4809"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Risk that a country's remittances from emigrants is low</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68C7340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D24104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B91CA9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316B9D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9E30CB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6AE1F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D6C217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84BBBE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C753EB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8F33D6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888E1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FBFB5C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8ACD68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9AEC70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116CE4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2F47F7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CAD3D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82ECB1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632B46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23EEAD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2C33E4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737ED6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79C2FB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0DDF2D0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r>
      <w:tr w:rsidR="005F77DD" w:rsidRPr="005F77DD" w14:paraId="16461B1E" w14:textId="77777777" w:rsidTr="005F77DD">
        <w:trPr>
          <w:cantSplit/>
          <w:trHeight w:val="20"/>
        </w:trPr>
        <w:tc>
          <w:tcPr>
            <w:tcW w:w="1701" w:type="dxa"/>
            <w:gridSpan w:val="2"/>
            <w:vMerge/>
            <w:shd w:val="clear" w:color="auto" w:fill="auto"/>
            <w:tcMar>
              <w:top w:w="3" w:type="dxa"/>
              <w:left w:w="3" w:type="dxa"/>
              <w:bottom w:w="0" w:type="dxa"/>
              <w:right w:w="3" w:type="dxa"/>
            </w:tcMar>
            <w:vAlign w:val="center"/>
            <w:hideMark/>
          </w:tcPr>
          <w:p w14:paraId="48C2C2E0"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72BAE25D"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Characterization of commercial labor in Agriculture, Forestry, Fishing</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68B059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E61683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40"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9E7C5F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BA2999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7EA9E7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ECE94B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362D48D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left w:val="single" w:sz="4" w:space="0" w:color="auto"/>
              <w:bottom w:val="single" w:sz="4" w:space="0" w:color="auto"/>
            </w:tcBorders>
            <w:shd w:val="clear" w:color="auto" w:fill="auto"/>
            <w:tcMar>
              <w:top w:w="3" w:type="dxa"/>
              <w:left w:w="3" w:type="dxa"/>
              <w:bottom w:w="0" w:type="dxa"/>
              <w:right w:w="3" w:type="dxa"/>
            </w:tcMar>
            <w:vAlign w:val="bottom"/>
            <w:hideMark/>
          </w:tcPr>
          <w:p w14:paraId="025037B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5A758E7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AE74D2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46881E3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EFD369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323572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DD3646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1BEEF0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04E5A26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7894641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6FCFDCC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55C13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E15B3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3875A58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145BDD46"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single" w:sz="4" w:space="0" w:color="auto"/>
            </w:tcBorders>
            <w:shd w:val="clear" w:color="auto" w:fill="auto"/>
            <w:tcMar>
              <w:top w:w="3" w:type="dxa"/>
              <w:left w:w="3" w:type="dxa"/>
              <w:bottom w:w="0" w:type="dxa"/>
              <w:right w:w="3" w:type="dxa"/>
            </w:tcMar>
            <w:vAlign w:val="bottom"/>
            <w:hideMark/>
          </w:tcPr>
          <w:p w14:paraId="234486D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single" w:sz="4" w:space="0" w:color="auto"/>
              <w:right w:val="single" w:sz="4" w:space="0" w:color="auto"/>
            </w:tcBorders>
            <w:shd w:val="clear" w:color="auto" w:fill="auto"/>
            <w:tcMar>
              <w:top w:w="3" w:type="dxa"/>
              <w:left w:w="3" w:type="dxa"/>
              <w:bottom w:w="0" w:type="dxa"/>
              <w:right w:w="3" w:type="dxa"/>
            </w:tcMar>
            <w:vAlign w:val="bottom"/>
            <w:hideMark/>
          </w:tcPr>
          <w:p w14:paraId="16F6D49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r w:rsidR="005F77DD" w:rsidRPr="005F77DD" w14:paraId="5F74CF69" w14:textId="77777777" w:rsidTr="005F77DD">
        <w:trPr>
          <w:cantSplit/>
          <w:trHeight w:val="20"/>
        </w:trPr>
        <w:tc>
          <w:tcPr>
            <w:tcW w:w="1701" w:type="dxa"/>
            <w:gridSpan w:val="2"/>
            <w:vMerge/>
            <w:shd w:val="clear" w:color="auto" w:fill="auto"/>
            <w:tcMar>
              <w:top w:w="3" w:type="dxa"/>
              <w:left w:w="3" w:type="dxa"/>
              <w:bottom w:w="0" w:type="dxa"/>
              <w:right w:w="3" w:type="dxa"/>
            </w:tcMar>
            <w:vAlign w:val="center"/>
            <w:hideMark/>
          </w:tcPr>
          <w:p w14:paraId="1A8B1036" w14:textId="77777777" w:rsidR="005F77DD" w:rsidRPr="005F77DD" w:rsidRDefault="005F77DD" w:rsidP="005F77DD">
            <w:pPr>
              <w:spacing w:after="0" w:line="240" w:lineRule="auto"/>
              <w:rPr>
                <w:rFonts w:ascii="Arial" w:eastAsia="Times New Roman" w:hAnsi="Arial" w:cs="Arial"/>
                <w:sz w:val="36"/>
                <w:szCs w:val="36"/>
                <w:lang w:val="en-US"/>
              </w:rPr>
            </w:pPr>
          </w:p>
        </w:tc>
        <w:tc>
          <w:tcPr>
            <w:tcW w:w="3402" w:type="dxa"/>
            <w:tcBorders>
              <w:right w:val="single" w:sz="4" w:space="0" w:color="auto"/>
            </w:tcBorders>
            <w:shd w:val="clear" w:color="auto" w:fill="auto"/>
            <w:tcMar>
              <w:top w:w="3" w:type="dxa"/>
              <w:left w:w="3" w:type="dxa"/>
              <w:bottom w:w="0" w:type="dxa"/>
              <w:right w:w="3" w:type="dxa"/>
            </w:tcMar>
            <w:vAlign w:val="center"/>
            <w:hideMark/>
          </w:tcPr>
          <w:p w14:paraId="63F9B7F0" w14:textId="77777777" w:rsidR="005F77DD" w:rsidRPr="005F77DD" w:rsidRDefault="005F77DD" w:rsidP="005F77DD">
            <w:pPr>
              <w:spacing w:after="0" w:line="240" w:lineRule="auto"/>
              <w:textAlignment w:val="center"/>
              <w:rPr>
                <w:rFonts w:ascii="Arial" w:eastAsia="Times New Roman" w:hAnsi="Arial" w:cs="Arial"/>
                <w:sz w:val="36"/>
                <w:szCs w:val="36"/>
                <w:lang w:val="en-US"/>
              </w:rPr>
            </w:pPr>
            <w:r w:rsidRPr="005F77DD">
              <w:rPr>
                <w:rFonts w:ascii="Calibri Light" w:eastAsia="Times New Roman" w:hAnsi="Calibri Light" w:cs="Calibri Light"/>
                <w:color w:val="000000"/>
                <w:kern w:val="24"/>
                <w:sz w:val="14"/>
                <w:szCs w:val="14"/>
                <w:lang w:val="en-US"/>
              </w:rPr>
              <w:t>Characterization of family labor in Agriculture, Forestry, Fishing (Percentage of family-owned farms in country)</w:t>
            </w:r>
          </w:p>
        </w:tc>
        <w:tc>
          <w:tcPr>
            <w:tcW w:w="183" w:type="dxa"/>
            <w:tcBorders>
              <w:top w:val="single" w:sz="4" w:space="0" w:color="auto"/>
              <w:left w:val="single" w:sz="4" w:space="0" w:color="auto"/>
              <w:bottom w:val="nil"/>
            </w:tcBorders>
            <w:shd w:val="clear" w:color="auto" w:fill="auto"/>
            <w:tcMar>
              <w:top w:w="3" w:type="dxa"/>
              <w:left w:w="3" w:type="dxa"/>
              <w:bottom w:w="0" w:type="dxa"/>
              <w:right w:w="3" w:type="dxa"/>
            </w:tcMar>
            <w:vAlign w:val="bottom"/>
            <w:hideMark/>
          </w:tcPr>
          <w:p w14:paraId="7E12679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231D4AA0"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340" w:type="dxa"/>
            <w:tcBorders>
              <w:top w:val="single" w:sz="4" w:space="0" w:color="auto"/>
              <w:bottom w:val="nil"/>
            </w:tcBorders>
            <w:shd w:val="clear" w:color="auto" w:fill="auto"/>
            <w:tcMar>
              <w:top w:w="3" w:type="dxa"/>
              <w:left w:w="3" w:type="dxa"/>
              <w:bottom w:w="0" w:type="dxa"/>
              <w:right w:w="3" w:type="dxa"/>
            </w:tcMar>
            <w:vAlign w:val="bottom"/>
            <w:hideMark/>
          </w:tcPr>
          <w:p w14:paraId="35C4A14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536C3A1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79FD9CF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117C497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right w:val="single" w:sz="4" w:space="0" w:color="auto"/>
            </w:tcBorders>
            <w:shd w:val="clear" w:color="auto" w:fill="auto"/>
            <w:tcMar>
              <w:top w:w="3" w:type="dxa"/>
              <w:left w:w="3" w:type="dxa"/>
              <w:bottom w:w="0" w:type="dxa"/>
              <w:right w:w="3" w:type="dxa"/>
            </w:tcMar>
            <w:vAlign w:val="bottom"/>
            <w:hideMark/>
          </w:tcPr>
          <w:p w14:paraId="681B0C81"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X</w:t>
            </w:r>
          </w:p>
        </w:tc>
        <w:tc>
          <w:tcPr>
            <w:tcW w:w="183" w:type="dxa"/>
            <w:tcBorders>
              <w:top w:val="single" w:sz="4" w:space="0" w:color="auto"/>
              <w:left w:val="single" w:sz="4" w:space="0" w:color="auto"/>
              <w:bottom w:val="nil"/>
            </w:tcBorders>
            <w:shd w:val="clear" w:color="auto" w:fill="auto"/>
            <w:tcMar>
              <w:top w:w="3" w:type="dxa"/>
              <w:left w:w="3" w:type="dxa"/>
              <w:bottom w:w="0" w:type="dxa"/>
              <w:right w:w="3" w:type="dxa"/>
            </w:tcMar>
            <w:vAlign w:val="bottom"/>
            <w:hideMark/>
          </w:tcPr>
          <w:p w14:paraId="70BBAC7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6AD552BC"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14D3E4F8"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2003BC8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4A63ACD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6CEA268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6DD5810E"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32C4D8EB"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44C27953"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73B549B4"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0CD97575"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0D7BAEBF"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5CEB936D"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5483A5B9"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tcBorders>
            <w:shd w:val="clear" w:color="auto" w:fill="auto"/>
            <w:tcMar>
              <w:top w:w="3" w:type="dxa"/>
              <w:left w:w="3" w:type="dxa"/>
              <w:bottom w:w="0" w:type="dxa"/>
              <w:right w:w="3" w:type="dxa"/>
            </w:tcMar>
            <w:vAlign w:val="bottom"/>
            <w:hideMark/>
          </w:tcPr>
          <w:p w14:paraId="59797DFA"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397" w:type="dxa"/>
            <w:tcBorders>
              <w:top w:val="single" w:sz="4" w:space="0" w:color="auto"/>
              <w:bottom w:val="nil"/>
            </w:tcBorders>
            <w:shd w:val="clear" w:color="auto" w:fill="auto"/>
            <w:tcMar>
              <w:top w:w="3" w:type="dxa"/>
              <w:left w:w="3" w:type="dxa"/>
              <w:bottom w:w="0" w:type="dxa"/>
              <w:right w:w="3" w:type="dxa"/>
            </w:tcMar>
            <w:vAlign w:val="bottom"/>
            <w:hideMark/>
          </w:tcPr>
          <w:p w14:paraId="24E2BC82"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c>
          <w:tcPr>
            <w:tcW w:w="183" w:type="dxa"/>
            <w:tcBorders>
              <w:top w:val="single" w:sz="4" w:space="0" w:color="auto"/>
              <w:bottom w:val="nil"/>
              <w:right w:val="single" w:sz="4" w:space="0" w:color="auto"/>
            </w:tcBorders>
            <w:shd w:val="clear" w:color="auto" w:fill="auto"/>
            <w:tcMar>
              <w:top w:w="3" w:type="dxa"/>
              <w:left w:w="3" w:type="dxa"/>
              <w:bottom w:w="0" w:type="dxa"/>
              <w:right w:w="3" w:type="dxa"/>
            </w:tcMar>
            <w:vAlign w:val="bottom"/>
            <w:hideMark/>
          </w:tcPr>
          <w:p w14:paraId="29669527" w14:textId="77777777" w:rsidR="005F77DD" w:rsidRPr="005F77DD" w:rsidRDefault="005F77DD" w:rsidP="005F77DD">
            <w:pPr>
              <w:spacing w:after="0" w:line="240" w:lineRule="auto"/>
              <w:jc w:val="center"/>
              <w:textAlignment w:val="bottom"/>
              <w:rPr>
                <w:rFonts w:ascii="Arial" w:eastAsia="Times New Roman" w:hAnsi="Arial" w:cs="Arial"/>
                <w:sz w:val="36"/>
                <w:szCs w:val="36"/>
                <w:lang w:val="en-US"/>
              </w:rPr>
            </w:pPr>
            <w:r w:rsidRPr="005F77DD">
              <w:rPr>
                <w:rFonts w:ascii="Calibri Light" w:eastAsia="Times New Roman" w:hAnsi="Calibri Light" w:cs="Calibri Light"/>
                <w:b/>
                <w:bCs/>
                <w:color w:val="000000"/>
                <w:kern w:val="24"/>
                <w:sz w:val="14"/>
                <w:szCs w:val="14"/>
                <w:lang w:val="en-US"/>
              </w:rPr>
              <w:t> </w:t>
            </w:r>
          </w:p>
        </w:tc>
      </w:tr>
    </w:tbl>
    <w:p w14:paraId="37628B03" w14:textId="02764205" w:rsidR="005F77DD" w:rsidRPr="003D7EAB" w:rsidRDefault="005F77DD" w:rsidP="003D7EAB">
      <w:pPr>
        <w:rPr>
          <w:lang w:val="en-US"/>
        </w:rPr>
      </w:pPr>
    </w:p>
    <w:p w14:paraId="52F6DD57" w14:textId="39B59BA2" w:rsidR="00AF0292" w:rsidRDefault="00FB0019" w:rsidP="003D7EAB">
      <w:pPr>
        <w:pStyle w:val="berschrift3"/>
        <w:rPr>
          <w:lang w:val="en-US"/>
        </w:rPr>
      </w:pPr>
      <w:r>
        <w:rPr>
          <w:lang w:val="en-US"/>
        </w:rPr>
        <w:t>Excluded Subcategories and Social Themes</w:t>
      </w:r>
      <w:r w:rsidR="00AF0292" w:rsidRPr="003D7EAB">
        <w:rPr>
          <w:lang w:val="en-US"/>
        </w:rPr>
        <w:t>:</w:t>
      </w:r>
    </w:p>
    <w:p w14:paraId="0720614F" w14:textId="6410F250" w:rsidR="00FB0019" w:rsidRPr="00FB0019" w:rsidRDefault="00FB0019" w:rsidP="00FB0019">
      <w:pPr>
        <w:rPr>
          <w:lang w:val="en-US"/>
        </w:rPr>
      </w:pPr>
      <w:r>
        <w:rPr>
          <w:lang w:val="en-US"/>
        </w:rPr>
        <w:t xml:space="preserve">Excluded subcategories based on the </w:t>
      </w:r>
      <w:sdt>
        <w:sdtPr>
          <w:rPr>
            <w:lang w:val="en-US"/>
          </w:rPr>
          <w:alias w:val="Don't edit this field"/>
          <w:tag w:val="CitaviPlaceholder#8a643b7b-861d-4aab-94ea-9d3b85ea8e25"/>
          <w:id w:val="1713772216"/>
          <w:placeholder>
            <w:docPart w:val="DefaultPlaceholder_-1854013440"/>
          </w:placeholder>
        </w:sdtPr>
        <w:sdtEndPr/>
        <w:sdtContent>
          <w:r>
            <w:rPr>
              <w:lang w:val="en-US"/>
            </w:rPr>
            <w:fldChar w:fldCharType="begin"/>
          </w:r>
          <w:r w:rsidR="009B2924">
            <w:rPr>
              <w:lang w:val="en-US"/>
            </w:rPr>
            <w:instrText>ADDIN CitaviPlaceholder{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}</w:instrText>
          </w:r>
          <w:r>
            <w:rPr>
              <w:lang w:val="en-US"/>
            </w:rPr>
            <w:fldChar w:fldCharType="separate"/>
          </w:r>
          <w:r w:rsidR="000D2D86">
            <w:rPr>
              <w:lang w:val="en-US"/>
            </w:rPr>
            <w:t>UNEP/SETAC</w:t>
          </w:r>
          <w:r>
            <w:rPr>
              <w:lang w:val="en-US"/>
            </w:rPr>
            <w:fldChar w:fldCharType="end"/>
          </w:r>
        </w:sdtContent>
      </w:sdt>
      <w:r>
        <w:rPr>
          <w:lang w:val="en-US"/>
        </w:rPr>
        <w:t xml:space="preserve"> </w:t>
      </w:r>
      <w:sdt>
        <w:sdtPr>
          <w:rPr>
            <w:lang w:val="en-US"/>
          </w:rPr>
          <w:alias w:val="Don't edit this field"/>
          <w:tag w:val="CitaviPlaceholder#6200fb1d-0dc7-4089-bf34-06f35c43053f"/>
          <w:id w:val="1540548454"/>
          <w:placeholder>
            <w:docPart w:val="DefaultPlaceholder_-1854013440"/>
          </w:placeholder>
        </w:sdtPr>
        <w:sdtEndPr/>
        <w:sdtContent>
          <w:r>
            <w:rPr>
              <w:lang w:val="en-US"/>
            </w:rPr>
            <w:fldChar w:fldCharType="begin"/>
          </w:r>
          <w:r w:rsidR="009B2924">
            <w:rPr>
              <w:lang w:val="en-US"/>
            </w:rPr>
            <w:instrText>ADDIN CitaviPlaceholder{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}</w:instrText>
          </w:r>
          <w:r>
            <w:rPr>
              <w:lang w:val="en-US"/>
            </w:rPr>
            <w:fldChar w:fldCharType="separate"/>
          </w:r>
          <w:r w:rsidR="000D2D86">
            <w:rPr>
              <w:lang w:val="en-US"/>
            </w:rPr>
            <w:t>(2009)</w:t>
          </w:r>
          <w:r>
            <w:rPr>
              <w:lang w:val="en-US"/>
            </w:rPr>
            <w:fldChar w:fldCharType="end"/>
          </w:r>
        </w:sdtContent>
      </w:sdt>
      <w:r>
        <w:rPr>
          <w:lang w:val="en-US"/>
        </w:rPr>
        <w:t xml:space="preserve"> guidelines: </w:t>
      </w:r>
    </w:p>
    <w:p w14:paraId="2B5AB7A4" w14:textId="551E9E96" w:rsidR="00AF0292" w:rsidRPr="003D7EAB" w:rsidRDefault="00AF0292" w:rsidP="003D7EAB">
      <w:pPr>
        <w:pStyle w:val="Listenabsatz"/>
        <w:numPr>
          <w:ilvl w:val="0"/>
          <w:numId w:val="11"/>
        </w:numPr>
        <w:rPr>
          <w:b/>
          <w:lang w:val="en-US"/>
        </w:rPr>
      </w:pPr>
      <w:r w:rsidRPr="003D7EAB">
        <w:rPr>
          <w:b/>
          <w:lang w:val="en-US"/>
        </w:rPr>
        <w:t xml:space="preserve">Child labor: </w:t>
      </w:r>
      <w:r w:rsidR="00FB0019" w:rsidRPr="00FB0019">
        <w:rPr>
          <w:lang w:val="en-US"/>
        </w:rPr>
        <w:t>just a few countries with available data identified</w:t>
      </w:r>
      <w:r w:rsidR="00FB0019">
        <w:rPr>
          <w:lang w:val="en-US"/>
        </w:rPr>
        <w:t xml:space="preserve">, which is not enough for the comparison of the two product systems. </w:t>
      </w:r>
    </w:p>
    <w:p w14:paraId="3431BE73" w14:textId="2A677AA6" w:rsidR="00AF0292" w:rsidRPr="00FB0019" w:rsidRDefault="00AF0292" w:rsidP="003D7EAB">
      <w:pPr>
        <w:pStyle w:val="Listenabsatz"/>
        <w:numPr>
          <w:ilvl w:val="0"/>
          <w:numId w:val="11"/>
        </w:numPr>
        <w:rPr>
          <w:lang w:val="en-US"/>
        </w:rPr>
      </w:pPr>
      <w:r w:rsidRPr="003D7EAB">
        <w:rPr>
          <w:b/>
          <w:lang w:val="en-US"/>
        </w:rPr>
        <w:t>Land access:</w:t>
      </w:r>
      <w:r w:rsidR="00FB0019">
        <w:rPr>
          <w:b/>
          <w:lang w:val="en-US"/>
        </w:rPr>
        <w:t xml:space="preserve"> </w:t>
      </w:r>
      <w:r w:rsidR="00FB0019" w:rsidRPr="00FB0019">
        <w:rPr>
          <w:lang w:val="en-US"/>
        </w:rPr>
        <w:t xml:space="preserve">no indicator and no reliable data identified. </w:t>
      </w:r>
    </w:p>
    <w:p w14:paraId="65198F11" w14:textId="3C7337F3" w:rsidR="00AF0292" w:rsidRPr="00FB0019" w:rsidRDefault="00AF0292" w:rsidP="00FB0019">
      <w:pPr>
        <w:pStyle w:val="Listenabsatz"/>
        <w:numPr>
          <w:ilvl w:val="0"/>
          <w:numId w:val="11"/>
        </w:numPr>
        <w:rPr>
          <w:lang w:val="en-US"/>
        </w:rPr>
      </w:pPr>
      <w:r w:rsidRPr="00FB0019">
        <w:rPr>
          <w:b/>
          <w:lang w:val="en-US"/>
        </w:rPr>
        <w:t xml:space="preserve">Access to immaterial </w:t>
      </w:r>
      <w:r w:rsidR="00370753" w:rsidRPr="00FB0019">
        <w:rPr>
          <w:b/>
          <w:lang w:val="en-US"/>
        </w:rPr>
        <w:t>resources</w:t>
      </w:r>
      <w:r w:rsidRPr="00FB0019">
        <w:rPr>
          <w:b/>
          <w:lang w:val="en-US"/>
        </w:rPr>
        <w:t>:</w:t>
      </w:r>
      <w:r w:rsidR="00FB0019" w:rsidRPr="00FB0019">
        <w:rPr>
          <w:b/>
          <w:lang w:val="en-US"/>
        </w:rPr>
        <w:t xml:space="preserve"> </w:t>
      </w:r>
      <w:r w:rsidRPr="00FB0019">
        <w:rPr>
          <w:lang w:val="en-US"/>
        </w:rPr>
        <w:t>No reliable data</w:t>
      </w:r>
    </w:p>
    <w:p w14:paraId="04B6BAA9" w14:textId="2F553470" w:rsidR="00AF0292" w:rsidRPr="00DC20CF" w:rsidRDefault="00FB0019">
      <w:pPr>
        <w:rPr>
          <w:lang w:val="en-US"/>
        </w:rPr>
      </w:pPr>
      <w:r w:rsidRPr="00DC20CF">
        <w:rPr>
          <w:lang w:val="en-US"/>
        </w:rPr>
        <w:t>Excluded social themes based on the results from</w:t>
      </w:r>
      <w:r w:rsidR="000D2D86">
        <w:rPr>
          <w:lang w:val="en-US"/>
        </w:rPr>
        <w:t xml:space="preserve"> </w:t>
      </w:r>
      <w:r w:rsidRPr="00DC20CF">
        <w:rPr>
          <w:lang w:val="en-US"/>
        </w:rPr>
        <w:t xml:space="preserve"> </w:t>
      </w:r>
      <w:sdt>
        <w:sdtPr>
          <w:rPr>
            <w:lang w:val="en-US"/>
          </w:rPr>
          <w:alias w:val="Don't edit this field"/>
          <w:tag w:val="CitaviPlaceholder#bfaa1530-660c-4917-a5cd-20510f392117"/>
          <w:id w:val="651415209"/>
          <w:placeholder>
            <w:docPart w:val="DefaultPlaceholder_-1854013440"/>
          </w:placeholder>
        </w:sdtPr>
        <w:sdtEndPr/>
        <w:sdtContent>
          <w:r w:rsidRPr="00DC20CF">
            <w:rPr>
              <w:lang w:val="en-US"/>
            </w:rPr>
            <w:fldChar w:fldCharType="begin"/>
          </w:r>
          <w:r w:rsidR="000D2D86">
            <w:rPr>
              <w:lang w:val="en-US"/>
            </w:rPr>
            <w:instrText>ADDIN CitaviPlaceholder{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}</w:instrText>
          </w:r>
          <w:r w:rsidRPr="00DC20CF">
            <w:rPr>
              <w:lang w:val="en-US"/>
            </w:rPr>
            <w:fldChar w:fldCharType="separate"/>
          </w:r>
          <w:r w:rsidR="000D2D86">
            <w:rPr>
              <w:lang w:val="en-US"/>
            </w:rPr>
            <w:t>Mair-Bauernfeind et al.</w:t>
          </w:r>
          <w:r w:rsidRPr="00DC20CF">
            <w:rPr>
              <w:lang w:val="en-US"/>
            </w:rPr>
            <w:fldChar w:fldCharType="end"/>
          </w:r>
        </w:sdtContent>
      </w:sdt>
      <w:r w:rsidRPr="00DC20CF">
        <w:rPr>
          <w:lang w:val="en-US"/>
        </w:rPr>
        <w:t xml:space="preserve"> </w:t>
      </w:r>
      <w:sdt>
        <w:sdtPr>
          <w:rPr>
            <w:lang w:val="en-US"/>
          </w:rPr>
          <w:alias w:val="Don't edit this field"/>
          <w:tag w:val="CitaviPlaceholder#a8c9d9ba-5c9d-4a21-8d9c-667ddc906d03"/>
          <w:id w:val="772219916"/>
          <w:placeholder>
            <w:docPart w:val="DefaultPlaceholder_-1854013440"/>
          </w:placeholder>
        </w:sdtPr>
        <w:sdtEndPr/>
        <w:sdtContent>
          <w:r w:rsidRPr="00DC20CF">
            <w:rPr>
              <w:lang w:val="en-US"/>
            </w:rPr>
            <w:fldChar w:fldCharType="begin"/>
          </w:r>
          <w:r w:rsidR="000D2D86">
            <w:rPr>
              <w:lang w:val="en-US"/>
            </w:rPr>
            <w:instrText>ADDIN CitaviPlaceholder{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}</w:instrText>
          </w:r>
          <w:r w:rsidRPr="00DC20CF">
            <w:rPr>
              <w:lang w:val="en-US"/>
            </w:rPr>
            <w:fldChar w:fldCharType="separate"/>
          </w:r>
          <w:r w:rsidR="000D2D86">
            <w:rPr>
              <w:lang w:val="en-US"/>
            </w:rPr>
            <w:t>(202X)</w:t>
          </w:r>
          <w:r w:rsidRPr="00DC20CF">
            <w:rPr>
              <w:lang w:val="en-US"/>
            </w:rPr>
            <w:fldChar w:fldCharType="end"/>
          </w:r>
        </w:sdtContent>
      </w:sdt>
      <w:r w:rsidR="00DC20CF" w:rsidRPr="00DC20CF">
        <w:rPr>
          <w:lang w:val="en-US"/>
        </w:rPr>
        <w:t>:</w:t>
      </w:r>
    </w:p>
    <w:p w14:paraId="2F6DD2A1" w14:textId="08AFDAB2" w:rsidR="00AF0292" w:rsidRPr="00CF1A8E" w:rsidRDefault="00AF0292" w:rsidP="00DC20CF">
      <w:pPr>
        <w:pStyle w:val="Listenabsatz"/>
        <w:numPr>
          <w:ilvl w:val="0"/>
          <w:numId w:val="11"/>
        </w:numPr>
        <w:rPr>
          <w:lang w:val="en-US"/>
        </w:rPr>
      </w:pPr>
      <w:r w:rsidRPr="00CF1A8E">
        <w:rPr>
          <w:b/>
          <w:lang w:val="en-US"/>
        </w:rPr>
        <w:t>Knowledge capital:</w:t>
      </w:r>
      <w:r w:rsidR="00DC20CF" w:rsidRPr="00CF1A8E">
        <w:rPr>
          <w:b/>
          <w:lang w:val="en-US"/>
        </w:rPr>
        <w:t xml:space="preserve"> </w:t>
      </w:r>
      <w:r w:rsidRPr="00CF1A8E">
        <w:rPr>
          <w:lang w:val="en-US"/>
        </w:rPr>
        <w:t>No site-specific data, no sense on generic level</w:t>
      </w:r>
    </w:p>
    <w:p w14:paraId="139A0096" w14:textId="314288A1" w:rsidR="00AF0292" w:rsidRPr="00CF1A8E" w:rsidRDefault="00AF0292" w:rsidP="00D8134B">
      <w:pPr>
        <w:pStyle w:val="Listenabsatz"/>
        <w:numPr>
          <w:ilvl w:val="0"/>
          <w:numId w:val="11"/>
        </w:numPr>
        <w:rPr>
          <w:lang w:val="en-US"/>
        </w:rPr>
      </w:pPr>
      <w:r w:rsidRPr="00CF1A8E">
        <w:rPr>
          <w:b/>
          <w:lang w:val="en-US"/>
        </w:rPr>
        <w:t>Land- and worker-related concerns:</w:t>
      </w:r>
      <w:r w:rsidR="00DC20CF" w:rsidRPr="00CF1A8E">
        <w:rPr>
          <w:b/>
          <w:lang w:val="en-US"/>
        </w:rPr>
        <w:t xml:space="preserve"> </w:t>
      </w:r>
      <w:r w:rsidRPr="00CF1A8E">
        <w:rPr>
          <w:lang w:val="en-US"/>
        </w:rPr>
        <w:t xml:space="preserve">Not specified in </w:t>
      </w:r>
      <w:r w:rsidR="00DC20CF" w:rsidRPr="00CF1A8E">
        <w:rPr>
          <w:lang w:val="en-US"/>
        </w:rPr>
        <w:t>the original work from</w:t>
      </w:r>
      <w:r w:rsidR="00451C2B" w:rsidRPr="00CF1A8E">
        <w:rPr>
          <w:lang w:val="en-US"/>
        </w:rPr>
        <w:t xml:space="preserve"> </w:t>
      </w:r>
      <w:sdt>
        <w:sdtPr>
          <w:rPr>
            <w:lang w:val="en-US"/>
          </w:rPr>
          <w:alias w:val="Don't edit this field"/>
          <w:tag w:val="CitaviPlaceholder#8f606539-2e9e-4378-bddd-eec868b852be"/>
          <w:id w:val="-608899287"/>
          <w:placeholder>
            <w:docPart w:val="DefaultPlaceholder_-1854013440"/>
          </w:placeholder>
        </w:sdtPr>
        <w:sdtEndPr/>
        <w:sdtContent>
          <w:r w:rsidR="00451C2B" w:rsidRPr="00CF1A8E">
            <w:rPr>
              <w:lang w:val="en-US"/>
            </w:rPr>
            <w:fldChar w:fldCharType="begin"/>
          </w:r>
          <w:r w:rsidR="008827F6">
            <w:rPr>
              <w:lang w:val="en-US"/>
            </w:rPr>
            <w:instrText>ADDIN CitaviPlaceholder{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}</w:instrText>
          </w:r>
          <w:r w:rsidR="00451C2B" w:rsidRPr="00CF1A8E">
            <w:rPr>
              <w:lang w:val="en-US"/>
            </w:rPr>
            <w:fldChar w:fldCharType="separate"/>
          </w:r>
          <w:r w:rsidR="000D2D86">
            <w:rPr>
              <w:lang w:val="en-US"/>
            </w:rPr>
            <w:t>Rafiaani et al.</w:t>
          </w:r>
          <w:r w:rsidR="00451C2B" w:rsidRPr="00CF1A8E">
            <w:rPr>
              <w:lang w:val="en-US"/>
            </w:rPr>
            <w:fldChar w:fldCharType="end"/>
          </w:r>
        </w:sdtContent>
      </w:sdt>
      <w:r w:rsidR="00451C2B" w:rsidRPr="00CF1A8E">
        <w:rPr>
          <w:lang w:val="en-US"/>
        </w:rPr>
        <w:t xml:space="preserve"> </w:t>
      </w:r>
      <w:sdt>
        <w:sdtPr>
          <w:rPr>
            <w:lang w:val="en-US"/>
          </w:rPr>
          <w:alias w:val="Don't edit this field"/>
          <w:tag w:val="CitaviPlaceholder#8f4bfa1a-bd85-4ed2-8858-51033370cb6d"/>
          <w:id w:val="-793746625"/>
          <w:placeholder>
            <w:docPart w:val="DefaultPlaceholder_-1854013440"/>
          </w:placeholder>
        </w:sdtPr>
        <w:sdtEndPr/>
        <w:sdtContent>
          <w:r w:rsidR="00451C2B" w:rsidRPr="00CF1A8E">
            <w:rPr>
              <w:lang w:val="en-US"/>
            </w:rPr>
            <w:fldChar w:fldCharType="begin"/>
          </w:r>
          <w:r w:rsidR="008827F6">
            <w:rPr>
              <w:lang w:val="en-US"/>
            </w:rPr>
            <w:instrText>ADDIN CitaviPlaceholder{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}</w:instrText>
          </w:r>
          <w:r w:rsidR="00451C2B" w:rsidRPr="00CF1A8E">
            <w:rPr>
              <w:lang w:val="en-US"/>
            </w:rPr>
            <w:fldChar w:fldCharType="separate"/>
          </w:r>
          <w:r w:rsidR="000D2D86">
            <w:rPr>
              <w:lang w:val="en-US"/>
            </w:rPr>
            <w:t>(2018)</w:t>
          </w:r>
          <w:r w:rsidR="00451C2B" w:rsidRPr="00CF1A8E">
            <w:rPr>
              <w:lang w:val="en-US"/>
            </w:rPr>
            <w:fldChar w:fldCharType="end"/>
          </w:r>
        </w:sdtContent>
      </w:sdt>
      <w:r w:rsidR="00B35E7D" w:rsidRPr="00CF1A8E">
        <w:rPr>
          <w:lang w:val="en-US"/>
        </w:rPr>
        <w:t xml:space="preserve"> and </w:t>
      </w:r>
      <w:r w:rsidR="00CF1A8E" w:rsidRPr="00CF1A8E">
        <w:rPr>
          <w:lang w:val="en-US"/>
        </w:rPr>
        <w:t>suggests</w:t>
      </w:r>
      <w:r w:rsidR="00DD01A1" w:rsidRPr="00CF1A8E">
        <w:rPr>
          <w:lang w:val="en-US"/>
        </w:rPr>
        <w:t xml:space="preserve"> that this topic </w:t>
      </w:r>
      <w:r w:rsidR="00CF1A8E" w:rsidRPr="00CF1A8E">
        <w:rPr>
          <w:lang w:val="en-US"/>
        </w:rPr>
        <w:t xml:space="preserve">might be </w:t>
      </w:r>
      <w:r w:rsidR="00DD01A1" w:rsidRPr="00CF1A8E">
        <w:rPr>
          <w:lang w:val="en-US"/>
        </w:rPr>
        <w:t xml:space="preserve">already covered in other </w:t>
      </w:r>
      <w:r w:rsidR="00CF1A8E" w:rsidRPr="00CF1A8E">
        <w:rPr>
          <w:lang w:val="en-US"/>
        </w:rPr>
        <w:t>sub</w:t>
      </w:r>
      <w:r w:rsidR="00DD01A1" w:rsidRPr="00CF1A8E">
        <w:rPr>
          <w:lang w:val="en-US"/>
        </w:rPr>
        <w:t>categories.</w:t>
      </w:r>
    </w:p>
    <w:p w14:paraId="7C96341B" w14:textId="3591E00F" w:rsidR="00215082" w:rsidRPr="00DC20CF" w:rsidRDefault="00AF0292" w:rsidP="00215082">
      <w:pPr>
        <w:pStyle w:val="Listenabsatz"/>
        <w:numPr>
          <w:ilvl w:val="0"/>
          <w:numId w:val="11"/>
        </w:numPr>
        <w:rPr>
          <w:lang w:val="en-US"/>
        </w:rPr>
      </w:pPr>
      <w:r w:rsidRPr="00CF1A8E">
        <w:rPr>
          <w:b/>
          <w:lang w:val="en-US"/>
        </w:rPr>
        <w:t>Consumer issues:</w:t>
      </w:r>
      <w:r w:rsidR="00DC20CF" w:rsidRPr="00CF1A8E">
        <w:rPr>
          <w:b/>
          <w:lang w:val="en-US"/>
        </w:rPr>
        <w:t xml:space="preserve"> </w:t>
      </w:r>
      <w:r w:rsidR="00DC20CF" w:rsidRPr="00CF1A8E">
        <w:rPr>
          <w:lang w:val="en-US"/>
        </w:rPr>
        <w:t>the</w:t>
      </w:r>
      <w:r w:rsidRPr="00CF1A8E">
        <w:rPr>
          <w:lang w:val="en-US"/>
        </w:rPr>
        <w:t xml:space="preserve"> use phase is excluded in the present study, as the substitution of steel by wood may not have any</w:t>
      </w:r>
      <w:r w:rsidRPr="00DC20CF">
        <w:rPr>
          <w:lang w:val="en-US"/>
        </w:rPr>
        <w:t xml:space="preserve"> influences on the consumer leve</w:t>
      </w:r>
      <w:r w:rsidR="00DC20CF">
        <w:rPr>
          <w:lang w:val="en-US"/>
        </w:rPr>
        <w:t>l.</w:t>
      </w:r>
    </w:p>
    <w:p w14:paraId="5F059809" w14:textId="77777777" w:rsidR="00021DBD" w:rsidRDefault="00021DBD" w:rsidP="00215082">
      <w:pPr>
        <w:rPr>
          <w:lang w:val="en-US"/>
        </w:rPr>
        <w:sectPr w:rsidR="00021DB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pPr>
    </w:p>
    <w:p w14:paraId="33E240DD" w14:textId="0FE40808" w:rsidR="00FE711A" w:rsidRPr="00FE711A" w:rsidRDefault="00FE711A" w:rsidP="00FE711A">
      <w:pPr>
        <w:pStyle w:val="Beschriftung"/>
        <w:keepNext/>
        <w:spacing w:after="0"/>
        <w:rPr>
          <w:lang w:val="en-US"/>
        </w:rPr>
      </w:pPr>
      <w:r w:rsidRPr="00FE711A">
        <w:rPr>
          <w:lang w:val="en-US"/>
        </w:rPr>
        <w:lastRenderedPageBreak/>
        <w:t xml:space="preserve">Table </w:t>
      </w:r>
      <w:r>
        <w:fldChar w:fldCharType="begin"/>
      </w:r>
      <w:r w:rsidRPr="00FE711A">
        <w:rPr>
          <w:lang w:val="en-US"/>
        </w:rPr>
        <w:instrText xml:space="preserve"> SEQ Table \* ARABIC </w:instrText>
      </w:r>
      <w:r>
        <w:fldChar w:fldCharType="separate"/>
      </w:r>
      <w:r w:rsidR="00572639">
        <w:rPr>
          <w:noProof/>
          <w:lang w:val="en-US"/>
        </w:rPr>
        <w:t>2</w:t>
      </w:r>
      <w:r>
        <w:fldChar w:fldCharType="end"/>
      </w:r>
      <w:r w:rsidRPr="00FE711A">
        <w:rPr>
          <w:lang w:val="en-US"/>
        </w:rPr>
        <w:t xml:space="preserve">: </w:t>
      </w:r>
      <w:r w:rsidRPr="00FE711A">
        <w:rPr>
          <w:b w:val="0"/>
          <w:lang w:val="en-US"/>
        </w:rPr>
        <w:t>Full list of subcategories and inventoried indicators including a short description, data source as well as the original unit or score and the normalized value range of each indicator</w:t>
      </w:r>
    </w:p>
    <w:tbl>
      <w:tblPr>
        <w:tblStyle w:val="Tabellenraster"/>
        <w:tblW w:w="14089"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26"/>
        <w:gridCol w:w="1077"/>
        <w:gridCol w:w="1474"/>
        <w:gridCol w:w="510"/>
        <w:gridCol w:w="1020"/>
        <w:gridCol w:w="5954"/>
        <w:gridCol w:w="1644"/>
        <w:gridCol w:w="1984"/>
      </w:tblGrid>
      <w:tr w:rsidR="007A3AA6" w:rsidRPr="00451C2B" w14:paraId="720E6D1B" w14:textId="77777777" w:rsidTr="002427FF">
        <w:trPr>
          <w:cantSplit/>
          <w:trHeight w:val="683"/>
        </w:trPr>
        <w:tc>
          <w:tcPr>
            <w:tcW w:w="426" w:type="dxa"/>
            <w:textDirection w:val="btLr"/>
            <w:vAlign w:val="center"/>
            <w:hideMark/>
          </w:tcPr>
          <w:p w14:paraId="17F330FF" w14:textId="28148F6A" w:rsidR="007A3AA6" w:rsidRPr="00AB143A" w:rsidRDefault="007A3AA6" w:rsidP="00FE711A">
            <w:pPr>
              <w:ind w:left="113" w:right="113"/>
              <w:jc w:val="left"/>
              <w:rPr>
                <w:rFonts w:asciiTheme="majorHAnsi" w:hAnsiTheme="majorHAnsi" w:cstheme="majorHAnsi"/>
                <w:b/>
                <w:bCs/>
                <w:sz w:val="14"/>
                <w:szCs w:val="14"/>
                <w:lang w:val="en-US"/>
              </w:rPr>
            </w:pPr>
            <w:r w:rsidRPr="00AB143A">
              <w:rPr>
                <w:rFonts w:asciiTheme="majorHAnsi" w:hAnsiTheme="majorHAnsi" w:cstheme="majorHAnsi"/>
                <w:b/>
                <w:bCs/>
                <w:sz w:val="14"/>
                <w:szCs w:val="14"/>
                <w:lang w:val="en-US"/>
              </w:rPr>
              <w:t xml:space="preserve">Stake-holder </w:t>
            </w:r>
          </w:p>
        </w:tc>
        <w:tc>
          <w:tcPr>
            <w:tcW w:w="1077" w:type="dxa"/>
            <w:vAlign w:val="bottom"/>
            <w:hideMark/>
          </w:tcPr>
          <w:p w14:paraId="67AB5E02" w14:textId="77777777" w:rsidR="007A3AA6" w:rsidRPr="00AB143A" w:rsidRDefault="007A3AA6" w:rsidP="00F705BE">
            <w:pPr>
              <w:jc w:val="left"/>
              <w:rPr>
                <w:rFonts w:asciiTheme="majorHAnsi" w:hAnsiTheme="majorHAnsi" w:cstheme="majorHAnsi"/>
                <w:b/>
                <w:bCs/>
                <w:sz w:val="14"/>
                <w:szCs w:val="14"/>
                <w:lang w:val="en-US"/>
              </w:rPr>
            </w:pPr>
            <w:r w:rsidRPr="00AB143A">
              <w:rPr>
                <w:rFonts w:asciiTheme="majorHAnsi" w:hAnsiTheme="majorHAnsi" w:cstheme="majorHAnsi"/>
                <w:b/>
                <w:bCs/>
                <w:sz w:val="14"/>
                <w:szCs w:val="14"/>
                <w:lang w:val="en-US"/>
              </w:rPr>
              <w:t>Subcategory</w:t>
            </w:r>
          </w:p>
        </w:tc>
        <w:tc>
          <w:tcPr>
            <w:tcW w:w="1474" w:type="dxa"/>
            <w:vAlign w:val="bottom"/>
            <w:hideMark/>
          </w:tcPr>
          <w:p w14:paraId="3442557C" w14:textId="539BD0D6" w:rsidR="007A3AA6" w:rsidRPr="00AB143A" w:rsidRDefault="007A3AA6" w:rsidP="00F705BE">
            <w:pPr>
              <w:jc w:val="left"/>
              <w:rPr>
                <w:rFonts w:asciiTheme="majorHAnsi" w:hAnsiTheme="majorHAnsi" w:cstheme="majorHAnsi"/>
                <w:b/>
                <w:bCs/>
                <w:sz w:val="14"/>
                <w:szCs w:val="14"/>
                <w:lang w:val="en-US"/>
              </w:rPr>
            </w:pPr>
            <w:r w:rsidRPr="00AB143A">
              <w:rPr>
                <w:rFonts w:asciiTheme="majorHAnsi" w:hAnsiTheme="majorHAnsi" w:cstheme="majorHAnsi"/>
                <w:b/>
                <w:bCs/>
                <w:sz w:val="14"/>
                <w:szCs w:val="14"/>
                <w:lang w:val="en-US"/>
              </w:rPr>
              <w:t>Indicator | Index</w:t>
            </w:r>
          </w:p>
        </w:tc>
        <w:tc>
          <w:tcPr>
            <w:tcW w:w="510" w:type="dxa"/>
            <w:vAlign w:val="bottom"/>
          </w:tcPr>
          <w:p w14:paraId="12A6D81B" w14:textId="72561B62" w:rsidR="007A3AA6" w:rsidRPr="00AB143A" w:rsidRDefault="007A3AA6" w:rsidP="007A3AA6">
            <w:pPr>
              <w:jc w:val="left"/>
              <w:rPr>
                <w:rFonts w:asciiTheme="majorHAnsi" w:hAnsiTheme="majorHAnsi" w:cstheme="majorHAnsi"/>
                <w:b/>
                <w:bCs/>
                <w:sz w:val="14"/>
                <w:szCs w:val="14"/>
                <w:lang w:val="en-US"/>
              </w:rPr>
            </w:pPr>
            <w:r>
              <w:rPr>
                <w:rFonts w:asciiTheme="majorHAnsi" w:hAnsiTheme="majorHAnsi" w:cstheme="majorHAnsi"/>
                <w:b/>
                <w:bCs/>
                <w:sz w:val="14"/>
                <w:szCs w:val="14"/>
                <w:lang w:val="en-US"/>
              </w:rPr>
              <w:t>Year</w:t>
            </w:r>
          </w:p>
        </w:tc>
        <w:tc>
          <w:tcPr>
            <w:tcW w:w="1020" w:type="dxa"/>
            <w:vAlign w:val="bottom"/>
            <w:hideMark/>
          </w:tcPr>
          <w:p w14:paraId="6FD638F5" w14:textId="54C7DE45" w:rsidR="007A3AA6" w:rsidRPr="00AB143A" w:rsidRDefault="007A3AA6" w:rsidP="00F705BE">
            <w:pPr>
              <w:jc w:val="left"/>
              <w:rPr>
                <w:rFonts w:asciiTheme="majorHAnsi" w:hAnsiTheme="majorHAnsi" w:cstheme="majorHAnsi"/>
                <w:b/>
                <w:bCs/>
                <w:sz w:val="14"/>
                <w:szCs w:val="14"/>
                <w:lang w:val="en-US"/>
              </w:rPr>
            </w:pPr>
            <w:r w:rsidRPr="00AB143A">
              <w:rPr>
                <w:rFonts w:asciiTheme="majorHAnsi" w:hAnsiTheme="majorHAnsi" w:cstheme="majorHAnsi"/>
                <w:b/>
                <w:bCs/>
                <w:sz w:val="14"/>
                <w:szCs w:val="14"/>
                <w:lang w:val="en-US"/>
              </w:rPr>
              <w:t>Unit | Score (original)</w:t>
            </w:r>
          </w:p>
        </w:tc>
        <w:tc>
          <w:tcPr>
            <w:tcW w:w="5954" w:type="dxa"/>
            <w:vAlign w:val="bottom"/>
            <w:hideMark/>
          </w:tcPr>
          <w:p w14:paraId="0853F0B7" w14:textId="77777777" w:rsidR="007A3AA6" w:rsidRPr="00AB143A" w:rsidRDefault="007A3AA6" w:rsidP="00F705BE">
            <w:pPr>
              <w:jc w:val="left"/>
              <w:rPr>
                <w:rFonts w:asciiTheme="majorHAnsi" w:hAnsiTheme="majorHAnsi" w:cstheme="majorHAnsi"/>
                <w:b/>
                <w:bCs/>
                <w:sz w:val="14"/>
                <w:szCs w:val="14"/>
                <w:lang w:val="en-US"/>
              </w:rPr>
            </w:pPr>
            <w:r w:rsidRPr="00AB143A">
              <w:rPr>
                <w:rFonts w:asciiTheme="majorHAnsi" w:hAnsiTheme="majorHAnsi" w:cstheme="majorHAnsi"/>
                <w:b/>
                <w:bCs/>
                <w:sz w:val="14"/>
                <w:szCs w:val="14"/>
                <w:lang w:val="en-US"/>
              </w:rPr>
              <w:t>Indicator Description | Variables included (INDEX)</w:t>
            </w:r>
          </w:p>
        </w:tc>
        <w:tc>
          <w:tcPr>
            <w:tcW w:w="1644" w:type="dxa"/>
            <w:vAlign w:val="bottom"/>
            <w:hideMark/>
          </w:tcPr>
          <w:p w14:paraId="001B691D" w14:textId="77777777" w:rsidR="007A3AA6" w:rsidRPr="00AB143A" w:rsidRDefault="007A3AA6" w:rsidP="00F705BE">
            <w:pPr>
              <w:jc w:val="left"/>
              <w:rPr>
                <w:rFonts w:asciiTheme="majorHAnsi" w:hAnsiTheme="majorHAnsi" w:cstheme="majorHAnsi"/>
                <w:sz w:val="14"/>
                <w:szCs w:val="14"/>
                <w:lang w:val="en-US"/>
              </w:rPr>
            </w:pPr>
            <w:r w:rsidRPr="00AB143A">
              <w:rPr>
                <w:rFonts w:asciiTheme="majorHAnsi" w:hAnsiTheme="majorHAnsi" w:cstheme="majorHAnsi"/>
                <w:b/>
                <w:bCs/>
                <w:sz w:val="14"/>
                <w:szCs w:val="14"/>
                <w:lang w:val="en-US"/>
              </w:rPr>
              <w:t xml:space="preserve">Normalized value range </w:t>
            </w:r>
          </w:p>
          <w:p w14:paraId="17464A90" w14:textId="2823CA7A" w:rsidR="007A3AA6" w:rsidRPr="00AB143A" w:rsidRDefault="007A3AA6" w:rsidP="00F705BE">
            <w:pPr>
              <w:jc w:val="left"/>
              <w:rPr>
                <w:rFonts w:asciiTheme="majorHAnsi" w:hAnsiTheme="majorHAnsi" w:cstheme="majorHAnsi"/>
                <w:b/>
                <w:bCs/>
                <w:sz w:val="14"/>
                <w:szCs w:val="14"/>
                <w:lang w:val="en-US"/>
              </w:rPr>
            </w:pPr>
            <w:r w:rsidRPr="00AB143A">
              <w:rPr>
                <w:rFonts w:asciiTheme="majorHAnsi" w:hAnsiTheme="majorHAnsi" w:cstheme="majorHAnsi"/>
                <w:sz w:val="14"/>
                <w:szCs w:val="14"/>
                <w:lang w:val="en-US"/>
              </w:rPr>
              <w:t>based on Chen and Holden (2017)</w:t>
            </w:r>
          </w:p>
        </w:tc>
        <w:tc>
          <w:tcPr>
            <w:tcW w:w="1984" w:type="dxa"/>
            <w:vAlign w:val="bottom"/>
            <w:hideMark/>
          </w:tcPr>
          <w:p w14:paraId="7EA744FC" w14:textId="77777777" w:rsidR="007A3AA6" w:rsidRPr="00AB143A" w:rsidRDefault="007A3AA6" w:rsidP="00F705BE">
            <w:pPr>
              <w:jc w:val="left"/>
              <w:rPr>
                <w:rFonts w:asciiTheme="majorHAnsi" w:hAnsiTheme="majorHAnsi" w:cstheme="majorHAnsi"/>
                <w:b/>
                <w:bCs/>
                <w:sz w:val="14"/>
                <w:szCs w:val="14"/>
                <w:lang w:val="en-US"/>
              </w:rPr>
            </w:pPr>
            <w:r w:rsidRPr="00AB143A">
              <w:rPr>
                <w:rFonts w:asciiTheme="majorHAnsi" w:hAnsiTheme="majorHAnsi" w:cstheme="majorHAnsi"/>
                <w:b/>
                <w:bCs/>
                <w:sz w:val="14"/>
                <w:szCs w:val="14"/>
                <w:lang w:val="en-US"/>
              </w:rPr>
              <w:t>Data source</w:t>
            </w:r>
          </w:p>
        </w:tc>
      </w:tr>
      <w:tr w:rsidR="007A3AA6" w:rsidRPr="000D0760" w14:paraId="028B09F7" w14:textId="77777777" w:rsidTr="002427FF">
        <w:trPr>
          <w:trHeight w:val="340"/>
        </w:trPr>
        <w:tc>
          <w:tcPr>
            <w:tcW w:w="426" w:type="dxa"/>
            <w:vMerge w:val="restart"/>
            <w:noWrap/>
            <w:textDirection w:val="btLr"/>
            <w:vAlign w:val="center"/>
            <w:hideMark/>
          </w:tcPr>
          <w:p w14:paraId="32512775" w14:textId="77777777" w:rsidR="007A3AA6" w:rsidRPr="00AB143A" w:rsidRDefault="007A3AA6" w:rsidP="00FE711A">
            <w:pPr>
              <w:jc w:val="center"/>
              <w:rPr>
                <w:rFonts w:asciiTheme="majorHAnsi" w:hAnsiTheme="majorHAnsi" w:cstheme="majorHAnsi"/>
                <w:b/>
                <w:sz w:val="14"/>
                <w:szCs w:val="14"/>
                <w:lang w:val="en-US"/>
              </w:rPr>
            </w:pPr>
            <w:r w:rsidRPr="00AB143A">
              <w:rPr>
                <w:rFonts w:asciiTheme="majorHAnsi" w:hAnsiTheme="majorHAnsi" w:cstheme="majorHAnsi"/>
                <w:b/>
                <w:sz w:val="14"/>
                <w:szCs w:val="14"/>
                <w:lang w:val="en-US"/>
              </w:rPr>
              <w:t>worker</w:t>
            </w:r>
          </w:p>
          <w:p w14:paraId="6E6378A9" w14:textId="1CC7487C" w:rsidR="007A3AA6" w:rsidRPr="00AB143A" w:rsidRDefault="007A3AA6" w:rsidP="00FE711A">
            <w:pPr>
              <w:jc w:val="center"/>
              <w:rPr>
                <w:rFonts w:asciiTheme="majorHAnsi" w:hAnsiTheme="majorHAnsi" w:cstheme="majorHAnsi"/>
                <w:b/>
                <w:sz w:val="14"/>
                <w:szCs w:val="14"/>
                <w:lang w:val="en-US"/>
              </w:rPr>
            </w:pPr>
          </w:p>
          <w:p w14:paraId="7918DE55" w14:textId="2434741F" w:rsidR="007A3AA6" w:rsidRPr="00AB143A" w:rsidRDefault="007A3AA6" w:rsidP="00FE711A">
            <w:pPr>
              <w:jc w:val="center"/>
              <w:rPr>
                <w:rFonts w:asciiTheme="majorHAnsi" w:hAnsiTheme="majorHAnsi" w:cstheme="majorHAnsi"/>
                <w:b/>
                <w:sz w:val="14"/>
                <w:szCs w:val="14"/>
                <w:lang w:val="en-US"/>
              </w:rPr>
            </w:pPr>
          </w:p>
          <w:p w14:paraId="4A16554B" w14:textId="0B579026" w:rsidR="007A3AA6" w:rsidRPr="00AB143A" w:rsidRDefault="007A3AA6" w:rsidP="00FE711A">
            <w:pPr>
              <w:jc w:val="center"/>
              <w:rPr>
                <w:rFonts w:asciiTheme="majorHAnsi" w:hAnsiTheme="majorHAnsi" w:cstheme="majorHAnsi"/>
                <w:b/>
                <w:sz w:val="14"/>
                <w:szCs w:val="14"/>
                <w:lang w:val="en-US"/>
              </w:rPr>
            </w:pPr>
          </w:p>
          <w:p w14:paraId="55D3062C" w14:textId="3941AED6" w:rsidR="007A3AA6" w:rsidRPr="00AB143A" w:rsidRDefault="007A3AA6" w:rsidP="00FE711A">
            <w:pPr>
              <w:jc w:val="center"/>
              <w:rPr>
                <w:rFonts w:asciiTheme="majorHAnsi" w:hAnsiTheme="majorHAnsi" w:cstheme="majorHAnsi"/>
                <w:b/>
                <w:sz w:val="14"/>
                <w:szCs w:val="14"/>
                <w:lang w:val="en-US"/>
              </w:rPr>
            </w:pPr>
          </w:p>
          <w:p w14:paraId="1BA09D5A" w14:textId="27DD27F4" w:rsidR="007A3AA6" w:rsidRPr="00AB143A" w:rsidRDefault="007A3AA6" w:rsidP="00FE711A">
            <w:pPr>
              <w:jc w:val="center"/>
              <w:rPr>
                <w:rFonts w:asciiTheme="majorHAnsi" w:hAnsiTheme="majorHAnsi" w:cstheme="majorHAnsi"/>
                <w:b/>
                <w:sz w:val="14"/>
                <w:szCs w:val="14"/>
                <w:lang w:val="en-US"/>
              </w:rPr>
            </w:pPr>
          </w:p>
          <w:p w14:paraId="7BC15797" w14:textId="6A5277CE" w:rsidR="007A3AA6" w:rsidRPr="00AB143A" w:rsidRDefault="007A3AA6" w:rsidP="00FE711A">
            <w:pPr>
              <w:jc w:val="center"/>
              <w:rPr>
                <w:rFonts w:asciiTheme="majorHAnsi" w:hAnsiTheme="majorHAnsi" w:cstheme="majorHAnsi"/>
                <w:b/>
                <w:sz w:val="14"/>
                <w:szCs w:val="14"/>
                <w:lang w:val="en-US"/>
              </w:rPr>
            </w:pPr>
          </w:p>
          <w:p w14:paraId="434A2A26" w14:textId="78CB1491" w:rsidR="007A3AA6" w:rsidRPr="00AB143A" w:rsidRDefault="007A3AA6" w:rsidP="00FE711A">
            <w:pPr>
              <w:jc w:val="center"/>
              <w:rPr>
                <w:rFonts w:asciiTheme="majorHAnsi" w:hAnsiTheme="majorHAnsi" w:cstheme="majorHAnsi"/>
                <w:b/>
                <w:sz w:val="14"/>
                <w:szCs w:val="14"/>
                <w:lang w:val="en-US"/>
              </w:rPr>
            </w:pPr>
          </w:p>
          <w:p w14:paraId="0F3FDC09" w14:textId="21E0ECBF" w:rsidR="007A3AA6" w:rsidRPr="00AB143A" w:rsidRDefault="007A3AA6" w:rsidP="00FE711A">
            <w:pPr>
              <w:jc w:val="center"/>
              <w:rPr>
                <w:rFonts w:asciiTheme="majorHAnsi" w:hAnsiTheme="majorHAnsi" w:cstheme="majorHAnsi"/>
                <w:b/>
                <w:sz w:val="14"/>
                <w:szCs w:val="14"/>
                <w:lang w:val="en-US"/>
              </w:rPr>
            </w:pPr>
          </w:p>
          <w:p w14:paraId="1FE8EBC9" w14:textId="4CE72EC8" w:rsidR="007A3AA6" w:rsidRPr="00AB143A" w:rsidRDefault="007A3AA6" w:rsidP="00FE711A">
            <w:pPr>
              <w:jc w:val="center"/>
              <w:rPr>
                <w:rFonts w:asciiTheme="majorHAnsi" w:hAnsiTheme="majorHAnsi" w:cstheme="majorHAnsi"/>
                <w:b/>
                <w:sz w:val="14"/>
                <w:szCs w:val="14"/>
                <w:lang w:val="en-US"/>
              </w:rPr>
            </w:pPr>
          </w:p>
          <w:p w14:paraId="45AA3F6F" w14:textId="5BFA8EDD" w:rsidR="007A3AA6" w:rsidRPr="00AB143A" w:rsidRDefault="007A3AA6" w:rsidP="00FE711A">
            <w:pPr>
              <w:jc w:val="center"/>
              <w:rPr>
                <w:rFonts w:asciiTheme="majorHAnsi" w:hAnsiTheme="majorHAnsi" w:cstheme="majorHAnsi"/>
                <w:b/>
                <w:sz w:val="14"/>
                <w:szCs w:val="14"/>
                <w:lang w:val="en-US"/>
              </w:rPr>
            </w:pPr>
          </w:p>
          <w:p w14:paraId="2E7CA4DD" w14:textId="364796D1" w:rsidR="007A3AA6" w:rsidRPr="00AB143A" w:rsidRDefault="007A3AA6" w:rsidP="00FE711A">
            <w:pPr>
              <w:jc w:val="center"/>
              <w:rPr>
                <w:rFonts w:asciiTheme="majorHAnsi" w:hAnsiTheme="majorHAnsi" w:cstheme="majorHAnsi"/>
                <w:b/>
                <w:sz w:val="14"/>
                <w:szCs w:val="14"/>
                <w:lang w:val="en-US"/>
              </w:rPr>
            </w:pPr>
          </w:p>
        </w:tc>
        <w:tc>
          <w:tcPr>
            <w:tcW w:w="1077" w:type="dxa"/>
            <w:vMerge w:val="restart"/>
            <w:vAlign w:val="center"/>
            <w:hideMark/>
          </w:tcPr>
          <w:p w14:paraId="3F519B9F"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Forced labor </w:t>
            </w:r>
          </w:p>
          <w:p w14:paraId="7ECD7617" w14:textId="38CBFBA1"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tc>
        <w:tc>
          <w:tcPr>
            <w:tcW w:w="1474" w:type="dxa"/>
            <w:vAlign w:val="center"/>
            <w:hideMark/>
          </w:tcPr>
          <w:p w14:paraId="2B385F52"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Government Response Rating</w:t>
            </w:r>
          </w:p>
        </w:tc>
        <w:tc>
          <w:tcPr>
            <w:tcW w:w="510" w:type="dxa"/>
            <w:vAlign w:val="center"/>
          </w:tcPr>
          <w:p w14:paraId="760E9001" w14:textId="071A3EC5"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2018</w:t>
            </w:r>
          </w:p>
        </w:tc>
        <w:tc>
          <w:tcPr>
            <w:tcW w:w="1020" w:type="dxa"/>
            <w:vAlign w:val="center"/>
            <w:hideMark/>
          </w:tcPr>
          <w:p w14:paraId="2CAD9625" w14:textId="4151B160"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AAA "good" to D "bad"</w:t>
            </w:r>
          </w:p>
        </w:tc>
        <w:tc>
          <w:tcPr>
            <w:tcW w:w="5954" w:type="dxa"/>
            <w:vAlign w:val="center"/>
            <w:hideMark/>
          </w:tcPr>
          <w:p w14:paraId="1A65DC9D" w14:textId="71CA62DB"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Governments are rated in regard to their progress to e.g. support survivors of slavery, to exit and remain out of slavery, if criminal justice mechanisms function effectively and much more. More detailed information is provided at the HP (data source)</w:t>
            </w:r>
          </w:p>
        </w:tc>
        <w:tc>
          <w:tcPr>
            <w:tcW w:w="1644" w:type="dxa"/>
            <w:vAlign w:val="center"/>
            <w:hideMark/>
          </w:tcPr>
          <w:p w14:paraId="50CD3E56"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good response to 1: bad government response</w:t>
            </w:r>
          </w:p>
        </w:tc>
        <w:tc>
          <w:tcPr>
            <w:tcW w:w="1984" w:type="dxa"/>
            <w:vMerge w:val="restart"/>
            <w:vAlign w:val="center"/>
            <w:hideMark/>
          </w:tcPr>
          <w:p w14:paraId="6CDD5822"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https://www.globalslaveryindex.org/2018/data/maps/</w:t>
            </w:r>
          </w:p>
        </w:tc>
      </w:tr>
      <w:tr w:rsidR="007A3AA6" w:rsidRPr="000D0760" w14:paraId="0E98E8B9" w14:textId="77777777" w:rsidTr="002427FF">
        <w:trPr>
          <w:trHeight w:val="340"/>
        </w:trPr>
        <w:tc>
          <w:tcPr>
            <w:tcW w:w="426" w:type="dxa"/>
            <w:vMerge/>
            <w:noWrap/>
            <w:textDirection w:val="btLr"/>
            <w:vAlign w:val="center"/>
            <w:hideMark/>
          </w:tcPr>
          <w:p w14:paraId="2B09F4B7" w14:textId="38D0837D"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37FDDBDD" w14:textId="69997605"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20E86D6D"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Vulnerability to Modern Slavery</w:t>
            </w:r>
          </w:p>
        </w:tc>
        <w:tc>
          <w:tcPr>
            <w:tcW w:w="510" w:type="dxa"/>
            <w:vAlign w:val="center"/>
          </w:tcPr>
          <w:p w14:paraId="1F4EDCE1" w14:textId="4A13CA80"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2018</w:t>
            </w:r>
          </w:p>
        </w:tc>
        <w:tc>
          <w:tcPr>
            <w:tcW w:w="1020" w:type="dxa"/>
            <w:vAlign w:val="center"/>
            <w:hideMark/>
          </w:tcPr>
          <w:p w14:paraId="0FBAB4A9" w14:textId="2AF1F4F3"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"low" to 100 "high"</w:t>
            </w:r>
          </w:p>
        </w:tc>
        <w:tc>
          <w:tcPr>
            <w:tcW w:w="5954" w:type="dxa"/>
            <w:vAlign w:val="center"/>
            <w:hideMark/>
          </w:tcPr>
          <w:p w14:paraId="08B16481"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This index summarizes the vulnerability to modern slavery across 23 risk variables considering governance issues, lack of basic needs, inequality, disenfranchised groups and effects of conflict. </w:t>
            </w:r>
          </w:p>
        </w:tc>
        <w:tc>
          <w:tcPr>
            <w:tcW w:w="1644" w:type="dxa"/>
            <w:vAlign w:val="center"/>
            <w:hideMark/>
          </w:tcPr>
          <w:p w14:paraId="186969AE"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low vulnerability to 1: high vulnerability to modern slavery</w:t>
            </w:r>
          </w:p>
        </w:tc>
        <w:tc>
          <w:tcPr>
            <w:tcW w:w="1984" w:type="dxa"/>
            <w:vMerge/>
            <w:vAlign w:val="center"/>
            <w:hideMark/>
          </w:tcPr>
          <w:p w14:paraId="1F07F042" w14:textId="77777777" w:rsidR="007A3AA6" w:rsidRPr="00AB143A" w:rsidRDefault="007A3AA6" w:rsidP="00FE711A">
            <w:pPr>
              <w:jc w:val="left"/>
              <w:rPr>
                <w:rFonts w:asciiTheme="majorHAnsi" w:hAnsiTheme="majorHAnsi" w:cstheme="majorHAnsi"/>
                <w:sz w:val="14"/>
                <w:szCs w:val="14"/>
                <w:lang w:val="en-US"/>
              </w:rPr>
            </w:pPr>
          </w:p>
        </w:tc>
      </w:tr>
      <w:tr w:rsidR="007A3AA6" w:rsidRPr="000D0760" w14:paraId="58B0DC3E" w14:textId="77777777" w:rsidTr="002427FF">
        <w:trPr>
          <w:trHeight w:val="340"/>
        </w:trPr>
        <w:tc>
          <w:tcPr>
            <w:tcW w:w="426" w:type="dxa"/>
            <w:vMerge/>
            <w:noWrap/>
            <w:textDirection w:val="btLr"/>
            <w:vAlign w:val="center"/>
            <w:hideMark/>
          </w:tcPr>
          <w:p w14:paraId="33573B66" w14:textId="468E22D5" w:rsidR="007A3AA6" w:rsidRPr="00AB143A" w:rsidRDefault="007A3AA6" w:rsidP="00FE711A">
            <w:pPr>
              <w:jc w:val="center"/>
              <w:rPr>
                <w:rFonts w:asciiTheme="majorHAnsi" w:hAnsiTheme="majorHAnsi" w:cstheme="majorHAnsi"/>
                <w:b/>
                <w:sz w:val="14"/>
                <w:szCs w:val="14"/>
                <w:lang w:val="en-US"/>
              </w:rPr>
            </w:pPr>
          </w:p>
        </w:tc>
        <w:tc>
          <w:tcPr>
            <w:tcW w:w="1077" w:type="dxa"/>
            <w:vMerge w:val="restart"/>
            <w:vAlign w:val="center"/>
            <w:hideMark/>
          </w:tcPr>
          <w:p w14:paraId="518F1545"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Equal opportunity/ Discrimination</w:t>
            </w:r>
          </w:p>
          <w:p w14:paraId="348E9425" w14:textId="792FCC22"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tc>
        <w:tc>
          <w:tcPr>
            <w:tcW w:w="1474" w:type="dxa"/>
            <w:vAlign w:val="center"/>
            <w:hideMark/>
          </w:tcPr>
          <w:p w14:paraId="5CD60BFB"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Economic Participation and opportunity</w:t>
            </w:r>
          </w:p>
        </w:tc>
        <w:tc>
          <w:tcPr>
            <w:tcW w:w="510" w:type="dxa"/>
            <w:vAlign w:val="center"/>
          </w:tcPr>
          <w:p w14:paraId="6FA5AFD7" w14:textId="34C2E249"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1A969366" w14:textId="621235C5"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1 "parity" to 0 "imparity"</w:t>
            </w:r>
          </w:p>
        </w:tc>
        <w:tc>
          <w:tcPr>
            <w:tcW w:w="5954" w:type="dxa"/>
            <w:vAlign w:val="center"/>
            <w:hideMark/>
          </w:tcPr>
          <w:p w14:paraId="1DA16329" w14:textId="13E7EAAD"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The index covers the gender inequality in regard to economic participation and opportunity calculated in female over male value in labor force participation, estimated earned income, legislators, senior officials and managers, professional and technical workers as well as wage equality. </w:t>
            </w:r>
          </w:p>
        </w:tc>
        <w:tc>
          <w:tcPr>
            <w:tcW w:w="1644" w:type="dxa"/>
            <w:vAlign w:val="center"/>
            <w:hideMark/>
          </w:tcPr>
          <w:p w14:paraId="5365CAB9"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parity to 1: gender imparity</w:t>
            </w:r>
          </w:p>
        </w:tc>
        <w:tc>
          <w:tcPr>
            <w:tcW w:w="1984" w:type="dxa"/>
            <w:vAlign w:val="center"/>
            <w:hideMark/>
          </w:tcPr>
          <w:p w14:paraId="031F0935"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http://www3.weforum.org/docs/WEF_GGGR_2017.pdf</w:t>
            </w:r>
          </w:p>
        </w:tc>
      </w:tr>
      <w:tr w:rsidR="007A3AA6" w:rsidRPr="000D0760" w14:paraId="5A1766EA" w14:textId="77777777" w:rsidTr="002427FF">
        <w:trPr>
          <w:trHeight w:val="340"/>
        </w:trPr>
        <w:tc>
          <w:tcPr>
            <w:tcW w:w="426" w:type="dxa"/>
            <w:vMerge/>
            <w:noWrap/>
            <w:textDirection w:val="btLr"/>
            <w:vAlign w:val="center"/>
            <w:hideMark/>
          </w:tcPr>
          <w:p w14:paraId="13FE13E4" w14:textId="0AD64179"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154DC262" w14:textId="62DCF425"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6326F80D"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Vulnerable employment (modeled ILO estimate)</w:t>
            </w:r>
          </w:p>
        </w:tc>
        <w:tc>
          <w:tcPr>
            <w:tcW w:w="510" w:type="dxa"/>
            <w:vAlign w:val="center"/>
          </w:tcPr>
          <w:p w14:paraId="4083699E" w14:textId="289D6F5F"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6906EB61" w14:textId="26DB276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of total employment</w:t>
            </w:r>
          </w:p>
        </w:tc>
        <w:tc>
          <w:tcPr>
            <w:tcW w:w="5954" w:type="dxa"/>
            <w:vAlign w:val="center"/>
            <w:hideMark/>
          </w:tcPr>
          <w:p w14:paraId="4980CE37"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ILO defines vulnerable employment "as the sum of the employment status groups of own-account workers and contributing family workers." Such employees have less likely formal work arrangements, which can lead to inadequate earnings, low productivity and difficult conditions of work that undermine workers’ fundamental rights.</w:t>
            </w:r>
          </w:p>
        </w:tc>
        <w:tc>
          <w:tcPr>
            <w:tcW w:w="1644" w:type="dxa"/>
            <w:vAlign w:val="center"/>
            <w:hideMark/>
          </w:tcPr>
          <w:p w14:paraId="6D73F5FC"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low risk to 1: higher risk to vulnerable employment</w:t>
            </w:r>
          </w:p>
        </w:tc>
        <w:tc>
          <w:tcPr>
            <w:tcW w:w="1984" w:type="dxa"/>
            <w:vAlign w:val="center"/>
            <w:hideMark/>
          </w:tcPr>
          <w:p w14:paraId="14B0B4DE"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https://data.worldbank.org/indicator/SL.EMP.VULN.ZS?view=chart</w:t>
            </w:r>
          </w:p>
        </w:tc>
      </w:tr>
      <w:tr w:rsidR="007A3AA6" w:rsidRPr="000D0760" w14:paraId="3316917B" w14:textId="77777777" w:rsidTr="002427FF">
        <w:trPr>
          <w:trHeight w:val="340"/>
        </w:trPr>
        <w:tc>
          <w:tcPr>
            <w:tcW w:w="426" w:type="dxa"/>
            <w:vMerge/>
            <w:noWrap/>
            <w:textDirection w:val="btLr"/>
            <w:vAlign w:val="center"/>
            <w:hideMark/>
          </w:tcPr>
          <w:p w14:paraId="633C54C2" w14:textId="3156EAF4" w:rsidR="007A3AA6" w:rsidRPr="00AB143A" w:rsidRDefault="007A3AA6" w:rsidP="00FE711A">
            <w:pPr>
              <w:jc w:val="center"/>
              <w:rPr>
                <w:rFonts w:asciiTheme="majorHAnsi" w:hAnsiTheme="majorHAnsi" w:cstheme="majorHAnsi"/>
                <w:b/>
                <w:sz w:val="14"/>
                <w:szCs w:val="14"/>
                <w:lang w:val="en-US"/>
              </w:rPr>
            </w:pPr>
          </w:p>
        </w:tc>
        <w:tc>
          <w:tcPr>
            <w:tcW w:w="1077" w:type="dxa"/>
            <w:noWrap/>
            <w:vAlign w:val="center"/>
            <w:hideMark/>
          </w:tcPr>
          <w:p w14:paraId="1C8C84D9"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Fair Salary</w:t>
            </w:r>
          </w:p>
        </w:tc>
        <w:tc>
          <w:tcPr>
            <w:tcW w:w="1474" w:type="dxa"/>
            <w:vAlign w:val="center"/>
            <w:hideMark/>
          </w:tcPr>
          <w:p w14:paraId="55D141A9"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Fair wage potential (FWP) </w:t>
            </w:r>
          </w:p>
        </w:tc>
        <w:tc>
          <w:tcPr>
            <w:tcW w:w="510" w:type="dxa"/>
            <w:vAlign w:val="center"/>
          </w:tcPr>
          <w:p w14:paraId="5B75502F" w14:textId="708A80AC"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2006-2014</w:t>
            </w:r>
          </w:p>
        </w:tc>
        <w:tc>
          <w:tcPr>
            <w:tcW w:w="1020" w:type="dxa"/>
            <w:vAlign w:val="center"/>
            <w:hideMark/>
          </w:tcPr>
          <w:p w14:paraId="57D0DF83" w14:textId="61A39418"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≥1 "fair" to &lt;1 "insufficient" </w:t>
            </w:r>
          </w:p>
        </w:tc>
        <w:tc>
          <w:tcPr>
            <w:tcW w:w="5954" w:type="dxa"/>
            <w:vAlign w:val="center"/>
            <w:hideMark/>
          </w:tcPr>
          <w:p w14:paraId="031B8CBF" w14:textId="78054331" w:rsidR="007A3AA6" w:rsidRPr="00AB143A" w:rsidRDefault="007A3AA6" w:rsidP="00F705BE">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The FWP was calculated as proposed by Neugebauer et al. 2017, which includes data on living wages, working time and income (in-)equality.</w:t>
            </w:r>
          </w:p>
        </w:tc>
        <w:tc>
          <w:tcPr>
            <w:tcW w:w="1644" w:type="dxa"/>
            <w:vAlign w:val="center"/>
            <w:hideMark/>
          </w:tcPr>
          <w:p w14:paraId="52F31AEE" w14:textId="41DB4A9F"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better</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worse</w:t>
            </w:r>
          </w:p>
        </w:tc>
        <w:tc>
          <w:tcPr>
            <w:tcW w:w="1984" w:type="dxa"/>
            <w:vAlign w:val="center"/>
            <w:hideMark/>
          </w:tcPr>
          <w:p w14:paraId="535D085C"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https://www.see.tu-berlin.de/menue/forschung/ergebnisse/fair_wage_aequivalente/</w:t>
            </w:r>
          </w:p>
        </w:tc>
      </w:tr>
      <w:tr w:rsidR="007A3AA6" w:rsidRPr="000D0760" w14:paraId="5A2D45F7" w14:textId="77777777" w:rsidTr="002427FF">
        <w:trPr>
          <w:trHeight w:val="340"/>
        </w:trPr>
        <w:tc>
          <w:tcPr>
            <w:tcW w:w="426" w:type="dxa"/>
            <w:vMerge/>
            <w:noWrap/>
            <w:textDirection w:val="btLr"/>
            <w:vAlign w:val="center"/>
            <w:hideMark/>
          </w:tcPr>
          <w:p w14:paraId="09761697" w14:textId="3BB66BF5" w:rsidR="007A3AA6" w:rsidRPr="00AB143A" w:rsidRDefault="007A3AA6" w:rsidP="00FE711A">
            <w:pPr>
              <w:jc w:val="center"/>
              <w:rPr>
                <w:rFonts w:asciiTheme="majorHAnsi" w:hAnsiTheme="majorHAnsi" w:cstheme="majorHAnsi"/>
                <w:b/>
                <w:sz w:val="14"/>
                <w:szCs w:val="14"/>
                <w:lang w:val="en-US"/>
              </w:rPr>
            </w:pPr>
          </w:p>
        </w:tc>
        <w:tc>
          <w:tcPr>
            <w:tcW w:w="1077" w:type="dxa"/>
            <w:vMerge w:val="restart"/>
            <w:vAlign w:val="center"/>
            <w:hideMark/>
          </w:tcPr>
          <w:p w14:paraId="3DB39767" w14:textId="4F75DF65"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Health and Safety</w:t>
            </w:r>
          </w:p>
          <w:p w14:paraId="124D63A5" w14:textId="2DC41C1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tc>
        <w:tc>
          <w:tcPr>
            <w:tcW w:w="1474" w:type="dxa"/>
            <w:vAlign w:val="center"/>
            <w:hideMark/>
          </w:tcPr>
          <w:p w14:paraId="3DF45AAD"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Occupational Safety and Health Indicator (OSH) </w:t>
            </w:r>
          </w:p>
        </w:tc>
        <w:tc>
          <w:tcPr>
            <w:tcW w:w="510" w:type="dxa"/>
            <w:vAlign w:val="center"/>
          </w:tcPr>
          <w:p w14:paraId="50391ACA" w14:textId="7DD00EC5"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62477F5B" w14:textId="45E729BD"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 0 "low level of safety" to 100 "high level of safety"</w:t>
            </w:r>
          </w:p>
        </w:tc>
        <w:tc>
          <w:tcPr>
            <w:tcW w:w="5954" w:type="dxa"/>
            <w:vAlign w:val="center"/>
            <w:hideMark/>
          </w:tcPr>
          <w:p w14:paraId="6BED9E19" w14:textId="21F24CD9"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This indicator</w:t>
            </w:r>
            <w:r>
              <w:rPr>
                <w:rFonts w:asciiTheme="majorHAnsi" w:hAnsiTheme="majorHAnsi" w:cstheme="majorHAnsi"/>
                <w:sz w:val="14"/>
                <w:szCs w:val="14"/>
                <w:lang w:val="en-US"/>
              </w:rPr>
              <w:t xml:space="preserve"> </w:t>
            </w:r>
            <w:r w:rsidRPr="00AB143A">
              <w:rPr>
                <w:rFonts w:asciiTheme="majorHAnsi" w:hAnsiTheme="majorHAnsi" w:cstheme="majorHAnsi"/>
                <w:sz w:val="14"/>
                <w:szCs w:val="14"/>
                <w:lang w:val="en-US"/>
              </w:rPr>
              <w:t>covers the extent to which a nation has implemented the legislative and regulatory mechanisms necessary to ensure the proper protection of its work force from the hazards arising out of work based on the data provided by the International Labor Organization’s Global Database and on Occupational Safety and Health Legislation (LEGOSH).</w:t>
            </w:r>
          </w:p>
        </w:tc>
        <w:tc>
          <w:tcPr>
            <w:tcW w:w="1644" w:type="dxa"/>
            <w:vAlign w:val="center"/>
            <w:hideMark/>
          </w:tcPr>
          <w:p w14:paraId="15D70F55"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high level to 1: low level of safety</w:t>
            </w:r>
          </w:p>
        </w:tc>
        <w:tc>
          <w:tcPr>
            <w:tcW w:w="1984" w:type="dxa"/>
            <w:vAlign w:val="center"/>
            <w:hideMark/>
          </w:tcPr>
          <w:p w14:paraId="7673F93B"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https://ulsafetyindex.org/theme/labor-protections</w:t>
            </w:r>
          </w:p>
        </w:tc>
      </w:tr>
      <w:tr w:rsidR="007A3AA6" w:rsidRPr="000D0760" w14:paraId="1B23D115" w14:textId="77777777" w:rsidTr="002427FF">
        <w:trPr>
          <w:trHeight w:val="340"/>
        </w:trPr>
        <w:tc>
          <w:tcPr>
            <w:tcW w:w="426" w:type="dxa"/>
            <w:vMerge/>
            <w:noWrap/>
            <w:textDirection w:val="btLr"/>
            <w:vAlign w:val="center"/>
            <w:hideMark/>
          </w:tcPr>
          <w:p w14:paraId="15E2068D" w14:textId="7CD4801C"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1B21FF54" w14:textId="66C8BACF"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024D0486"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DALY rate attributable to occupational risks</w:t>
            </w:r>
          </w:p>
        </w:tc>
        <w:tc>
          <w:tcPr>
            <w:tcW w:w="510" w:type="dxa"/>
            <w:vAlign w:val="center"/>
          </w:tcPr>
          <w:p w14:paraId="3ADE69F4" w14:textId="143FAC00"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5FB33556" w14:textId="026D6C3F"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DALYs</w:t>
            </w:r>
          </w:p>
        </w:tc>
        <w:tc>
          <w:tcPr>
            <w:tcW w:w="5954" w:type="dxa"/>
            <w:vAlign w:val="center"/>
            <w:hideMark/>
          </w:tcPr>
          <w:p w14:paraId="791207F9" w14:textId="4C60B4EF"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The DALY (Disability-Adjusted Life Year) is a measure of lost years of life due to premature death or disability, which are attributable to occupational risks (more detailed description two rows below in Age-standardized DALY from all causes). </w:t>
            </w:r>
          </w:p>
        </w:tc>
        <w:tc>
          <w:tcPr>
            <w:tcW w:w="1644" w:type="dxa"/>
            <w:vAlign w:val="center"/>
            <w:hideMark/>
          </w:tcPr>
          <w:p w14:paraId="43C8C33C"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better to 1: worse</w:t>
            </w:r>
          </w:p>
        </w:tc>
        <w:tc>
          <w:tcPr>
            <w:tcW w:w="1984" w:type="dxa"/>
            <w:vAlign w:val="center"/>
            <w:hideMark/>
          </w:tcPr>
          <w:p w14:paraId="07F69E4E"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https://vizhub.healthdata.org/sdg/</w:t>
            </w:r>
          </w:p>
        </w:tc>
      </w:tr>
      <w:tr w:rsidR="007A3AA6" w:rsidRPr="000D0760" w14:paraId="7BCDD0DE" w14:textId="77777777" w:rsidTr="002427FF">
        <w:trPr>
          <w:trHeight w:val="340"/>
        </w:trPr>
        <w:tc>
          <w:tcPr>
            <w:tcW w:w="426" w:type="dxa"/>
            <w:vMerge/>
            <w:noWrap/>
            <w:textDirection w:val="btLr"/>
            <w:vAlign w:val="center"/>
            <w:hideMark/>
          </w:tcPr>
          <w:p w14:paraId="650A1C42" w14:textId="1CD3A40A" w:rsidR="007A3AA6" w:rsidRPr="00AB143A" w:rsidRDefault="007A3AA6" w:rsidP="00FE711A">
            <w:pPr>
              <w:jc w:val="center"/>
              <w:rPr>
                <w:rFonts w:asciiTheme="majorHAnsi" w:hAnsiTheme="majorHAnsi" w:cstheme="majorHAnsi"/>
                <w:b/>
                <w:sz w:val="14"/>
                <w:szCs w:val="14"/>
                <w:lang w:val="en-US"/>
              </w:rPr>
            </w:pPr>
          </w:p>
        </w:tc>
        <w:tc>
          <w:tcPr>
            <w:tcW w:w="1077" w:type="dxa"/>
            <w:vAlign w:val="center"/>
            <w:hideMark/>
          </w:tcPr>
          <w:p w14:paraId="4FEAFAE6"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Freedom of Association and Collective Bargaining</w:t>
            </w:r>
          </w:p>
        </w:tc>
        <w:tc>
          <w:tcPr>
            <w:tcW w:w="1474" w:type="dxa"/>
            <w:vAlign w:val="center"/>
            <w:hideMark/>
          </w:tcPr>
          <w:p w14:paraId="04A82B1E"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GLOBAL RIGHTS INDEX</w:t>
            </w:r>
          </w:p>
        </w:tc>
        <w:tc>
          <w:tcPr>
            <w:tcW w:w="510" w:type="dxa"/>
            <w:vAlign w:val="center"/>
          </w:tcPr>
          <w:p w14:paraId="29A31CCB" w14:textId="7E4B478F"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428ABE0B" w14:textId="2A0F57AC"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1 "best" to 5 "worst" </w:t>
            </w:r>
          </w:p>
        </w:tc>
        <w:tc>
          <w:tcPr>
            <w:tcW w:w="5954" w:type="dxa"/>
            <w:vAlign w:val="center"/>
            <w:hideMark/>
          </w:tcPr>
          <w:p w14:paraId="5FA982E9" w14:textId="25329E5E"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This index summarizes the violations in law and practice concerning civil liberties, right to establish or join unions, trade union activities, and right to collective bargaining</w:t>
            </w:r>
            <w:r>
              <w:rPr>
                <w:rFonts w:asciiTheme="majorHAnsi" w:hAnsiTheme="majorHAnsi" w:cstheme="majorHAnsi"/>
                <w:sz w:val="14"/>
                <w:szCs w:val="14"/>
                <w:lang w:val="en-US"/>
              </w:rPr>
              <w:t xml:space="preserve"> </w:t>
            </w:r>
            <w:r w:rsidRPr="00AB143A">
              <w:rPr>
                <w:rFonts w:asciiTheme="majorHAnsi" w:hAnsiTheme="majorHAnsi" w:cstheme="majorHAnsi"/>
                <w:sz w:val="14"/>
                <w:szCs w:val="14"/>
                <w:lang w:val="en-US"/>
              </w:rPr>
              <w:t xml:space="preserve">as well as the right to strike. </w:t>
            </w:r>
          </w:p>
        </w:tc>
        <w:tc>
          <w:tcPr>
            <w:tcW w:w="1644" w:type="dxa"/>
            <w:vAlign w:val="center"/>
            <w:hideMark/>
          </w:tcPr>
          <w:p w14:paraId="05101976"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best to 1: worst</w:t>
            </w:r>
          </w:p>
        </w:tc>
        <w:tc>
          <w:tcPr>
            <w:tcW w:w="1984" w:type="dxa"/>
            <w:vAlign w:val="center"/>
            <w:hideMark/>
          </w:tcPr>
          <w:p w14:paraId="55AD7E29"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https://www.ituc-csi.org/IMG/pdf/survey_ra_2017_eng-1.pdf</w:t>
            </w:r>
          </w:p>
        </w:tc>
      </w:tr>
      <w:tr w:rsidR="007A3AA6" w:rsidRPr="000D0760" w14:paraId="5761B77D" w14:textId="77777777" w:rsidTr="002427FF">
        <w:trPr>
          <w:trHeight w:val="340"/>
        </w:trPr>
        <w:tc>
          <w:tcPr>
            <w:tcW w:w="426" w:type="dxa"/>
            <w:vMerge w:val="restart"/>
            <w:noWrap/>
            <w:textDirection w:val="btLr"/>
            <w:vAlign w:val="center"/>
            <w:hideMark/>
          </w:tcPr>
          <w:p w14:paraId="113C261B" w14:textId="77777777" w:rsidR="007A3AA6" w:rsidRPr="00AB143A" w:rsidRDefault="007A3AA6" w:rsidP="00FE711A">
            <w:pPr>
              <w:jc w:val="center"/>
              <w:rPr>
                <w:rFonts w:asciiTheme="majorHAnsi" w:hAnsiTheme="majorHAnsi" w:cstheme="majorHAnsi"/>
                <w:b/>
                <w:sz w:val="14"/>
                <w:szCs w:val="14"/>
                <w:lang w:val="en-US"/>
              </w:rPr>
            </w:pPr>
            <w:r w:rsidRPr="00AB143A">
              <w:rPr>
                <w:rFonts w:asciiTheme="majorHAnsi" w:hAnsiTheme="majorHAnsi" w:cstheme="majorHAnsi"/>
                <w:b/>
                <w:sz w:val="14"/>
                <w:szCs w:val="14"/>
                <w:lang w:val="en-US"/>
              </w:rPr>
              <w:t>local community</w:t>
            </w:r>
          </w:p>
          <w:p w14:paraId="4B8EA4BD" w14:textId="7371A44B" w:rsidR="007A3AA6" w:rsidRPr="00AB143A" w:rsidRDefault="007A3AA6" w:rsidP="00FE711A">
            <w:pPr>
              <w:jc w:val="center"/>
              <w:rPr>
                <w:rFonts w:asciiTheme="majorHAnsi" w:hAnsiTheme="majorHAnsi" w:cstheme="majorHAnsi"/>
                <w:b/>
                <w:sz w:val="14"/>
                <w:szCs w:val="14"/>
                <w:lang w:val="en-US"/>
              </w:rPr>
            </w:pPr>
          </w:p>
          <w:p w14:paraId="3A52B2B7" w14:textId="69B8BF50" w:rsidR="007A3AA6" w:rsidRPr="00AB143A" w:rsidRDefault="007A3AA6" w:rsidP="00FE711A">
            <w:pPr>
              <w:jc w:val="center"/>
              <w:rPr>
                <w:rFonts w:asciiTheme="majorHAnsi" w:hAnsiTheme="majorHAnsi" w:cstheme="majorHAnsi"/>
                <w:b/>
                <w:sz w:val="14"/>
                <w:szCs w:val="14"/>
                <w:lang w:val="en-US"/>
              </w:rPr>
            </w:pPr>
          </w:p>
          <w:p w14:paraId="119ED7F9" w14:textId="6F9059D2" w:rsidR="007A3AA6" w:rsidRPr="00AB143A" w:rsidRDefault="007A3AA6" w:rsidP="00FE711A">
            <w:pPr>
              <w:jc w:val="center"/>
              <w:rPr>
                <w:rFonts w:asciiTheme="majorHAnsi" w:hAnsiTheme="majorHAnsi" w:cstheme="majorHAnsi"/>
                <w:b/>
                <w:sz w:val="14"/>
                <w:szCs w:val="14"/>
                <w:lang w:val="en-US"/>
              </w:rPr>
            </w:pPr>
          </w:p>
          <w:p w14:paraId="15D0157F" w14:textId="0FD2AD80" w:rsidR="007A3AA6" w:rsidRPr="00AB143A" w:rsidRDefault="007A3AA6" w:rsidP="00FE711A">
            <w:pPr>
              <w:jc w:val="center"/>
              <w:rPr>
                <w:rFonts w:asciiTheme="majorHAnsi" w:hAnsiTheme="majorHAnsi" w:cstheme="majorHAnsi"/>
                <w:b/>
                <w:sz w:val="14"/>
                <w:szCs w:val="14"/>
                <w:lang w:val="en-US"/>
              </w:rPr>
            </w:pPr>
          </w:p>
          <w:p w14:paraId="6AD558CA" w14:textId="2056C3AB" w:rsidR="007A3AA6" w:rsidRPr="00AB143A" w:rsidRDefault="007A3AA6" w:rsidP="00FE711A">
            <w:pPr>
              <w:jc w:val="center"/>
              <w:rPr>
                <w:rFonts w:asciiTheme="majorHAnsi" w:hAnsiTheme="majorHAnsi" w:cstheme="majorHAnsi"/>
                <w:b/>
                <w:sz w:val="14"/>
                <w:szCs w:val="14"/>
                <w:lang w:val="en-US"/>
              </w:rPr>
            </w:pPr>
          </w:p>
          <w:p w14:paraId="15BC2B4E" w14:textId="3B9D4B7E" w:rsidR="007A3AA6" w:rsidRPr="00AB143A" w:rsidRDefault="007A3AA6" w:rsidP="00FE711A">
            <w:pPr>
              <w:jc w:val="center"/>
              <w:rPr>
                <w:rFonts w:asciiTheme="majorHAnsi" w:hAnsiTheme="majorHAnsi" w:cstheme="majorHAnsi"/>
                <w:b/>
                <w:sz w:val="14"/>
                <w:szCs w:val="14"/>
                <w:lang w:val="en-US"/>
              </w:rPr>
            </w:pPr>
          </w:p>
          <w:p w14:paraId="6ED614CB" w14:textId="1C65E87B" w:rsidR="007A3AA6" w:rsidRPr="00AB143A" w:rsidRDefault="007A3AA6" w:rsidP="00FE711A">
            <w:pPr>
              <w:jc w:val="center"/>
              <w:rPr>
                <w:rFonts w:asciiTheme="majorHAnsi" w:hAnsiTheme="majorHAnsi" w:cstheme="majorHAnsi"/>
                <w:b/>
                <w:sz w:val="14"/>
                <w:szCs w:val="14"/>
                <w:lang w:val="en-US"/>
              </w:rPr>
            </w:pPr>
          </w:p>
          <w:p w14:paraId="25E89833" w14:textId="0C948A02" w:rsidR="007A3AA6" w:rsidRPr="00AB143A" w:rsidRDefault="007A3AA6" w:rsidP="00FE711A">
            <w:pPr>
              <w:jc w:val="center"/>
              <w:rPr>
                <w:rFonts w:asciiTheme="majorHAnsi" w:hAnsiTheme="majorHAnsi" w:cstheme="majorHAnsi"/>
                <w:b/>
                <w:sz w:val="14"/>
                <w:szCs w:val="14"/>
                <w:lang w:val="en-US"/>
              </w:rPr>
            </w:pPr>
          </w:p>
          <w:p w14:paraId="67239818" w14:textId="397F219B" w:rsidR="007A3AA6" w:rsidRPr="00AB143A" w:rsidRDefault="007A3AA6" w:rsidP="00FE711A">
            <w:pPr>
              <w:jc w:val="center"/>
              <w:rPr>
                <w:rFonts w:asciiTheme="majorHAnsi" w:hAnsiTheme="majorHAnsi" w:cstheme="majorHAnsi"/>
                <w:b/>
                <w:sz w:val="14"/>
                <w:szCs w:val="14"/>
                <w:lang w:val="en-US"/>
              </w:rPr>
            </w:pPr>
          </w:p>
          <w:p w14:paraId="5B8EBA11" w14:textId="5D38F798" w:rsidR="007A3AA6" w:rsidRPr="00AB143A" w:rsidRDefault="007A3AA6" w:rsidP="00FE711A">
            <w:pPr>
              <w:jc w:val="center"/>
              <w:rPr>
                <w:rFonts w:asciiTheme="majorHAnsi" w:hAnsiTheme="majorHAnsi" w:cstheme="majorHAnsi"/>
                <w:b/>
                <w:sz w:val="14"/>
                <w:szCs w:val="14"/>
                <w:lang w:val="en-US"/>
              </w:rPr>
            </w:pPr>
          </w:p>
          <w:p w14:paraId="0D8506DB" w14:textId="6D7F7C93" w:rsidR="007A3AA6" w:rsidRPr="00AB143A" w:rsidRDefault="007A3AA6" w:rsidP="00FE711A">
            <w:pPr>
              <w:jc w:val="center"/>
              <w:rPr>
                <w:rFonts w:asciiTheme="majorHAnsi" w:hAnsiTheme="majorHAnsi" w:cstheme="majorHAnsi"/>
                <w:b/>
                <w:sz w:val="14"/>
                <w:szCs w:val="14"/>
                <w:lang w:val="en-US"/>
              </w:rPr>
            </w:pPr>
          </w:p>
          <w:p w14:paraId="4364A985" w14:textId="4EDB04FE" w:rsidR="007A3AA6" w:rsidRPr="00AB143A" w:rsidRDefault="007A3AA6" w:rsidP="00FE711A">
            <w:pPr>
              <w:jc w:val="center"/>
              <w:rPr>
                <w:rFonts w:asciiTheme="majorHAnsi" w:hAnsiTheme="majorHAnsi" w:cstheme="majorHAnsi"/>
                <w:b/>
                <w:sz w:val="14"/>
                <w:szCs w:val="14"/>
                <w:lang w:val="en-US"/>
              </w:rPr>
            </w:pPr>
          </w:p>
          <w:p w14:paraId="07C8225F" w14:textId="435B6C33" w:rsidR="007A3AA6" w:rsidRPr="00AB143A" w:rsidRDefault="007A3AA6" w:rsidP="00FE711A">
            <w:pPr>
              <w:jc w:val="center"/>
              <w:rPr>
                <w:rFonts w:asciiTheme="majorHAnsi" w:hAnsiTheme="majorHAnsi" w:cstheme="majorHAnsi"/>
                <w:b/>
                <w:sz w:val="14"/>
                <w:szCs w:val="14"/>
                <w:lang w:val="en-US"/>
              </w:rPr>
            </w:pPr>
          </w:p>
          <w:p w14:paraId="23DB3BD4" w14:textId="2552B7E5" w:rsidR="007A3AA6" w:rsidRPr="00AB143A" w:rsidRDefault="007A3AA6" w:rsidP="00FE711A">
            <w:pPr>
              <w:jc w:val="center"/>
              <w:rPr>
                <w:rFonts w:asciiTheme="majorHAnsi" w:hAnsiTheme="majorHAnsi" w:cstheme="majorHAnsi"/>
                <w:b/>
                <w:sz w:val="14"/>
                <w:szCs w:val="14"/>
                <w:lang w:val="en-US"/>
              </w:rPr>
            </w:pPr>
          </w:p>
          <w:p w14:paraId="2C92F907" w14:textId="71659E16" w:rsidR="007A3AA6" w:rsidRPr="00AB143A" w:rsidRDefault="007A3AA6" w:rsidP="00FE711A">
            <w:pPr>
              <w:jc w:val="center"/>
              <w:rPr>
                <w:rFonts w:asciiTheme="majorHAnsi" w:hAnsiTheme="majorHAnsi" w:cstheme="majorHAnsi"/>
                <w:b/>
                <w:sz w:val="14"/>
                <w:szCs w:val="14"/>
                <w:lang w:val="en-US"/>
              </w:rPr>
            </w:pPr>
          </w:p>
          <w:p w14:paraId="1D68402F" w14:textId="626EA049" w:rsidR="007A3AA6" w:rsidRPr="00AB143A" w:rsidRDefault="007A3AA6" w:rsidP="00FE711A">
            <w:pPr>
              <w:jc w:val="center"/>
              <w:rPr>
                <w:rFonts w:asciiTheme="majorHAnsi" w:hAnsiTheme="majorHAnsi" w:cstheme="majorHAnsi"/>
                <w:b/>
                <w:sz w:val="14"/>
                <w:szCs w:val="14"/>
                <w:lang w:val="en-US"/>
              </w:rPr>
            </w:pPr>
          </w:p>
          <w:p w14:paraId="43731F38" w14:textId="4907F8BF" w:rsidR="007A3AA6" w:rsidRPr="00AB143A" w:rsidRDefault="007A3AA6" w:rsidP="00FE711A">
            <w:pPr>
              <w:jc w:val="center"/>
              <w:rPr>
                <w:rFonts w:asciiTheme="majorHAnsi" w:hAnsiTheme="majorHAnsi" w:cstheme="majorHAnsi"/>
                <w:b/>
                <w:sz w:val="14"/>
                <w:szCs w:val="14"/>
                <w:lang w:val="en-US"/>
              </w:rPr>
            </w:pPr>
          </w:p>
          <w:p w14:paraId="32818082" w14:textId="51DE8443" w:rsidR="007A3AA6" w:rsidRPr="00AB143A" w:rsidRDefault="007A3AA6" w:rsidP="00FE711A">
            <w:pPr>
              <w:jc w:val="center"/>
              <w:rPr>
                <w:rFonts w:asciiTheme="majorHAnsi" w:hAnsiTheme="majorHAnsi" w:cstheme="majorHAnsi"/>
                <w:b/>
                <w:sz w:val="14"/>
                <w:szCs w:val="14"/>
                <w:lang w:val="en-US"/>
              </w:rPr>
            </w:pPr>
          </w:p>
          <w:p w14:paraId="5C926990" w14:textId="6084E61D" w:rsidR="007A3AA6" w:rsidRPr="00AB143A" w:rsidRDefault="007A3AA6" w:rsidP="00FE711A">
            <w:pPr>
              <w:jc w:val="center"/>
              <w:rPr>
                <w:rFonts w:asciiTheme="majorHAnsi" w:hAnsiTheme="majorHAnsi" w:cstheme="majorHAnsi"/>
                <w:b/>
                <w:sz w:val="14"/>
                <w:szCs w:val="14"/>
                <w:lang w:val="en-US"/>
              </w:rPr>
            </w:pPr>
          </w:p>
        </w:tc>
        <w:tc>
          <w:tcPr>
            <w:tcW w:w="1077" w:type="dxa"/>
            <w:vMerge w:val="restart"/>
            <w:vAlign w:val="center"/>
            <w:hideMark/>
          </w:tcPr>
          <w:p w14:paraId="0A0BAF8B" w14:textId="14DC6168" w:rsidR="007A3AA6" w:rsidRPr="00AB143A" w:rsidRDefault="007A3AA6" w:rsidP="00FE711A">
            <w:pPr>
              <w:jc w:val="left"/>
              <w:rPr>
                <w:rFonts w:asciiTheme="majorHAnsi" w:hAnsiTheme="majorHAnsi" w:cstheme="majorHAnsi"/>
                <w:sz w:val="14"/>
                <w:szCs w:val="14"/>
                <w:lang w:val="en-US"/>
              </w:rPr>
            </w:pPr>
            <w:r>
              <w:rPr>
                <w:rFonts w:asciiTheme="majorHAnsi" w:hAnsiTheme="majorHAnsi" w:cstheme="majorHAnsi"/>
                <w:sz w:val="14"/>
                <w:szCs w:val="14"/>
                <w:lang w:val="en-US"/>
              </w:rPr>
              <w:t>S</w:t>
            </w:r>
            <w:r w:rsidRPr="00AB143A">
              <w:rPr>
                <w:rFonts w:asciiTheme="majorHAnsi" w:hAnsiTheme="majorHAnsi" w:cstheme="majorHAnsi"/>
                <w:sz w:val="14"/>
                <w:szCs w:val="14"/>
                <w:lang w:val="en-US"/>
              </w:rPr>
              <w:t>afe and healthy living conditions</w:t>
            </w:r>
          </w:p>
          <w:p w14:paraId="7D5A0F81"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p w14:paraId="0311C7EB"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p w14:paraId="77E8A2E2" w14:textId="5C2F462E"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tc>
        <w:tc>
          <w:tcPr>
            <w:tcW w:w="1474" w:type="dxa"/>
            <w:vAlign w:val="center"/>
            <w:hideMark/>
          </w:tcPr>
          <w:p w14:paraId="32BDB5AF"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Age-standardized DALY from all causes</w:t>
            </w:r>
          </w:p>
        </w:tc>
        <w:tc>
          <w:tcPr>
            <w:tcW w:w="510" w:type="dxa"/>
            <w:vAlign w:val="center"/>
          </w:tcPr>
          <w:p w14:paraId="1A50BF88" w14:textId="781AFDF3"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32EFBE89" w14:textId="762591A1"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DALYs</w:t>
            </w:r>
          </w:p>
        </w:tc>
        <w:tc>
          <w:tcPr>
            <w:tcW w:w="5954" w:type="dxa"/>
            <w:vAlign w:val="center"/>
            <w:hideMark/>
          </w:tcPr>
          <w:p w14:paraId="326D5DF2"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Age-standardized DALY (Disability-Adjusted Life Year) rates per 100,000 individuals from all causes. DALYs are used to measure total burden of disease - both from years of life lost and years lived with a disability. One DALY equals one lost year of healthy life.</w:t>
            </w:r>
          </w:p>
        </w:tc>
        <w:tc>
          <w:tcPr>
            <w:tcW w:w="1644" w:type="dxa"/>
            <w:vAlign w:val="center"/>
            <w:hideMark/>
          </w:tcPr>
          <w:p w14:paraId="28B9CE07" w14:textId="63BA556B"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better</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worse</w:t>
            </w:r>
          </w:p>
        </w:tc>
        <w:tc>
          <w:tcPr>
            <w:tcW w:w="1984" w:type="dxa"/>
            <w:vAlign w:val="center"/>
            <w:hideMark/>
          </w:tcPr>
          <w:p w14:paraId="7B21B676"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https://ourworldindata.org/burden-of-disease</w:t>
            </w:r>
          </w:p>
        </w:tc>
      </w:tr>
      <w:tr w:rsidR="007A3AA6" w:rsidRPr="000D0760" w14:paraId="4A03EB43" w14:textId="77777777" w:rsidTr="002427FF">
        <w:trPr>
          <w:trHeight w:val="340"/>
        </w:trPr>
        <w:tc>
          <w:tcPr>
            <w:tcW w:w="426" w:type="dxa"/>
            <w:vMerge/>
            <w:noWrap/>
            <w:textDirection w:val="btLr"/>
            <w:vAlign w:val="center"/>
            <w:hideMark/>
          </w:tcPr>
          <w:p w14:paraId="5AC92288" w14:textId="271FFD10"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713E995D" w14:textId="087BA23D" w:rsidR="007A3AA6" w:rsidRPr="00AB143A" w:rsidRDefault="007A3AA6" w:rsidP="00FE711A">
            <w:pPr>
              <w:jc w:val="left"/>
              <w:rPr>
                <w:rFonts w:asciiTheme="majorHAnsi" w:hAnsiTheme="majorHAnsi" w:cstheme="majorHAnsi"/>
                <w:sz w:val="14"/>
                <w:szCs w:val="14"/>
                <w:lang w:val="en-US"/>
              </w:rPr>
            </w:pPr>
          </w:p>
        </w:tc>
        <w:tc>
          <w:tcPr>
            <w:tcW w:w="1474" w:type="dxa"/>
            <w:shd w:val="clear" w:color="auto" w:fill="auto"/>
            <w:vAlign w:val="center"/>
            <w:hideMark/>
          </w:tcPr>
          <w:p w14:paraId="098E7C73" w14:textId="77777777" w:rsidR="007A3AA6" w:rsidRPr="00155395" w:rsidRDefault="007A3AA6" w:rsidP="00FE711A">
            <w:pPr>
              <w:jc w:val="left"/>
              <w:rPr>
                <w:rFonts w:asciiTheme="majorHAnsi" w:hAnsiTheme="majorHAnsi" w:cstheme="majorHAnsi"/>
                <w:sz w:val="14"/>
                <w:szCs w:val="14"/>
                <w:lang w:val="en-US"/>
              </w:rPr>
            </w:pPr>
            <w:r w:rsidRPr="00155395">
              <w:rPr>
                <w:rFonts w:asciiTheme="majorHAnsi" w:hAnsiTheme="majorHAnsi" w:cstheme="majorHAnsi"/>
                <w:sz w:val="14"/>
                <w:szCs w:val="14"/>
                <w:lang w:val="en-US"/>
              </w:rPr>
              <w:t>Life expectancy at birth</w:t>
            </w:r>
          </w:p>
        </w:tc>
        <w:tc>
          <w:tcPr>
            <w:tcW w:w="510" w:type="dxa"/>
            <w:vAlign w:val="center"/>
          </w:tcPr>
          <w:p w14:paraId="678812DD" w14:textId="7E2324C2" w:rsidR="007A3AA6" w:rsidRPr="00155395"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shd w:val="clear" w:color="auto" w:fill="auto"/>
            <w:vAlign w:val="center"/>
            <w:hideMark/>
          </w:tcPr>
          <w:p w14:paraId="3A48FE67" w14:textId="3C8C2584" w:rsidR="007A3AA6" w:rsidRPr="00155395" w:rsidRDefault="007A3AA6" w:rsidP="00FE711A">
            <w:pPr>
              <w:jc w:val="left"/>
              <w:rPr>
                <w:rFonts w:asciiTheme="majorHAnsi" w:hAnsiTheme="majorHAnsi" w:cstheme="majorHAnsi"/>
                <w:sz w:val="14"/>
                <w:szCs w:val="14"/>
                <w:lang w:val="en-US"/>
              </w:rPr>
            </w:pPr>
            <w:r w:rsidRPr="00155395">
              <w:rPr>
                <w:rFonts w:asciiTheme="majorHAnsi" w:hAnsiTheme="majorHAnsi" w:cstheme="majorHAnsi"/>
                <w:sz w:val="14"/>
                <w:szCs w:val="14"/>
                <w:lang w:val="en-US"/>
              </w:rPr>
              <w:t>years</w:t>
            </w:r>
          </w:p>
        </w:tc>
        <w:tc>
          <w:tcPr>
            <w:tcW w:w="5954" w:type="dxa"/>
            <w:vAlign w:val="center"/>
            <w:hideMark/>
          </w:tcPr>
          <w:p w14:paraId="1D5478DB" w14:textId="559EA83B" w:rsidR="007A3AA6" w:rsidRPr="00AB143A" w:rsidRDefault="007A3AA6" w:rsidP="00FE711A">
            <w:pPr>
              <w:jc w:val="left"/>
              <w:rPr>
                <w:rFonts w:asciiTheme="majorHAnsi" w:hAnsiTheme="majorHAnsi" w:cstheme="majorHAnsi"/>
                <w:sz w:val="14"/>
                <w:szCs w:val="14"/>
                <w:lang w:val="en-US"/>
              </w:rPr>
            </w:pPr>
            <w:r w:rsidRPr="00836D9B">
              <w:rPr>
                <w:rFonts w:asciiTheme="majorHAnsi" w:hAnsiTheme="majorHAnsi" w:cstheme="majorHAnsi"/>
                <w:sz w:val="14"/>
                <w:szCs w:val="14"/>
                <w:lang w:val="en-US"/>
              </w:rPr>
              <w:t>Life expectancy at birth indicates the number of years a newborn infant would live if prevailing patterns of mortality at the time of its birth were to stay the same throughout its life.</w:t>
            </w:r>
          </w:p>
        </w:tc>
        <w:tc>
          <w:tcPr>
            <w:tcW w:w="1644" w:type="dxa"/>
            <w:vAlign w:val="center"/>
            <w:hideMark/>
          </w:tcPr>
          <w:p w14:paraId="4CAD2F51" w14:textId="6052F87C"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better</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worse</w:t>
            </w:r>
          </w:p>
        </w:tc>
        <w:tc>
          <w:tcPr>
            <w:tcW w:w="1984" w:type="dxa"/>
            <w:vAlign w:val="center"/>
            <w:hideMark/>
          </w:tcPr>
          <w:p w14:paraId="2AFD1463"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https://data.worldbank.org/indicator/SP.DYN.LE00.IN?view=chart </w:t>
            </w:r>
          </w:p>
        </w:tc>
      </w:tr>
      <w:tr w:rsidR="007A3AA6" w:rsidRPr="000D0760" w14:paraId="1391DD4D" w14:textId="77777777" w:rsidTr="002427FF">
        <w:trPr>
          <w:trHeight w:val="340"/>
        </w:trPr>
        <w:tc>
          <w:tcPr>
            <w:tcW w:w="426" w:type="dxa"/>
            <w:vMerge/>
            <w:noWrap/>
            <w:textDirection w:val="btLr"/>
            <w:vAlign w:val="center"/>
            <w:hideMark/>
          </w:tcPr>
          <w:p w14:paraId="13654641" w14:textId="2F05CB71"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2F44E815" w14:textId="50AFCE7B"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01883783"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Domestic general government health expenditures</w:t>
            </w:r>
          </w:p>
        </w:tc>
        <w:tc>
          <w:tcPr>
            <w:tcW w:w="510" w:type="dxa"/>
            <w:vAlign w:val="center"/>
          </w:tcPr>
          <w:p w14:paraId="337C2ACD" w14:textId="5BA14ED0"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2016</w:t>
            </w:r>
          </w:p>
        </w:tc>
        <w:tc>
          <w:tcPr>
            <w:tcW w:w="1020" w:type="dxa"/>
            <w:vAlign w:val="center"/>
            <w:hideMark/>
          </w:tcPr>
          <w:p w14:paraId="61C653CF" w14:textId="2F2181C5"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 of current health expenditures </w:t>
            </w:r>
          </w:p>
        </w:tc>
        <w:tc>
          <w:tcPr>
            <w:tcW w:w="5954" w:type="dxa"/>
            <w:vAlign w:val="center"/>
            <w:hideMark/>
          </w:tcPr>
          <w:p w14:paraId="108A2763"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Share of current health expenditures funded from domestic public sources for health, e.g. subsidies to voluntary health insurance beneficiaries, non-profit institutions serving households, enterprise financing schemes or compulsory prepayment and social health insurance contributions. </w:t>
            </w:r>
          </w:p>
        </w:tc>
        <w:tc>
          <w:tcPr>
            <w:tcW w:w="1644" w:type="dxa"/>
            <w:vAlign w:val="center"/>
            <w:hideMark/>
          </w:tcPr>
          <w:p w14:paraId="1F15B139" w14:textId="4D3FB6EF"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better</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worse</w:t>
            </w:r>
          </w:p>
        </w:tc>
        <w:tc>
          <w:tcPr>
            <w:tcW w:w="1984" w:type="dxa"/>
            <w:vAlign w:val="center"/>
            <w:hideMark/>
          </w:tcPr>
          <w:p w14:paraId="1E3C8A49"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https://databank.worldbank.org/data/reports.aspx?source=2&amp;series=SH.XPD.GHED.CH.ZS</w:t>
            </w:r>
          </w:p>
        </w:tc>
      </w:tr>
      <w:tr w:rsidR="007A3AA6" w:rsidRPr="000D0760" w14:paraId="6E774811" w14:textId="77777777" w:rsidTr="002427FF">
        <w:trPr>
          <w:trHeight w:val="340"/>
        </w:trPr>
        <w:tc>
          <w:tcPr>
            <w:tcW w:w="426" w:type="dxa"/>
            <w:vMerge/>
            <w:noWrap/>
            <w:textDirection w:val="btLr"/>
            <w:vAlign w:val="center"/>
            <w:hideMark/>
          </w:tcPr>
          <w:p w14:paraId="5DE39116" w14:textId="68D40522"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7E41E915" w14:textId="5CE9F671"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4197C0A4"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Coverage of essential health services</w:t>
            </w:r>
          </w:p>
        </w:tc>
        <w:tc>
          <w:tcPr>
            <w:tcW w:w="510" w:type="dxa"/>
            <w:vAlign w:val="center"/>
          </w:tcPr>
          <w:p w14:paraId="09A5EAD3" w14:textId="5B3BD0F6"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75C630B6" w14:textId="3E4574FD"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"bad" to 100 "good"</w:t>
            </w:r>
          </w:p>
        </w:tc>
        <w:tc>
          <w:tcPr>
            <w:tcW w:w="5954" w:type="dxa"/>
            <w:vAlign w:val="center"/>
            <w:hideMark/>
          </w:tcPr>
          <w:p w14:paraId="4F47ADDA"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Coverage of essential health services, as defined by the UHC service coverage index.</w:t>
            </w:r>
          </w:p>
        </w:tc>
        <w:tc>
          <w:tcPr>
            <w:tcW w:w="1644" w:type="dxa"/>
            <w:vAlign w:val="center"/>
            <w:hideMark/>
          </w:tcPr>
          <w:p w14:paraId="0BE5683A" w14:textId="25AE1A95"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good</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bad</w:t>
            </w:r>
          </w:p>
        </w:tc>
        <w:tc>
          <w:tcPr>
            <w:tcW w:w="1984" w:type="dxa"/>
            <w:vAlign w:val="center"/>
            <w:hideMark/>
          </w:tcPr>
          <w:p w14:paraId="7ADC3F5A"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https://vizhub.healthdata.org/sdg/</w:t>
            </w:r>
          </w:p>
        </w:tc>
      </w:tr>
      <w:tr w:rsidR="007A3AA6" w:rsidRPr="000D0760" w14:paraId="35E37394" w14:textId="77777777" w:rsidTr="002427FF">
        <w:trPr>
          <w:trHeight w:val="340"/>
        </w:trPr>
        <w:tc>
          <w:tcPr>
            <w:tcW w:w="426" w:type="dxa"/>
            <w:vMerge/>
            <w:noWrap/>
            <w:textDirection w:val="btLr"/>
            <w:vAlign w:val="center"/>
            <w:hideMark/>
          </w:tcPr>
          <w:p w14:paraId="1436EB8D" w14:textId="2F64D40A" w:rsidR="007A3AA6" w:rsidRPr="00AB143A" w:rsidRDefault="007A3AA6" w:rsidP="00FE711A">
            <w:pPr>
              <w:jc w:val="center"/>
              <w:rPr>
                <w:rFonts w:asciiTheme="majorHAnsi" w:hAnsiTheme="majorHAnsi" w:cstheme="majorHAnsi"/>
                <w:b/>
                <w:sz w:val="14"/>
                <w:szCs w:val="14"/>
                <w:lang w:val="en-US"/>
              </w:rPr>
            </w:pPr>
          </w:p>
        </w:tc>
        <w:tc>
          <w:tcPr>
            <w:tcW w:w="1077" w:type="dxa"/>
            <w:vMerge w:val="restart"/>
            <w:vAlign w:val="center"/>
            <w:hideMark/>
          </w:tcPr>
          <w:p w14:paraId="1599D93F"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Food security</w:t>
            </w:r>
          </w:p>
          <w:p w14:paraId="19F72B4F" w14:textId="4A2FF6AA"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tc>
        <w:tc>
          <w:tcPr>
            <w:tcW w:w="1474" w:type="dxa"/>
            <w:vAlign w:val="center"/>
            <w:hideMark/>
          </w:tcPr>
          <w:p w14:paraId="3A453A2F"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Prevalence of severe food insecurity</w:t>
            </w:r>
          </w:p>
        </w:tc>
        <w:tc>
          <w:tcPr>
            <w:tcW w:w="510" w:type="dxa"/>
            <w:vAlign w:val="center"/>
          </w:tcPr>
          <w:p w14:paraId="28C74094" w14:textId="6CE3724C"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2016</w:t>
            </w:r>
          </w:p>
        </w:tc>
        <w:tc>
          <w:tcPr>
            <w:tcW w:w="1020" w:type="dxa"/>
            <w:vAlign w:val="center"/>
            <w:hideMark/>
          </w:tcPr>
          <w:p w14:paraId="0CD5F7AA" w14:textId="2DF19AAA"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of population</w:t>
            </w:r>
          </w:p>
        </w:tc>
        <w:tc>
          <w:tcPr>
            <w:tcW w:w="5954" w:type="dxa"/>
            <w:vAlign w:val="center"/>
            <w:hideMark/>
          </w:tcPr>
          <w:p w14:paraId="078AFF64" w14:textId="36282F49"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This indicator provides internationally comparable estimates of the proportion of the population facing moderate or severe difficulties in accessing food.</w:t>
            </w:r>
          </w:p>
        </w:tc>
        <w:tc>
          <w:tcPr>
            <w:tcW w:w="1644" w:type="dxa"/>
            <w:vAlign w:val="center"/>
            <w:hideMark/>
          </w:tcPr>
          <w:p w14:paraId="7A744F81" w14:textId="431FDF9B"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better</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worse</w:t>
            </w:r>
          </w:p>
        </w:tc>
        <w:tc>
          <w:tcPr>
            <w:tcW w:w="1984" w:type="dxa"/>
            <w:vAlign w:val="center"/>
            <w:hideMark/>
          </w:tcPr>
          <w:p w14:paraId="5B1B0032" w14:textId="77777777" w:rsidR="007A3AA6" w:rsidRPr="00AB143A" w:rsidRDefault="007A3AA6" w:rsidP="00FE711A">
            <w:pPr>
              <w:jc w:val="left"/>
              <w:rPr>
                <w:rFonts w:asciiTheme="majorHAnsi" w:hAnsiTheme="majorHAnsi" w:cstheme="majorHAnsi"/>
                <w:sz w:val="14"/>
                <w:szCs w:val="14"/>
                <w:u w:val="single"/>
                <w:lang w:val="en-US"/>
              </w:rPr>
            </w:pPr>
            <w:r w:rsidRPr="00AB143A">
              <w:rPr>
                <w:rFonts w:asciiTheme="majorHAnsi" w:hAnsiTheme="majorHAnsi" w:cstheme="majorHAnsi"/>
                <w:sz w:val="14"/>
                <w:szCs w:val="14"/>
                <w:u w:val="single"/>
                <w:lang w:val="en-US"/>
              </w:rPr>
              <w:t>http://www.fao.org/sustainable-development-goals/indicators/212/en/</w:t>
            </w:r>
          </w:p>
        </w:tc>
      </w:tr>
      <w:tr w:rsidR="007A3AA6" w:rsidRPr="000D0760" w14:paraId="298F8D90" w14:textId="77777777" w:rsidTr="002427FF">
        <w:trPr>
          <w:trHeight w:val="340"/>
        </w:trPr>
        <w:tc>
          <w:tcPr>
            <w:tcW w:w="426" w:type="dxa"/>
            <w:vMerge/>
            <w:noWrap/>
            <w:textDirection w:val="btLr"/>
            <w:vAlign w:val="center"/>
            <w:hideMark/>
          </w:tcPr>
          <w:p w14:paraId="71D5C071" w14:textId="1FDA22DB"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30449A6D" w14:textId="66E90CB8"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52E50650"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Consumer expenditure spent on food </w:t>
            </w:r>
          </w:p>
        </w:tc>
        <w:tc>
          <w:tcPr>
            <w:tcW w:w="510" w:type="dxa"/>
            <w:vAlign w:val="center"/>
          </w:tcPr>
          <w:p w14:paraId="339211A1" w14:textId="7C93854A"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2016</w:t>
            </w:r>
          </w:p>
        </w:tc>
        <w:tc>
          <w:tcPr>
            <w:tcW w:w="1020" w:type="dxa"/>
            <w:vAlign w:val="center"/>
            <w:hideMark/>
          </w:tcPr>
          <w:p w14:paraId="3730062D" w14:textId="7C932226"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of total consumer expenditures</w:t>
            </w:r>
          </w:p>
        </w:tc>
        <w:tc>
          <w:tcPr>
            <w:tcW w:w="5954" w:type="dxa"/>
            <w:vAlign w:val="center"/>
            <w:hideMark/>
          </w:tcPr>
          <w:p w14:paraId="4869C164"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The share of consumer expenditure spent on food products, measured as the percentage of total consumer expenditure per person (includes only food consumed at home, and not expenditure on alcoholic beverages or tobacco).</w:t>
            </w:r>
          </w:p>
        </w:tc>
        <w:tc>
          <w:tcPr>
            <w:tcW w:w="1644" w:type="dxa"/>
            <w:vAlign w:val="center"/>
            <w:hideMark/>
          </w:tcPr>
          <w:p w14:paraId="1C2CF964" w14:textId="2099E7AF"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less</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more</w:t>
            </w:r>
          </w:p>
        </w:tc>
        <w:tc>
          <w:tcPr>
            <w:tcW w:w="1984" w:type="dxa"/>
            <w:vAlign w:val="center"/>
            <w:hideMark/>
          </w:tcPr>
          <w:p w14:paraId="04681F90"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https://ourworldindata.org/food-prices</w:t>
            </w:r>
          </w:p>
        </w:tc>
      </w:tr>
      <w:tr w:rsidR="007A3AA6" w:rsidRPr="000D0760" w14:paraId="231217E7" w14:textId="77777777" w:rsidTr="002427FF">
        <w:trPr>
          <w:trHeight w:val="340"/>
        </w:trPr>
        <w:tc>
          <w:tcPr>
            <w:tcW w:w="426" w:type="dxa"/>
            <w:vMerge/>
            <w:noWrap/>
            <w:textDirection w:val="btLr"/>
            <w:vAlign w:val="center"/>
            <w:hideMark/>
          </w:tcPr>
          <w:p w14:paraId="43D03353" w14:textId="0ACBBB48" w:rsidR="007A3AA6" w:rsidRPr="00AB143A" w:rsidRDefault="007A3AA6" w:rsidP="00FE711A">
            <w:pPr>
              <w:jc w:val="center"/>
              <w:rPr>
                <w:rFonts w:asciiTheme="majorHAnsi" w:hAnsiTheme="majorHAnsi" w:cstheme="majorHAnsi"/>
                <w:b/>
                <w:sz w:val="14"/>
                <w:szCs w:val="14"/>
                <w:lang w:val="en-US"/>
              </w:rPr>
            </w:pPr>
          </w:p>
        </w:tc>
        <w:tc>
          <w:tcPr>
            <w:tcW w:w="1077" w:type="dxa"/>
            <w:vMerge w:val="restart"/>
            <w:vAlign w:val="center"/>
            <w:hideMark/>
          </w:tcPr>
          <w:p w14:paraId="74A8BE28"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Quality of life</w:t>
            </w:r>
          </w:p>
          <w:p w14:paraId="0893FE85"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p w14:paraId="254DC4DB" w14:textId="3097DCB4"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tc>
        <w:tc>
          <w:tcPr>
            <w:tcW w:w="1474" w:type="dxa"/>
            <w:vAlign w:val="center"/>
            <w:hideMark/>
          </w:tcPr>
          <w:p w14:paraId="3385C6E6"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Human Development Index</w:t>
            </w:r>
          </w:p>
        </w:tc>
        <w:tc>
          <w:tcPr>
            <w:tcW w:w="510" w:type="dxa"/>
            <w:vAlign w:val="center"/>
          </w:tcPr>
          <w:p w14:paraId="265CA37D" w14:textId="27701357"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2E2C2804" w14:textId="42F75AA1"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0-1; higher values are better</w:t>
            </w:r>
          </w:p>
        </w:tc>
        <w:tc>
          <w:tcPr>
            <w:tcW w:w="5954" w:type="dxa"/>
            <w:vAlign w:val="center"/>
            <w:hideMark/>
          </w:tcPr>
          <w:p w14:paraId="6F07FFB6"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This index summarizes average achievements in key dimensions of human development such as a long and healthy life, being knowledgeable and having a decent standard of living.</w:t>
            </w:r>
          </w:p>
        </w:tc>
        <w:tc>
          <w:tcPr>
            <w:tcW w:w="1644" w:type="dxa"/>
            <w:vAlign w:val="center"/>
            <w:hideMark/>
          </w:tcPr>
          <w:p w14:paraId="20E9D64A" w14:textId="2F0FA14A"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better</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worse</w:t>
            </w:r>
          </w:p>
        </w:tc>
        <w:tc>
          <w:tcPr>
            <w:tcW w:w="1984" w:type="dxa"/>
            <w:vAlign w:val="center"/>
            <w:hideMark/>
          </w:tcPr>
          <w:p w14:paraId="45CEA162" w14:textId="77777777" w:rsidR="007A3AA6" w:rsidRPr="00AB143A" w:rsidRDefault="007A3AA6" w:rsidP="00FE711A">
            <w:pPr>
              <w:jc w:val="left"/>
              <w:rPr>
                <w:rFonts w:asciiTheme="majorHAnsi" w:hAnsiTheme="majorHAnsi" w:cstheme="majorHAnsi"/>
                <w:sz w:val="14"/>
                <w:szCs w:val="14"/>
                <w:u w:val="single"/>
                <w:lang w:val="en-US"/>
              </w:rPr>
            </w:pPr>
            <w:r w:rsidRPr="00AB143A">
              <w:rPr>
                <w:rFonts w:asciiTheme="majorHAnsi" w:hAnsiTheme="majorHAnsi" w:cstheme="majorHAnsi"/>
                <w:sz w:val="14"/>
                <w:szCs w:val="14"/>
                <w:u w:val="single"/>
                <w:lang w:val="en-US"/>
              </w:rPr>
              <w:t>https://ourworldindata.org/human-development-index</w:t>
            </w:r>
          </w:p>
        </w:tc>
      </w:tr>
      <w:tr w:rsidR="007A3AA6" w:rsidRPr="000D0760" w14:paraId="4AA65062" w14:textId="77777777" w:rsidTr="002427FF">
        <w:trPr>
          <w:trHeight w:val="340"/>
        </w:trPr>
        <w:tc>
          <w:tcPr>
            <w:tcW w:w="426" w:type="dxa"/>
            <w:vMerge/>
            <w:noWrap/>
            <w:textDirection w:val="btLr"/>
            <w:vAlign w:val="center"/>
            <w:hideMark/>
          </w:tcPr>
          <w:p w14:paraId="082BB098" w14:textId="640BB7B5"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0F226920" w14:textId="2AA0C4C0"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3627A30D"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Self-reported Life Satisfaction</w:t>
            </w:r>
          </w:p>
        </w:tc>
        <w:tc>
          <w:tcPr>
            <w:tcW w:w="510" w:type="dxa"/>
            <w:vAlign w:val="center"/>
          </w:tcPr>
          <w:p w14:paraId="41AF85BC" w14:textId="09416784"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29A70CEE" w14:textId="70AD4150"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"worst" to 10 "best"</w:t>
            </w:r>
          </w:p>
        </w:tc>
        <w:tc>
          <w:tcPr>
            <w:tcW w:w="5954" w:type="dxa"/>
            <w:vAlign w:val="center"/>
            <w:hideMark/>
          </w:tcPr>
          <w:p w14:paraId="08A7CCD3"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This Indicator shows the results of a survey asking the question: “Please imagine a ladder, with steps numbered from 0 at the bottom to 10 at the top. The top of the ladder represents the best possible life for you and the bottom of the ladder represents the worst possible life for you. On which step of the ladder would you say you personally feel you stand at this time?” </w:t>
            </w:r>
          </w:p>
        </w:tc>
        <w:tc>
          <w:tcPr>
            <w:tcW w:w="1644" w:type="dxa"/>
            <w:vAlign w:val="center"/>
            <w:hideMark/>
          </w:tcPr>
          <w:p w14:paraId="28695D45" w14:textId="3343B71F"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best</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worst</w:t>
            </w:r>
          </w:p>
        </w:tc>
        <w:tc>
          <w:tcPr>
            <w:tcW w:w="1984" w:type="dxa"/>
            <w:vAlign w:val="center"/>
            <w:hideMark/>
          </w:tcPr>
          <w:p w14:paraId="6D2BF6C2" w14:textId="77777777" w:rsidR="007A3AA6" w:rsidRPr="00AB143A" w:rsidRDefault="007A3AA6" w:rsidP="00FE711A">
            <w:pPr>
              <w:jc w:val="left"/>
              <w:rPr>
                <w:rFonts w:asciiTheme="majorHAnsi" w:hAnsiTheme="majorHAnsi" w:cstheme="majorHAnsi"/>
                <w:sz w:val="14"/>
                <w:szCs w:val="14"/>
                <w:u w:val="single"/>
                <w:lang w:val="en-US"/>
              </w:rPr>
            </w:pPr>
            <w:r w:rsidRPr="00AB143A">
              <w:rPr>
                <w:rFonts w:asciiTheme="majorHAnsi" w:hAnsiTheme="majorHAnsi" w:cstheme="majorHAnsi"/>
                <w:sz w:val="14"/>
                <w:szCs w:val="14"/>
                <w:u w:val="single"/>
                <w:lang w:val="en-US"/>
              </w:rPr>
              <w:t>https://ourworldindata.org/happiness-and-life-satisfaction</w:t>
            </w:r>
          </w:p>
        </w:tc>
      </w:tr>
      <w:tr w:rsidR="007A3AA6" w:rsidRPr="000D0760" w14:paraId="09E18EFE" w14:textId="77777777" w:rsidTr="002427FF">
        <w:trPr>
          <w:trHeight w:val="340"/>
        </w:trPr>
        <w:tc>
          <w:tcPr>
            <w:tcW w:w="426" w:type="dxa"/>
            <w:vMerge/>
            <w:noWrap/>
            <w:textDirection w:val="btLr"/>
            <w:vAlign w:val="center"/>
            <w:hideMark/>
          </w:tcPr>
          <w:p w14:paraId="6966AC9F" w14:textId="00008246"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22F9349E" w14:textId="431F03CE"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4D64579B"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Political Empowerment</w:t>
            </w:r>
          </w:p>
        </w:tc>
        <w:tc>
          <w:tcPr>
            <w:tcW w:w="510" w:type="dxa"/>
            <w:vAlign w:val="center"/>
          </w:tcPr>
          <w:p w14:paraId="1D686964" w14:textId="018D951E"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1D81B6B8" w14:textId="0BC4F144"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1 "parity" to 0 "imparity"</w:t>
            </w:r>
          </w:p>
        </w:tc>
        <w:tc>
          <w:tcPr>
            <w:tcW w:w="5954" w:type="dxa"/>
            <w:vAlign w:val="center"/>
            <w:hideMark/>
          </w:tcPr>
          <w:p w14:paraId="144B696B" w14:textId="253EAA62"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A measure of gender inequality concerning political empowerment including information on females with seats in parliament, at ministerial level and number of years with a female head of state (last 50 years) over male value. </w:t>
            </w:r>
          </w:p>
        </w:tc>
        <w:tc>
          <w:tcPr>
            <w:tcW w:w="1644" w:type="dxa"/>
            <w:vAlign w:val="center"/>
            <w:hideMark/>
          </w:tcPr>
          <w:p w14:paraId="2C17E6AB"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parity to 1: gender imparity</w:t>
            </w:r>
          </w:p>
        </w:tc>
        <w:tc>
          <w:tcPr>
            <w:tcW w:w="1984" w:type="dxa"/>
            <w:vAlign w:val="center"/>
            <w:hideMark/>
          </w:tcPr>
          <w:p w14:paraId="2BF8FBD3" w14:textId="77777777" w:rsidR="007A3AA6" w:rsidRPr="00AB143A" w:rsidRDefault="007A3AA6" w:rsidP="00FE711A">
            <w:pPr>
              <w:jc w:val="left"/>
              <w:rPr>
                <w:rFonts w:asciiTheme="majorHAnsi" w:hAnsiTheme="majorHAnsi" w:cstheme="majorHAnsi"/>
                <w:sz w:val="14"/>
                <w:szCs w:val="14"/>
                <w:u w:val="single"/>
                <w:lang w:val="en-US"/>
              </w:rPr>
            </w:pPr>
            <w:r w:rsidRPr="00AB143A">
              <w:rPr>
                <w:rFonts w:asciiTheme="majorHAnsi" w:hAnsiTheme="majorHAnsi" w:cstheme="majorHAnsi"/>
                <w:sz w:val="14"/>
                <w:szCs w:val="14"/>
                <w:u w:val="single"/>
                <w:lang w:val="en-US"/>
              </w:rPr>
              <w:t>http://www3.weforum.org/docs/WEF_GGGR_2017.pdf</w:t>
            </w:r>
          </w:p>
        </w:tc>
      </w:tr>
      <w:tr w:rsidR="007A3AA6" w:rsidRPr="000D0760" w14:paraId="1B85E90F" w14:textId="77777777" w:rsidTr="002427FF">
        <w:trPr>
          <w:trHeight w:val="340"/>
        </w:trPr>
        <w:tc>
          <w:tcPr>
            <w:tcW w:w="426" w:type="dxa"/>
            <w:vMerge/>
            <w:noWrap/>
            <w:textDirection w:val="btLr"/>
            <w:vAlign w:val="center"/>
            <w:hideMark/>
          </w:tcPr>
          <w:p w14:paraId="4C58BA2C" w14:textId="6510B493" w:rsidR="007A3AA6" w:rsidRPr="00AB143A" w:rsidRDefault="007A3AA6" w:rsidP="00FE711A">
            <w:pPr>
              <w:jc w:val="center"/>
              <w:rPr>
                <w:rFonts w:asciiTheme="majorHAnsi" w:hAnsiTheme="majorHAnsi" w:cstheme="majorHAnsi"/>
                <w:b/>
                <w:sz w:val="14"/>
                <w:szCs w:val="14"/>
                <w:lang w:val="en-US"/>
              </w:rPr>
            </w:pPr>
          </w:p>
        </w:tc>
        <w:tc>
          <w:tcPr>
            <w:tcW w:w="1077" w:type="dxa"/>
            <w:vAlign w:val="center"/>
            <w:hideMark/>
          </w:tcPr>
          <w:p w14:paraId="02EB14E9"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Local employment</w:t>
            </w:r>
          </w:p>
        </w:tc>
        <w:tc>
          <w:tcPr>
            <w:tcW w:w="1474" w:type="dxa"/>
            <w:vAlign w:val="center"/>
            <w:hideMark/>
          </w:tcPr>
          <w:p w14:paraId="0F8DE9D7"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Local supplier quantity</w:t>
            </w:r>
          </w:p>
        </w:tc>
        <w:tc>
          <w:tcPr>
            <w:tcW w:w="510" w:type="dxa"/>
            <w:vAlign w:val="center"/>
          </w:tcPr>
          <w:p w14:paraId="038AB8E2" w14:textId="10F20EEE"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5250A39D" w14:textId="1B8CCC6A"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1 "largely nonexistent" to 7 "extremely numerous"</w:t>
            </w:r>
          </w:p>
        </w:tc>
        <w:tc>
          <w:tcPr>
            <w:tcW w:w="5954" w:type="dxa"/>
            <w:vAlign w:val="center"/>
            <w:hideMark/>
          </w:tcPr>
          <w:p w14:paraId="7AA1ABF4"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This Indicator shows the results of a survey asking the question: "In your country, how numerous are local suppliers?" </w:t>
            </w:r>
          </w:p>
        </w:tc>
        <w:tc>
          <w:tcPr>
            <w:tcW w:w="1644" w:type="dxa"/>
            <w:vAlign w:val="center"/>
            <w:hideMark/>
          </w:tcPr>
          <w:p w14:paraId="274E9B64" w14:textId="2414D723"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extremely</w:t>
            </w:r>
            <w:r w:rsidR="007A3AA6" w:rsidRPr="00AB143A">
              <w:rPr>
                <w:rFonts w:asciiTheme="majorHAnsi" w:hAnsiTheme="majorHAnsi" w:cstheme="majorHAnsi"/>
                <w:sz w:val="14"/>
                <w:szCs w:val="14"/>
                <w:lang w:val="en-US"/>
              </w:rPr>
              <w:t xml:space="preserve"> numerous to </w:t>
            </w:r>
            <w:r w:rsidRPr="00AB143A">
              <w:rPr>
                <w:rFonts w:asciiTheme="majorHAnsi" w:hAnsiTheme="majorHAnsi" w:cstheme="majorHAnsi"/>
                <w:sz w:val="14"/>
                <w:szCs w:val="14"/>
                <w:lang w:val="en-US"/>
              </w:rPr>
              <w:t>1: largely</w:t>
            </w:r>
            <w:r w:rsidR="007A3AA6" w:rsidRPr="00AB143A">
              <w:rPr>
                <w:rFonts w:asciiTheme="majorHAnsi" w:hAnsiTheme="majorHAnsi" w:cstheme="majorHAnsi"/>
                <w:sz w:val="14"/>
                <w:szCs w:val="14"/>
                <w:lang w:val="en-US"/>
              </w:rPr>
              <w:t xml:space="preserve"> nonexistent</w:t>
            </w:r>
          </w:p>
        </w:tc>
        <w:tc>
          <w:tcPr>
            <w:tcW w:w="1984" w:type="dxa"/>
            <w:vAlign w:val="center"/>
            <w:hideMark/>
          </w:tcPr>
          <w:p w14:paraId="0DAC069A"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https://tcdata360.worldbank.org/indicators/loc.sup.nm?country=BRA&amp;indicator=709&amp;countries=AUT&amp;viz=line_chart&amp;years=2007 </w:t>
            </w:r>
          </w:p>
        </w:tc>
      </w:tr>
      <w:tr w:rsidR="007A3AA6" w:rsidRPr="00AB143A" w14:paraId="5C4A1EA6" w14:textId="77777777" w:rsidTr="002427FF">
        <w:trPr>
          <w:trHeight w:val="340"/>
        </w:trPr>
        <w:tc>
          <w:tcPr>
            <w:tcW w:w="426" w:type="dxa"/>
            <w:vMerge/>
            <w:noWrap/>
            <w:textDirection w:val="btLr"/>
            <w:vAlign w:val="center"/>
            <w:hideMark/>
          </w:tcPr>
          <w:p w14:paraId="7C9EC2DF" w14:textId="5FFAFF06" w:rsidR="007A3AA6" w:rsidRPr="00AB143A" w:rsidRDefault="007A3AA6" w:rsidP="00FE711A">
            <w:pPr>
              <w:jc w:val="center"/>
              <w:rPr>
                <w:rFonts w:asciiTheme="majorHAnsi" w:hAnsiTheme="majorHAnsi" w:cstheme="majorHAnsi"/>
                <w:b/>
                <w:sz w:val="14"/>
                <w:szCs w:val="14"/>
                <w:lang w:val="en-US"/>
              </w:rPr>
            </w:pPr>
          </w:p>
        </w:tc>
        <w:tc>
          <w:tcPr>
            <w:tcW w:w="1077" w:type="dxa"/>
            <w:vMerge w:val="restart"/>
            <w:vAlign w:val="center"/>
            <w:hideMark/>
          </w:tcPr>
          <w:p w14:paraId="1A91CCCC"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Secure living conditions</w:t>
            </w:r>
          </w:p>
          <w:p w14:paraId="71A6DA6C" w14:textId="666A74D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tc>
        <w:tc>
          <w:tcPr>
            <w:tcW w:w="1474" w:type="dxa"/>
            <w:vAlign w:val="center"/>
            <w:hideMark/>
          </w:tcPr>
          <w:p w14:paraId="2916535A"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Population covered by at least one social protection benefit</w:t>
            </w:r>
          </w:p>
        </w:tc>
        <w:tc>
          <w:tcPr>
            <w:tcW w:w="510" w:type="dxa"/>
            <w:vAlign w:val="center"/>
          </w:tcPr>
          <w:p w14:paraId="117C4741" w14:textId="40E3DC0D"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2016, 2018</w:t>
            </w:r>
          </w:p>
        </w:tc>
        <w:tc>
          <w:tcPr>
            <w:tcW w:w="1020" w:type="dxa"/>
            <w:vAlign w:val="center"/>
            <w:hideMark/>
          </w:tcPr>
          <w:p w14:paraId="58886FBF" w14:textId="75106840"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w:t>
            </w:r>
          </w:p>
        </w:tc>
        <w:tc>
          <w:tcPr>
            <w:tcW w:w="5954" w:type="dxa"/>
            <w:vAlign w:val="center"/>
            <w:hideMark/>
          </w:tcPr>
          <w:p w14:paraId="0533DA3E"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Covered social benefits are unemployed receiving unemployment benefits, children covered by social protection benefits, poor persons covered by social protection systems, vulnerable persons covered by social assistance, mothers with newborns receiving maternity benefits, persons with severe disabilities collecting disability social protection benefits or persons above retirement age receiving a pension</w:t>
            </w:r>
          </w:p>
        </w:tc>
        <w:tc>
          <w:tcPr>
            <w:tcW w:w="1644" w:type="dxa"/>
            <w:vAlign w:val="center"/>
            <w:hideMark/>
          </w:tcPr>
          <w:p w14:paraId="3148268F" w14:textId="4F103F39"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0: more to </w:t>
            </w:r>
            <w:r w:rsidR="001A0C66" w:rsidRPr="00AB143A">
              <w:rPr>
                <w:rFonts w:asciiTheme="majorHAnsi" w:hAnsiTheme="majorHAnsi" w:cstheme="majorHAnsi"/>
                <w:sz w:val="14"/>
                <w:szCs w:val="14"/>
                <w:lang w:val="en-US"/>
              </w:rPr>
              <w:t>1: less</w:t>
            </w:r>
            <w:r w:rsidRPr="00AB143A">
              <w:rPr>
                <w:rFonts w:asciiTheme="majorHAnsi" w:hAnsiTheme="majorHAnsi" w:cstheme="majorHAnsi"/>
                <w:sz w:val="14"/>
                <w:szCs w:val="14"/>
                <w:lang w:val="en-US"/>
              </w:rPr>
              <w:t xml:space="preserve"> people covered by social protection </w:t>
            </w:r>
          </w:p>
        </w:tc>
        <w:tc>
          <w:tcPr>
            <w:tcW w:w="1984" w:type="dxa"/>
            <w:vAlign w:val="center"/>
            <w:hideMark/>
          </w:tcPr>
          <w:p w14:paraId="37FC11F8"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https://www.ilo.org/</w:t>
            </w:r>
          </w:p>
        </w:tc>
      </w:tr>
      <w:tr w:rsidR="007A3AA6" w:rsidRPr="000D0760" w14:paraId="3F1BE628" w14:textId="77777777" w:rsidTr="002427FF">
        <w:trPr>
          <w:trHeight w:val="340"/>
        </w:trPr>
        <w:tc>
          <w:tcPr>
            <w:tcW w:w="426" w:type="dxa"/>
            <w:vMerge/>
            <w:noWrap/>
            <w:textDirection w:val="btLr"/>
            <w:vAlign w:val="center"/>
            <w:hideMark/>
          </w:tcPr>
          <w:p w14:paraId="2286B20E" w14:textId="2AB6719F"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24697E35" w14:textId="3A639D2E"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7E1B76CA"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Political Stability and Absence of Violence</w:t>
            </w:r>
          </w:p>
        </w:tc>
        <w:tc>
          <w:tcPr>
            <w:tcW w:w="510" w:type="dxa"/>
            <w:vAlign w:val="center"/>
          </w:tcPr>
          <w:p w14:paraId="1CD62C38" w14:textId="580B0E9D"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7EA924C8" w14:textId="4B80875F"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"bad" to 100 "good"</w:t>
            </w:r>
          </w:p>
        </w:tc>
        <w:tc>
          <w:tcPr>
            <w:tcW w:w="5954" w:type="dxa"/>
            <w:vAlign w:val="center"/>
            <w:hideMark/>
          </w:tcPr>
          <w:p w14:paraId="39F5012C" w14:textId="1209230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This index illustrates the perceptions of the likelihood of political instability and/or politically motivated violence, including terrorism based on variables like orderly transfers, armed conflict, violent demonstrations, social unrest, international tensions / terrorist threats. </w:t>
            </w:r>
          </w:p>
        </w:tc>
        <w:tc>
          <w:tcPr>
            <w:tcW w:w="1644" w:type="dxa"/>
            <w:vAlign w:val="center"/>
            <w:hideMark/>
          </w:tcPr>
          <w:p w14:paraId="073AB9D9" w14:textId="09DDACEC"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good</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bad</w:t>
            </w:r>
          </w:p>
        </w:tc>
        <w:tc>
          <w:tcPr>
            <w:tcW w:w="1984" w:type="dxa"/>
            <w:vAlign w:val="center"/>
            <w:hideMark/>
          </w:tcPr>
          <w:p w14:paraId="72F86A88"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http://info.worldbank.org/governance/wgi/#reports</w:t>
            </w:r>
          </w:p>
        </w:tc>
      </w:tr>
      <w:tr w:rsidR="007A3AA6" w:rsidRPr="000D0760" w14:paraId="6A0BA391" w14:textId="77777777" w:rsidTr="002427FF">
        <w:trPr>
          <w:trHeight w:val="340"/>
        </w:trPr>
        <w:tc>
          <w:tcPr>
            <w:tcW w:w="426" w:type="dxa"/>
            <w:vMerge/>
            <w:noWrap/>
            <w:textDirection w:val="btLr"/>
            <w:vAlign w:val="center"/>
            <w:hideMark/>
          </w:tcPr>
          <w:p w14:paraId="6A8968B7" w14:textId="2554700B" w:rsidR="007A3AA6" w:rsidRPr="00AB143A" w:rsidRDefault="007A3AA6" w:rsidP="00FE711A">
            <w:pPr>
              <w:jc w:val="center"/>
              <w:rPr>
                <w:rFonts w:asciiTheme="majorHAnsi" w:hAnsiTheme="majorHAnsi" w:cstheme="majorHAnsi"/>
                <w:b/>
                <w:sz w:val="14"/>
                <w:szCs w:val="14"/>
                <w:lang w:val="en-US"/>
              </w:rPr>
            </w:pPr>
          </w:p>
        </w:tc>
        <w:tc>
          <w:tcPr>
            <w:tcW w:w="1077" w:type="dxa"/>
            <w:vMerge w:val="restart"/>
            <w:vAlign w:val="center"/>
            <w:hideMark/>
          </w:tcPr>
          <w:p w14:paraId="19681CDB"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Delocalization and Migration</w:t>
            </w:r>
          </w:p>
          <w:p w14:paraId="4A27B77A"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p w14:paraId="348318A9" w14:textId="70B6ACD1"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tc>
        <w:tc>
          <w:tcPr>
            <w:tcW w:w="1474" w:type="dxa"/>
            <w:vAlign w:val="center"/>
            <w:hideMark/>
          </w:tcPr>
          <w:p w14:paraId="2455DF9E" w14:textId="508FAF7A"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Number of ratifications of human rights instruments </w:t>
            </w:r>
          </w:p>
        </w:tc>
        <w:tc>
          <w:tcPr>
            <w:tcW w:w="510" w:type="dxa"/>
            <w:vAlign w:val="center"/>
          </w:tcPr>
          <w:p w14:paraId="5BEABBAD" w14:textId="03210A95"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0D706A2C" w14:textId="43D19FC2"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w:t>
            </w:r>
          </w:p>
        </w:tc>
        <w:tc>
          <w:tcPr>
            <w:tcW w:w="5954" w:type="dxa"/>
            <w:vAlign w:val="center"/>
            <w:hideMark/>
          </w:tcPr>
          <w:p w14:paraId="2CA5CF2F" w14:textId="1E40EFFD"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Number of ratifications of human rights instruments relevant to migration</w:t>
            </w:r>
          </w:p>
        </w:tc>
        <w:tc>
          <w:tcPr>
            <w:tcW w:w="1644" w:type="dxa"/>
            <w:vAlign w:val="center"/>
            <w:hideMark/>
          </w:tcPr>
          <w:p w14:paraId="700A1690" w14:textId="07B80627"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better</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worse</w:t>
            </w:r>
          </w:p>
        </w:tc>
        <w:tc>
          <w:tcPr>
            <w:tcW w:w="1984" w:type="dxa"/>
            <w:vMerge w:val="restart"/>
            <w:vAlign w:val="center"/>
            <w:hideMark/>
          </w:tcPr>
          <w:p w14:paraId="4E108002"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https://migrationdataportal.org/data?t=2017&amp;i=stock_refug_abs_ </w:t>
            </w:r>
          </w:p>
        </w:tc>
      </w:tr>
      <w:tr w:rsidR="007A3AA6" w:rsidRPr="00AB143A" w14:paraId="1CCDF5B4" w14:textId="77777777" w:rsidTr="002427FF">
        <w:trPr>
          <w:trHeight w:val="340"/>
        </w:trPr>
        <w:tc>
          <w:tcPr>
            <w:tcW w:w="426" w:type="dxa"/>
            <w:vMerge/>
            <w:noWrap/>
            <w:textDirection w:val="btLr"/>
            <w:vAlign w:val="center"/>
            <w:hideMark/>
          </w:tcPr>
          <w:p w14:paraId="5B8EDF85" w14:textId="7BB9171D"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1321D619" w14:textId="5DC63EE7"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141F3C53"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Migrant acceptance</w:t>
            </w:r>
          </w:p>
        </w:tc>
        <w:tc>
          <w:tcPr>
            <w:tcW w:w="510" w:type="dxa"/>
            <w:vAlign w:val="center"/>
          </w:tcPr>
          <w:p w14:paraId="07C1D6B7" w14:textId="3348B868"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2015</w:t>
            </w:r>
          </w:p>
        </w:tc>
        <w:tc>
          <w:tcPr>
            <w:tcW w:w="1020" w:type="dxa"/>
            <w:vAlign w:val="center"/>
            <w:hideMark/>
          </w:tcPr>
          <w:p w14:paraId="0D59FB52" w14:textId="66ACA1A3"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0 "disagree" to 100 "agree" </w:t>
            </w:r>
          </w:p>
        </w:tc>
        <w:tc>
          <w:tcPr>
            <w:tcW w:w="5954" w:type="dxa"/>
            <w:vAlign w:val="center"/>
            <w:hideMark/>
          </w:tcPr>
          <w:p w14:paraId="500B30FC"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Percentage of adult respondents who reported that the city or area where they life </w:t>
            </w:r>
            <w:bookmarkStart w:id="2" w:name="_Hlk24310597"/>
            <w:r w:rsidRPr="00AB143A">
              <w:rPr>
                <w:rFonts w:asciiTheme="majorHAnsi" w:hAnsiTheme="majorHAnsi" w:cstheme="majorHAnsi"/>
                <w:sz w:val="14"/>
                <w:szCs w:val="14"/>
                <w:lang w:val="en-US"/>
              </w:rPr>
              <w:t>is a good place to live for immigrants from other countries</w:t>
            </w:r>
            <w:bookmarkEnd w:id="2"/>
            <w:r w:rsidRPr="00AB143A">
              <w:rPr>
                <w:rFonts w:asciiTheme="majorHAnsi" w:hAnsiTheme="majorHAnsi" w:cstheme="majorHAnsi"/>
                <w:sz w:val="14"/>
                <w:szCs w:val="14"/>
                <w:lang w:val="en-US"/>
              </w:rPr>
              <w:t>.</w:t>
            </w:r>
          </w:p>
        </w:tc>
        <w:tc>
          <w:tcPr>
            <w:tcW w:w="1644" w:type="dxa"/>
            <w:vAlign w:val="center"/>
            <w:hideMark/>
          </w:tcPr>
          <w:p w14:paraId="5863163A" w14:textId="22F5E130"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better</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worse</w:t>
            </w:r>
          </w:p>
        </w:tc>
        <w:tc>
          <w:tcPr>
            <w:tcW w:w="1984" w:type="dxa"/>
            <w:vMerge/>
            <w:vAlign w:val="center"/>
            <w:hideMark/>
          </w:tcPr>
          <w:p w14:paraId="6C589160" w14:textId="77777777" w:rsidR="007A3AA6" w:rsidRPr="00AB143A" w:rsidRDefault="007A3AA6" w:rsidP="00FE711A">
            <w:pPr>
              <w:jc w:val="left"/>
              <w:rPr>
                <w:rFonts w:asciiTheme="majorHAnsi" w:hAnsiTheme="majorHAnsi" w:cstheme="majorHAnsi"/>
                <w:sz w:val="14"/>
                <w:szCs w:val="14"/>
                <w:lang w:val="en-US"/>
              </w:rPr>
            </w:pPr>
          </w:p>
        </w:tc>
      </w:tr>
      <w:tr w:rsidR="007A3AA6" w:rsidRPr="00AB143A" w14:paraId="377B7517" w14:textId="77777777" w:rsidTr="002427FF">
        <w:trPr>
          <w:trHeight w:val="340"/>
        </w:trPr>
        <w:tc>
          <w:tcPr>
            <w:tcW w:w="426" w:type="dxa"/>
            <w:vMerge/>
            <w:noWrap/>
            <w:textDirection w:val="btLr"/>
            <w:vAlign w:val="center"/>
            <w:hideMark/>
          </w:tcPr>
          <w:p w14:paraId="2457CE8A" w14:textId="217D03B2" w:rsidR="007A3AA6" w:rsidRPr="00AB143A" w:rsidRDefault="007A3AA6" w:rsidP="00FE711A">
            <w:pPr>
              <w:jc w:val="center"/>
              <w:rPr>
                <w:rFonts w:asciiTheme="majorHAnsi" w:hAnsiTheme="majorHAnsi" w:cstheme="majorHAnsi"/>
                <w:b/>
                <w:sz w:val="14"/>
                <w:szCs w:val="14"/>
                <w:lang w:val="en-US"/>
              </w:rPr>
            </w:pPr>
          </w:p>
        </w:tc>
        <w:tc>
          <w:tcPr>
            <w:tcW w:w="1077" w:type="dxa"/>
            <w:vMerge/>
            <w:vAlign w:val="center"/>
            <w:hideMark/>
          </w:tcPr>
          <w:p w14:paraId="579B36EF" w14:textId="408411F3" w:rsidR="007A3AA6" w:rsidRPr="00AB143A" w:rsidRDefault="007A3AA6" w:rsidP="00FE711A">
            <w:pPr>
              <w:jc w:val="left"/>
              <w:rPr>
                <w:rFonts w:asciiTheme="majorHAnsi" w:hAnsiTheme="majorHAnsi" w:cstheme="majorHAnsi"/>
                <w:sz w:val="14"/>
                <w:szCs w:val="14"/>
                <w:lang w:val="en-US"/>
              </w:rPr>
            </w:pPr>
          </w:p>
        </w:tc>
        <w:tc>
          <w:tcPr>
            <w:tcW w:w="1474" w:type="dxa"/>
            <w:vAlign w:val="center"/>
            <w:hideMark/>
          </w:tcPr>
          <w:p w14:paraId="78974E81"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Migration stock </w:t>
            </w:r>
          </w:p>
        </w:tc>
        <w:tc>
          <w:tcPr>
            <w:tcW w:w="510" w:type="dxa"/>
            <w:vAlign w:val="center"/>
          </w:tcPr>
          <w:p w14:paraId="36987B02" w14:textId="658BEDED"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5FABA957" w14:textId="52E5025D"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of total population</w:t>
            </w:r>
          </w:p>
        </w:tc>
        <w:tc>
          <w:tcPr>
            <w:tcW w:w="5954" w:type="dxa"/>
            <w:vAlign w:val="center"/>
            <w:hideMark/>
          </w:tcPr>
          <w:p w14:paraId="578C5FD2"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Migrant stock as a percentage of the total population.</w:t>
            </w:r>
          </w:p>
        </w:tc>
        <w:tc>
          <w:tcPr>
            <w:tcW w:w="1644" w:type="dxa"/>
            <w:vAlign w:val="center"/>
            <w:hideMark/>
          </w:tcPr>
          <w:p w14:paraId="3F44E6BD" w14:textId="6BD08EF0"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0: more to </w:t>
            </w:r>
            <w:r w:rsidR="001A0C66" w:rsidRPr="00AB143A">
              <w:rPr>
                <w:rFonts w:asciiTheme="majorHAnsi" w:hAnsiTheme="majorHAnsi" w:cstheme="majorHAnsi"/>
                <w:sz w:val="14"/>
                <w:szCs w:val="14"/>
                <w:lang w:val="en-US"/>
              </w:rPr>
              <w:t>1: less</w:t>
            </w:r>
            <w:r w:rsidRPr="00AB143A">
              <w:rPr>
                <w:rFonts w:asciiTheme="majorHAnsi" w:hAnsiTheme="majorHAnsi" w:cstheme="majorHAnsi"/>
                <w:sz w:val="14"/>
                <w:szCs w:val="14"/>
                <w:lang w:val="en-US"/>
              </w:rPr>
              <w:t xml:space="preserve"> welcome</w:t>
            </w:r>
          </w:p>
        </w:tc>
        <w:tc>
          <w:tcPr>
            <w:tcW w:w="1984" w:type="dxa"/>
            <w:vMerge/>
            <w:vAlign w:val="center"/>
            <w:hideMark/>
          </w:tcPr>
          <w:p w14:paraId="5154A645" w14:textId="77777777" w:rsidR="007A3AA6" w:rsidRPr="00AB143A" w:rsidRDefault="007A3AA6" w:rsidP="00FE711A">
            <w:pPr>
              <w:jc w:val="left"/>
              <w:rPr>
                <w:rFonts w:asciiTheme="majorHAnsi" w:hAnsiTheme="majorHAnsi" w:cstheme="majorHAnsi"/>
                <w:sz w:val="14"/>
                <w:szCs w:val="14"/>
                <w:lang w:val="en-US"/>
              </w:rPr>
            </w:pPr>
          </w:p>
        </w:tc>
      </w:tr>
      <w:tr w:rsidR="007A3AA6" w:rsidRPr="00AB143A" w14:paraId="1B8C5676" w14:textId="77777777" w:rsidTr="002427FF">
        <w:trPr>
          <w:trHeight w:val="340"/>
        </w:trPr>
        <w:tc>
          <w:tcPr>
            <w:tcW w:w="426" w:type="dxa"/>
            <w:vMerge w:val="restart"/>
            <w:noWrap/>
            <w:textDirection w:val="btLr"/>
            <w:vAlign w:val="center"/>
            <w:hideMark/>
          </w:tcPr>
          <w:p w14:paraId="094369AF" w14:textId="77777777" w:rsidR="007A3AA6" w:rsidRPr="00AB143A" w:rsidRDefault="007A3AA6" w:rsidP="00FE711A">
            <w:pPr>
              <w:jc w:val="center"/>
              <w:rPr>
                <w:rFonts w:asciiTheme="majorHAnsi" w:hAnsiTheme="majorHAnsi" w:cstheme="majorHAnsi"/>
                <w:b/>
                <w:sz w:val="14"/>
                <w:szCs w:val="14"/>
                <w:lang w:val="en-US"/>
              </w:rPr>
            </w:pPr>
            <w:r w:rsidRPr="00AB143A">
              <w:rPr>
                <w:rFonts w:asciiTheme="majorHAnsi" w:hAnsiTheme="majorHAnsi" w:cstheme="majorHAnsi"/>
                <w:b/>
                <w:sz w:val="14"/>
                <w:szCs w:val="14"/>
                <w:lang w:val="en-US"/>
              </w:rPr>
              <w:t>Society</w:t>
            </w:r>
          </w:p>
        </w:tc>
        <w:tc>
          <w:tcPr>
            <w:tcW w:w="1077" w:type="dxa"/>
            <w:vAlign w:val="center"/>
            <w:hideMark/>
          </w:tcPr>
          <w:p w14:paraId="7A3A042F" w14:textId="7D2C77AB"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Contribution to Economic Development</w:t>
            </w:r>
          </w:p>
        </w:tc>
        <w:tc>
          <w:tcPr>
            <w:tcW w:w="1474" w:type="dxa"/>
            <w:vAlign w:val="center"/>
            <w:hideMark/>
          </w:tcPr>
          <w:p w14:paraId="1EBF8652"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Unemployment, total </w:t>
            </w:r>
          </w:p>
        </w:tc>
        <w:tc>
          <w:tcPr>
            <w:tcW w:w="510" w:type="dxa"/>
            <w:vAlign w:val="center"/>
          </w:tcPr>
          <w:p w14:paraId="598C64E3" w14:textId="0C1BE431"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3490CC62" w14:textId="0F94C669"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of total labor force</w:t>
            </w:r>
          </w:p>
        </w:tc>
        <w:tc>
          <w:tcPr>
            <w:tcW w:w="5954" w:type="dxa"/>
            <w:vAlign w:val="center"/>
            <w:hideMark/>
          </w:tcPr>
          <w:p w14:paraId="31FDA837"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Percentage of unemployed people as a percentage of the total labor force</w:t>
            </w:r>
          </w:p>
        </w:tc>
        <w:tc>
          <w:tcPr>
            <w:tcW w:w="1644" w:type="dxa"/>
            <w:vAlign w:val="center"/>
            <w:hideMark/>
          </w:tcPr>
          <w:p w14:paraId="6B2B0CEF" w14:textId="565D6E05" w:rsidR="007A3AA6" w:rsidRPr="00AB143A" w:rsidRDefault="001A0C6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better</w:t>
            </w:r>
            <w:r w:rsidR="007A3AA6" w:rsidRPr="00AB143A">
              <w:rPr>
                <w:rFonts w:asciiTheme="majorHAnsi" w:hAnsiTheme="majorHAnsi" w:cstheme="majorHAnsi"/>
                <w:sz w:val="14"/>
                <w:szCs w:val="14"/>
                <w:lang w:val="en-US"/>
              </w:rPr>
              <w:t xml:space="preserve"> to </w:t>
            </w:r>
            <w:r w:rsidRPr="00AB143A">
              <w:rPr>
                <w:rFonts w:asciiTheme="majorHAnsi" w:hAnsiTheme="majorHAnsi" w:cstheme="majorHAnsi"/>
                <w:sz w:val="14"/>
                <w:szCs w:val="14"/>
                <w:lang w:val="en-US"/>
              </w:rPr>
              <w:t>1: worse</w:t>
            </w:r>
          </w:p>
        </w:tc>
        <w:tc>
          <w:tcPr>
            <w:tcW w:w="1984" w:type="dxa"/>
            <w:vAlign w:val="center"/>
            <w:hideMark/>
          </w:tcPr>
          <w:p w14:paraId="0D1D3CEF"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https://data.worldbank.org</w:t>
            </w:r>
          </w:p>
          <w:p w14:paraId="6D9C2D8C" w14:textId="35B75FBC"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w:t>
            </w:r>
          </w:p>
        </w:tc>
      </w:tr>
      <w:tr w:rsidR="007A3AA6" w:rsidRPr="000D0760" w14:paraId="59DA59F5" w14:textId="77777777" w:rsidTr="002427FF">
        <w:trPr>
          <w:trHeight w:val="340"/>
        </w:trPr>
        <w:tc>
          <w:tcPr>
            <w:tcW w:w="426" w:type="dxa"/>
            <w:vMerge/>
            <w:noWrap/>
            <w:textDirection w:val="btLr"/>
            <w:vAlign w:val="center"/>
            <w:hideMark/>
          </w:tcPr>
          <w:p w14:paraId="6BC0A859" w14:textId="77777777" w:rsidR="007A3AA6" w:rsidRPr="00AB143A" w:rsidRDefault="007A3AA6" w:rsidP="00FE711A">
            <w:pPr>
              <w:jc w:val="left"/>
              <w:rPr>
                <w:rFonts w:asciiTheme="majorHAnsi" w:hAnsiTheme="majorHAnsi" w:cstheme="majorHAnsi"/>
                <w:sz w:val="14"/>
                <w:szCs w:val="14"/>
                <w:lang w:val="en-US"/>
              </w:rPr>
            </w:pPr>
          </w:p>
        </w:tc>
        <w:tc>
          <w:tcPr>
            <w:tcW w:w="1077" w:type="dxa"/>
            <w:vAlign w:val="center"/>
            <w:hideMark/>
          </w:tcPr>
          <w:p w14:paraId="5907619B"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Corruption </w:t>
            </w:r>
          </w:p>
        </w:tc>
        <w:tc>
          <w:tcPr>
            <w:tcW w:w="1474" w:type="dxa"/>
            <w:vAlign w:val="center"/>
            <w:hideMark/>
          </w:tcPr>
          <w:p w14:paraId="0B385A24"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Corruption perception index </w:t>
            </w:r>
          </w:p>
        </w:tc>
        <w:tc>
          <w:tcPr>
            <w:tcW w:w="510" w:type="dxa"/>
            <w:vAlign w:val="center"/>
          </w:tcPr>
          <w:p w14:paraId="23EF110B" w14:textId="6679F2C9" w:rsidR="007A3AA6" w:rsidRPr="00AB143A" w:rsidRDefault="007A3AA6" w:rsidP="007A3AA6">
            <w:pPr>
              <w:jc w:val="left"/>
              <w:rPr>
                <w:rFonts w:asciiTheme="majorHAnsi" w:hAnsiTheme="majorHAnsi" w:cstheme="majorHAnsi"/>
                <w:sz w:val="14"/>
                <w:szCs w:val="14"/>
                <w:lang w:val="en-US"/>
              </w:rPr>
            </w:pPr>
            <w:r>
              <w:rPr>
                <w:rFonts w:asciiTheme="majorHAnsi" w:hAnsiTheme="majorHAnsi" w:cstheme="majorHAnsi"/>
                <w:sz w:val="14"/>
                <w:szCs w:val="14"/>
                <w:lang w:val="en-US"/>
              </w:rPr>
              <w:t>2017</w:t>
            </w:r>
          </w:p>
        </w:tc>
        <w:tc>
          <w:tcPr>
            <w:tcW w:w="1020" w:type="dxa"/>
            <w:vAlign w:val="center"/>
            <w:hideMark/>
          </w:tcPr>
          <w:p w14:paraId="0BE6E0F6" w14:textId="1D06AB8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 xml:space="preserve">0 "high corrupt" to 100 "very clean" </w:t>
            </w:r>
          </w:p>
        </w:tc>
        <w:tc>
          <w:tcPr>
            <w:tcW w:w="5954" w:type="dxa"/>
            <w:vAlign w:val="center"/>
            <w:hideMark/>
          </w:tcPr>
          <w:p w14:paraId="3350F497" w14:textId="7C0FA4F1"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Experts and business executives assess a number of corrupt behaviors in the public sector, including bribery, diversion of public funds, use of public office for private gain, nepotism in the civil service, state capture</w:t>
            </w:r>
          </w:p>
        </w:tc>
        <w:tc>
          <w:tcPr>
            <w:tcW w:w="1644" w:type="dxa"/>
            <w:vAlign w:val="center"/>
            <w:hideMark/>
          </w:tcPr>
          <w:p w14:paraId="43C419AD" w14:textId="77777777"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0: very clean to 1: high corrupt</w:t>
            </w:r>
          </w:p>
        </w:tc>
        <w:tc>
          <w:tcPr>
            <w:tcW w:w="1984" w:type="dxa"/>
            <w:vAlign w:val="center"/>
            <w:hideMark/>
          </w:tcPr>
          <w:p w14:paraId="5519CD00" w14:textId="3D6EC0DA" w:rsidR="007A3AA6" w:rsidRPr="00AB143A" w:rsidRDefault="007A3AA6" w:rsidP="00FE711A">
            <w:pPr>
              <w:jc w:val="left"/>
              <w:rPr>
                <w:rFonts w:asciiTheme="majorHAnsi" w:hAnsiTheme="majorHAnsi" w:cstheme="majorHAnsi"/>
                <w:sz w:val="14"/>
                <w:szCs w:val="14"/>
                <w:lang w:val="en-US"/>
              </w:rPr>
            </w:pPr>
            <w:r w:rsidRPr="00AB143A">
              <w:rPr>
                <w:rFonts w:asciiTheme="majorHAnsi" w:hAnsiTheme="majorHAnsi" w:cstheme="majorHAnsi"/>
                <w:sz w:val="14"/>
                <w:szCs w:val="14"/>
                <w:lang w:val="en-US"/>
              </w:rPr>
              <w:t>https://www.transparency.org/news/feature/corruption_perceptions_index_2017#table</w:t>
            </w:r>
          </w:p>
        </w:tc>
      </w:tr>
    </w:tbl>
    <w:p w14:paraId="51E5FE6D" w14:textId="1321054B" w:rsidR="00DC20CF" w:rsidRDefault="00DC20CF" w:rsidP="00215082">
      <w:pPr>
        <w:rPr>
          <w:lang w:val="en-US"/>
        </w:rPr>
      </w:pPr>
    </w:p>
    <w:p w14:paraId="47E73B08" w14:textId="77777777" w:rsidR="00DC20CF" w:rsidRPr="00DC20CF" w:rsidRDefault="00DC20CF" w:rsidP="00DC20CF">
      <w:pPr>
        <w:rPr>
          <w:lang w:val="en-US"/>
        </w:rPr>
      </w:pPr>
    </w:p>
    <w:p w14:paraId="63BB1D8C" w14:textId="58DB07A3" w:rsidR="000D2D86" w:rsidRDefault="000D0760" w:rsidP="00DC20CF">
      <w:pPr>
        <w:rPr>
          <w:lang w:val="en-US"/>
        </w:rPr>
        <w:sectPr w:rsidR="000D2D86" w:rsidSect="00021DBD">
          <w:pgSz w:w="16838" w:h="11906" w:orient="landscape"/>
          <w:pgMar w:top="1417" w:right="1417" w:bottom="1417" w:left="1134" w:header="708" w:footer="708" w:gutter="0"/>
          <w:cols w:space="708"/>
          <w:docGrid w:linePitch="360"/>
        </w:sectPr>
      </w:pPr>
      <w:sdt>
        <w:sdtPr>
          <w:rPr>
            <w:color w:val="FFFFFF" w:themeColor="background1"/>
            <w:lang w:val="en-US"/>
          </w:rPr>
          <w:alias w:val="Don't edit this field"/>
          <w:tag w:val="CitaviPlaceholder#0331de4a-37da-41a4-bc6c-9c6e20d2d49a"/>
          <w:id w:val="-1729363008"/>
          <w:placeholder>
            <w:docPart w:val="3FD294299D054A8081A9DC662107C069"/>
          </w:placeholder>
        </w:sdtPr>
        <w:sdtEndPr/>
        <w:sdtContent>
          <w:r w:rsidR="000D2D86" w:rsidRPr="00DC20CF">
            <w:rPr>
              <w:color w:val="FFFFFF" w:themeColor="background1"/>
              <w:lang w:val="en-US"/>
            </w:rPr>
            <w:fldChar w:fldCharType="begin"/>
          </w:r>
          <w:r w:rsidR="000D2D86">
            <w:rPr>
              <w:color w:val="FFFFFF" w:themeColor="background1"/>
              <w:lang w:val="en-US"/>
            </w:rPr>
            <w:instrText>ADDIN CitaviPlaceholder{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}</w:instrText>
          </w:r>
          <w:r w:rsidR="000D2D86" w:rsidRPr="00DC20CF">
            <w:rPr>
              <w:color w:val="FFFFFF" w:themeColor="background1"/>
              <w:lang w:val="en-US"/>
            </w:rPr>
            <w:fldChar w:fldCharType="separate"/>
          </w:r>
          <w:r w:rsidR="000D2D86">
            <w:rPr>
              <w:color w:val="FFFFFF" w:themeColor="background1"/>
              <w:lang w:val="en-US"/>
            </w:rPr>
            <w:t>(SHDB 2019)</w:t>
          </w:r>
          <w:r w:rsidR="000D2D86" w:rsidRPr="00DC20CF">
            <w:rPr>
              <w:color w:val="FFFFFF" w:themeColor="background1"/>
              <w:lang w:val="en-US"/>
            </w:rPr>
            <w:fldChar w:fldCharType="end"/>
          </w:r>
        </w:sdtContent>
      </w:sdt>
    </w:p>
    <w:p w14:paraId="3616B553" w14:textId="1E10C54B" w:rsidR="00DC20CF" w:rsidRPr="00DC20CF" w:rsidRDefault="000D2D86" w:rsidP="000D2D86">
      <w:pPr>
        <w:pStyle w:val="berschrift1"/>
        <w:rPr>
          <w:lang w:val="en-US"/>
        </w:rPr>
      </w:pPr>
      <w:r>
        <w:rPr>
          <w:lang w:val="en-US"/>
        </w:rPr>
        <w:lastRenderedPageBreak/>
        <w:t>Uncertainty Analysis of the generic S-LCA</w:t>
      </w:r>
    </w:p>
    <w:p w14:paraId="7D3F1EB1" w14:textId="77777777" w:rsidR="000D2D86" w:rsidRDefault="000D2D86" w:rsidP="000D2D86">
      <w:pPr>
        <w:rPr>
          <w:lang w:val="en-US"/>
        </w:rPr>
      </w:pPr>
      <w:r>
        <w:rPr>
          <w:lang w:val="en-US"/>
        </w:rPr>
        <w:t>A</w:t>
      </w:r>
      <w:r w:rsidRPr="00B167B6">
        <w:rPr>
          <w:lang w:val="en-US"/>
        </w:rPr>
        <w:t>nalytical calculations are used</w:t>
      </w:r>
      <w:r>
        <w:rPr>
          <w:lang w:val="en-US"/>
        </w:rPr>
        <w:t xml:space="preserve"> to perform</w:t>
      </w:r>
      <w:r w:rsidRPr="00B167B6">
        <w:rPr>
          <w:lang w:val="en-US"/>
        </w:rPr>
        <w:t xml:space="preserve"> a Monte Carlo sampling to obtain probability distributions for the various </w:t>
      </w:r>
      <w:r>
        <w:rPr>
          <w:lang w:val="en-US"/>
        </w:rPr>
        <w:t>indicators</w:t>
      </w:r>
      <w:r w:rsidRPr="00B167B6">
        <w:rPr>
          <w:lang w:val="en-US"/>
        </w:rPr>
        <w:t>. For this, two assumptions need to be made:</w:t>
      </w:r>
    </w:p>
    <w:p w14:paraId="79897A70" w14:textId="77777777" w:rsidR="000D2D86" w:rsidRDefault="000D2D86" w:rsidP="000D2D86">
      <w:pPr>
        <w:pStyle w:val="Listenabsatz"/>
        <w:numPr>
          <w:ilvl w:val="0"/>
          <w:numId w:val="22"/>
        </w:numPr>
        <w:spacing w:after="160" w:line="259" w:lineRule="auto"/>
        <w:rPr>
          <w:lang w:val="en-US"/>
        </w:rPr>
      </w:pPr>
      <w:r w:rsidRPr="00B167B6">
        <w:rPr>
          <w:lang w:val="en-US"/>
        </w:rPr>
        <w:t>Since the various indicators are obtained from different sources and concern very different aspects of social sustainability, the uncertainties of the values are uncorrelated from each other to a very good approximation.</w:t>
      </w:r>
    </w:p>
    <w:p w14:paraId="2A2B0A8F" w14:textId="4037F02E" w:rsidR="000D2D86" w:rsidRPr="00B167B6" w:rsidRDefault="000D2D86" w:rsidP="000D2D86">
      <w:pPr>
        <w:pStyle w:val="Listenabsatz"/>
        <w:numPr>
          <w:ilvl w:val="0"/>
          <w:numId w:val="22"/>
        </w:numPr>
        <w:spacing w:after="160" w:line="259" w:lineRule="auto"/>
        <w:rPr>
          <w:lang w:val="en-US"/>
        </w:rPr>
      </w:pPr>
      <w:r w:rsidRPr="00B167B6">
        <w:rPr>
          <w:lang w:val="en-US"/>
        </w:rPr>
        <w:t xml:space="preserve">The uncertainties of the individual indicators are modeled using gaussian probability distributions </w:t>
      </w:r>
      <m:oMath>
        <m:r>
          <w:rPr>
            <w:rFonts w:ascii="Cambria Math" w:hAnsi="Cambria Math"/>
            <w:lang w:val="en-US"/>
          </w:rPr>
          <m:t>p</m:t>
        </m:r>
        <m:d>
          <m:dPr>
            <m:ctrlPr>
              <w:rPr>
                <w:rFonts w:ascii="Cambria Math" w:hAnsi="Cambria Math"/>
                <w:i/>
                <w:lang w:val="en-US"/>
              </w:rPr>
            </m:ctrlPr>
          </m:dPr>
          <m:e>
            <m:r>
              <w:rPr>
                <w:rFonts w:ascii="Cambria Math" w:hAnsi="Cambria Math"/>
                <w:lang w:val="en-US"/>
              </w:rPr>
              <m:t>x</m:t>
            </m:r>
          </m:e>
        </m:d>
        <m:r>
          <w:rPr>
            <w:rFonts w:ascii="Cambria Math" w:hAnsi="Cambria Math"/>
            <w:lang w:val="en-US"/>
          </w:rPr>
          <m:t>= N</m:t>
        </m:r>
        <m:d>
          <m:dPr>
            <m:ctrlPr>
              <w:rPr>
                <w:rFonts w:ascii="Cambria Math" w:hAnsi="Cambria Math"/>
                <w:i/>
                <w:lang w:val="en-US"/>
              </w:rPr>
            </m:ctrlPr>
          </m:dPr>
          <m:e>
            <m:r>
              <w:rPr>
                <w:rFonts w:ascii="Cambria Math" w:hAnsi="Cambria Math"/>
                <w:lang w:val="en-US"/>
              </w:rPr>
              <m:t>x</m:t>
            </m:r>
          </m:e>
          <m:e>
            <m:r>
              <w:rPr>
                <w:rFonts w:ascii="Cambria Math" w:hAnsi="Cambria Math"/>
                <w:lang w:val="en-US"/>
              </w:rPr>
              <m:t>μ,σ</m:t>
            </m:r>
          </m:e>
        </m:d>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1</m:t>
            </m:r>
          </m:num>
          <m:den>
            <m:rad>
              <m:radPr>
                <m:degHide m:val="1"/>
                <m:ctrlPr>
                  <w:rPr>
                    <w:rFonts w:ascii="Cambria Math" w:hAnsi="Cambria Math"/>
                    <w:i/>
                    <w:lang w:val="en-US"/>
                  </w:rPr>
                </m:ctrlPr>
              </m:radPr>
              <m:deg/>
              <m:e>
                <m:r>
                  <w:rPr>
                    <w:rFonts w:ascii="Cambria Math" w:hAnsi="Cambria Math"/>
                    <w:lang w:val="en-US"/>
                  </w:rPr>
                  <m:t>2π</m:t>
                </m:r>
                <m:sSup>
                  <m:sSupPr>
                    <m:ctrlPr>
                      <w:rPr>
                        <w:rFonts w:ascii="Cambria Math" w:hAnsi="Cambria Math"/>
                        <w:i/>
                        <w:lang w:val="en-US"/>
                      </w:rPr>
                    </m:ctrlPr>
                  </m:sSupPr>
                  <m:e>
                    <m:r>
                      <w:rPr>
                        <w:rFonts w:ascii="Cambria Math" w:hAnsi="Cambria Math"/>
                        <w:lang w:val="en-US"/>
                      </w:rPr>
                      <m:t>σ</m:t>
                    </m:r>
                  </m:e>
                  <m:sup>
                    <m:r>
                      <w:rPr>
                        <w:rFonts w:ascii="Cambria Math" w:hAnsi="Cambria Math"/>
                        <w:lang w:val="en-US"/>
                      </w:rPr>
                      <m:t>2</m:t>
                    </m:r>
                  </m:sup>
                </m:sSup>
              </m:e>
            </m:rad>
          </m:den>
        </m:f>
        <m:sSup>
          <m:sSupPr>
            <m:ctrlPr>
              <w:rPr>
                <w:rFonts w:ascii="Cambria Math" w:hAnsi="Cambria Math"/>
                <w:i/>
                <w:lang w:val="en-US"/>
              </w:rPr>
            </m:ctrlPr>
          </m:sSupPr>
          <m:e>
            <m:r>
              <w:rPr>
                <w:rFonts w:ascii="Cambria Math" w:hAnsi="Cambria Math"/>
                <w:lang w:val="en-US"/>
              </w:rPr>
              <m:t>e</m:t>
            </m:r>
          </m:e>
          <m:sup>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(x-μ)</m:t>
                    </m:r>
                  </m:e>
                  <m:sup>
                    <m:r>
                      <w:rPr>
                        <w:rFonts w:ascii="Cambria Math" w:hAnsi="Cambria Math"/>
                        <w:lang w:val="en-US"/>
                      </w:rPr>
                      <m:t>2</m:t>
                    </m:r>
                  </m:sup>
                </m:sSup>
              </m:num>
              <m:den>
                <m:r>
                  <w:rPr>
                    <w:rFonts w:ascii="Cambria Math" w:hAnsi="Cambria Math"/>
                    <w:lang w:val="en-US"/>
                  </w:rPr>
                  <m:t>x</m:t>
                </m:r>
                <m:sSup>
                  <m:sSupPr>
                    <m:ctrlPr>
                      <w:rPr>
                        <w:rFonts w:ascii="Cambria Math" w:hAnsi="Cambria Math"/>
                        <w:i/>
                        <w:lang w:val="en-US"/>
                      </w:rPr>
                    </m:ctrlPr>
                  </m:sSupPr>
                  <m:e>
                    <m:r>
                      <w:rPr>
                        <w:rFonts w:ascii="Cambria Math" w:hAnsi="Cambria Math"/>
                        <w:lang w:val="en-US"/>
                      </w:rPr>
                      <m:t>σ</m:t>
                    </m:r>
                  </m:e>
                  <m:sup>
                    <m:r>
                      <w:rPr>
                        <w:rFonts w:ascii="Cambria Math" w:hAnsi="Cambria Math"/>
                        <w:lang w:val="en-US"/>
                      </w:rPr>
                      <m:t>2</m:t>
                    </m:r>
                  </m:sup>
                </m:sSup>
              </m:den>
            </m:f>
          </m:sup>
        </m:sSup>
      </m:oMath>
      <w:r>
        <w:rPr>
          <w:lang w:val="en-US"/>
        </w:rPr>
        <w:t xml:space="preserve"> w</w:t>
      </w:r>
      <w:proofErr w:type="spellStart"/>
      <w:r w:rsidRPr="00B167B6">
        <w:rPr>
          <w:lang w:val="en-US"/>
        </w:rPr>
        <w:t>ith</w:t>
      </w:r>
      <w:proofErr w:type="spellEnd"/>
      <w:r w:rsidRPr="00B167B6">
        <w:rPr>
          <w:lang w:val="en-US"/>
        </w:rPr>
        <w:t xml:space="preserve"> mean </w:t>
      </w:r>
      <m:oMath>
        <m:r>
          <w:rPr>
            <w:rFonts w:ascii="Cambria Math" w:hAnsi="Cambria Math"/>
            <w:lang w:val="en-US"/>
          </w:rPr>
          <m:t>μ</m:t>
        </m:r>
      </m:oMath>
      <w:r w:rsidRPr="00B167B6">
        <w:rPr>
          <w:lang w:val="en-US"/>
        </w:rPr>
        <w:t xml:space="preserve"> and standard deviation (SD)</w:t>
      </w:r>
      <w:r>
        <w:rPr>
          <w:lang w:val="en-US"/>
        </w:rPr>
        <w:t xml:space="preserve"> </w:t>
      </w:r>
      <m:oMath>
        <m:r>
          <w:rPr>
            <w:rFonts w:ascii="Cambria Math" w:hAnsi="Cambria Math"/>
            <w:lang w:val="en-US"/>
          </w:rPr>
          <m:t>σ</m:t>
        </m:r>
      </m:oMath>
      <w:r w:rsidRPr="00B167B6">
        <w:rPr>
          <w:lang w:val="en-US"/>
        </w:rPr>
        <w:t>. This is a good approximation because the indicators used in this study are often aggregates (</w:t>
      </w:r>
      <w:r>
        <w:rPr>
          <w:lang w:val="en-US"/>
        </w:rPr>
        <w:t>e.g. global rights index, human development index or government response rating</w:t>
      </w:r>
      <w:r w:rsidRPr="00B167B6">
        <w:rPr>
          <w:lang w:val="en-US"/>
        </w:rPr>
        <w:t>) of quite a number of other indicators and are therefore normally distributed according to the central limit theorem</w:t>
      </w:r>
      <w:r>
        <w:rPr>
          <w:lang w:val="en-US"/>
        </w:rPr>
        <w:t xml:space="preserve"> </w:t>
      </w:r>
      <w:sdt>
        <w:sdtPr>
          <w:rPr>
            <w:lang w:val="en-US"/>
          </w:rPr>
          <w:alias w:val="To edit, see citavi.com/edit"/>
          <w:tag w:val="CitaviPlaceholder#ce3c66c6-e8ba-4504-b04f-6f61941659be"/>
          <w:id w:val="-682668310"/>
          <w:placeholder>
            <w:docPart w:val="EB908C1B81AC429E80410297ECF857C5"/>
          </w:placeholder>
        </w:sdtPr>
        <w:sdtEndPr/>
        <w:sdtContent>
          <w:r>
            <w:rPr>
              <w:noProof/>
              <w:lang w:val="en-US"/>
            </w:rPr>
            <w:fldChar w:fldCharType="begin"/>
          </w:r>
          <w:r w:rsidR="008827F6">
            <w:rPr>
              <w:noProof/>
              <w:lang w:val="en-US"/>
            </w:rPr>
            <w:instrText>ADDIN CitaviPlaceholder{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}</w:instrText>
          </w:r>
          <w:r>
            <w:rPr>
              <w:noProof/>
              <w:lang w:val="en-US"/>
            </w:rPr>
            <w:fldChar w:fldCharType="separate"/>
          </w:r>
          <w:r>
            <w:rPr>
              <w:noProof/>
              <w:lang w:val="en-US"/>
            </w:rPr>
            <w:t>(von der Linden et al. 2014)</w:t>
          </w:r>
          <w:r>
            <w:rPr>
              <w:noProof/>
              <w:lang w:val="en-US"/>
            </w:rPr>
            <w:fldChar w:fldCharType="end"/>
          </w:r>
        </w:sdtContent>
      </w:sdt>
      <w:r w:rsidRPr="00B167B6">
        <w:rPr>
          <w:lang w:val="en-US"/>
        </w:rPr>
        <w:t>. Additionally, as long as only the mean and variance of a distribution are known, a gaussian is the distribution for which the least amount of additional information is necessary (maximum entropy distribution)</w:t>
      </w:r>
      <w:r>
        <w:rPr>
          <w:lang w:val="en-US"/>
        </w:rPr>
        <w:t xml:space="preserve"> </w:t>
      </w:r>
      <w:sdt>
        <w:sdtPr>
          <w:rPr>
            <w:lang w:val="en-US"/>
          </w:rPr>
          <w:alias w:val="To edit, see citavi.com/edit"/>
          <w:tag w:val="CitaviPlaceholder#5d205232-6ab6-4ae3-96de-6a09fcc0ceb5"/>
          <w:id w:val="345379177"/>
          <w:placeholder>
            <w:docPart w:val="EB908C1B81AC429E80410297ECF857C5"/>
          </w:placeholder>
        </w:sdtPr>
        <w:sdtEndPr/>
        <w:sdtContent>
          <w:r>
            <w:rPr>
              <w:noProof/>
              <w:lang w:val="en-US"/>
            </w:rPr>
            <w:fldChar w:fldCharType="begin"/>
          </w:r>
          <w:r w:rsidR="008827F6">
            <w:rPr>
              <w:noProof/>
              <w:lang w:val="en-US"/>
            </w:rPr>
            <w:instrText>ADDIN CitaviPlaceholder{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}</w:instrText>
          </w:r>
          <w:r>
            <w:rPr>
              <w:noProof/>
              <w:lang w:val="en-US"/>
            </w:rPr>
            <w:fldChar w:fldCharType="separate"/>
          </w:r>
          <w:r>
            <w:rPr>
              <w:noProof/>
              <w:lang w:val="en-US"/>
            </w:rPr>
            <w:t>(von der Linden et al. 2014)</w:t>
          </w:r>
          <w:r>
            <w:rPr>
              <w:noProof/>
              <w:lang w:val="en-US"/>
            </w:rPr>
            <w:fldChar w:fldCharType="end"/>
          </w:r>
        </w:sdtContent>
      </w:sdt>
      <w:r w:rsidRPr="00B167B6">
        <w:rPr>
          <w:lang w:val="en-US"/>
        </w:rPr>
        <w:t>.</w:t>
      </w:r>
    </w:p>
    <w:p w14:paraId="5040CAC4" w14:textId="1998E4A0" w:rsidR="000D2D86" w:rsidRPr="00B167B6" w:rsidRDefault="000D2D86" w:rsidP="000D2D86">
      <w:pPr>
        <w:rPr>
          <w:lang w:val="en-US"/>
        </w:rPr>
      </w:pPr>
      <w:r w:rsidRPr="00B167B6">
        <w:rPr>
          <w:lang w:val="en-US"/>
        </w:rPr>
        <w:t xml:space="preserve">With those two plausible assumptions, the analysis of the uncertainties of the indicators can be performed analytically. The only knowledge necessary is how the distribution of random variables change under the transformations used in the normalization of the data and how they transform when the weighted average is taken. During the normalization of the data a series of transformations on the random variable (the original indicator) is performed which might change the SD and possible also the distribution itself. Fortunately, all transformations necessary result again in a Gaussian distribution with a different mean and SD. While inversion of a random variable </w:t>
      </w:r>
      <m:oMath>
        <m:r>
          <w:rPr>
            <w:rFonts w:ascii="Cambria Math" w:hAnsi="Cambria Math"/>
            <w:lang w:val="en-US"/>
          </w:rPr>
          <m:t>x → -x</m:t>
        </m:r>
      </m:oMath>
      <w:r w:rsidRPr="00B167B6">
        <w:rPr>
          <w:lang w:val="en-US"/>
        </w:rPr>
        <w:t xml:space="preserve"> as well as a shift</w:t>
      </w:r>
      <w:r>
        <w:rPr>
          <w:lang w:val="en-US"/>
        </w:rPr>
        <w:t xml:space="preserve"> </w:t>
      </w:r>
      <w:r w:rsidRPr="00B167B6">
        <w:rPr>
          <w:lang w:val="en-US"/>
        </w:rPr>
        <w:t xml:space="preserve"> </w:t>
      </w:r>
      <m:oMath>
        <m:r>
          <w:rPr>
            <w:rFonts w:ascii="Cambria Math" w:hAnsi="Cambria Math"/>
            <w:lang w:val="en-US"/>
          </w:rPr>
          <m:t xml:space="preserve">x → x+ </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0</m:t>
            </m:r>
          </m:sub>
        </m:sSub>
        <m:r>
          <w:rPr>
            <w:rFonts w:ascii="Cambria Math" w:hAnsi="Cambria Math"/>
            <w:lang w:val="en-US"/>
          </w:rPr>
          <m:t xml:space="preserve"> </m:t>
        </m:r>
      </m:oMath>
      <w:r w:rsidRPr="00B167B6">
        <w:rPr>
          <w:lang w:val="en-US"/>
        </w:rPr>
        <w:t xml:space="preserve"> for any </w:t>
      </w:r>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0</m:t>
            </m:r>
          </m:sub>
        </m:sSub>
      </m:oMath>
      <w:r w:rsidRPr="00B167B6">
        <w:rPr>
          <w:lang w:val="en-US"/>
        </w:rPr>
        <w:t xml:space="preserve"> only affect the mean of the transformed variable, a multiplication with some factor </w:t>
      </w:r>
      <m:oMath>
        <m:r>
          <w:rPr>
            <w:rFonts w:ascii="Cambria Math" w:hAnsi="Cambria Math"/>
            <w:lang w:val="en-US"/>
          </w:rPr>
          <m:t>z → αz</m:t>
        </m:r>
      </m:oMath>
      <w:r w:rsidRPr="00B167B6">
        <w:rPr>
          <w:lang w:val="en-US"/>
        </w:rPr>
        <w:t xml:space="preserve"> a</w:t>
      </w:r>
      <w:proofErr w:type="spellStart"/>
      <w:r w:rsidRPr="00B167B6">
        <w:rPr>
          <w:lang w:val="en-US"/>
        </w:rPr>
        <w:t>lso</w:t>
      </w:r>
      <w:proofErr w:type="spellEnd"/>
      <w:r w:rsidRPr="00B167B6">
        <w:rPr>
          <w:lang w:val="en-US"/>
        </w:rPr>
        <w:t xml:space="preserve"> changes</w:t>
      </w:r>
      <w:r>
        <w:rPr>
          <w:lang w:val="en-US"/>
        </w:rPr>
        <w:t xml:space="preserve"> </w:t>
      </w:r>
      <m:oMath>
        <m:r>
          <w:rPr>
            <w:rFonts w:ascii="Cambria Math" w:hAnsi="Cambria Math"/>
            <w:lang w:val="en-US"/>
          </w:rPr>
          <m:t>σ →|α|σ</m:t>
        </m:r>
      </m:oMath>
      <w:r w:rsidRPr="00B167B6">
        <w:rPr>
          <w:lang w:val="en-US"/>
        </w:rPr>
        <w:t xml:space="preserve"> </w:t>
      </w:r>
    </w:p>
    <w:p w14:paraId="60AFB198" w14:textId="49484308" w:rsidR="000D2D86" w:rsidRPr="00B167B6" w:rsidRDefault="000D2D86" w:rsidP="000D2D86">
      <w:pPr>
        <w:rPr>
          <w:lang w:val="en-US"/>
        </w:rPr>
      </w:pPr>
      <w:r w:rsidRPr="00B167B6">
        <w:rPr>
          <w:lang w:val="en-US"/>
        </w:rPr>
        <w:t xml:space="preserve">Similarly, a weighted average of random variables variable </w:t>
      </w:r>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oMath>
      <w:r w:rsidRPr="00B167B6">
        <w:rPr>
          <w:lang w:val="en-US"/>
        </w:rPr>
        <w:t xml:space="preserve"> with SD </w:t>
      </w:r>
      <m:oMath>
        <m:sSub>
          <m:sSubPr>
            <m:ctrlPr>
              <w:rPr>
                <w:rFonts w:ascii="Cambria Math" w:hAnsi="Cambria Math"/>
                <w:i/>
                <w:lang w:val="en-US"/>
              </w:rPr>
            </m:ctrlPr>
          </m:sSubPr>
          <m:e>
            <m:r>
              <w:rPr>
                <w:rFonts w:ascii="Cambria Math" w:hAnsi="Cambria Math"/>
                <w:lang w:val="en-US"/>
              </w:rPr>
              <m:t>σ</m:t>
            </m:r>
          </m:e>
          <m:sub>
            <m:r>
              <w:rPr>
                <w:rFonts w:ascii="Cambria Math" w:hAnsi="Cambria Math"/>
                <w:lang w:val="en-US"/>
              </w:rPr>
              <m:t>i</m:t>
            </m:r>
          </m:sub>
        </m:sSub>
      </m:oMath>
      <w:r w:rsidRPr="00B167B6">
        <w:rPr>
          <w:lang w:val="en-US"/>
        </w:rPr>
        <w:t xml:space="preserve"> and weight </w:t>
      </w:r>
      <m:oMath>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i</m:t>
            </m:r>
          </m:sub>
        </m:sSub>
      </m:oMath>
      <w:r w:rsidRPr="00B167B6">
        <w:rPr>
          <w:lang w:val="en-US"/>
        </w:rPr>
        <w:t xml:space="preserve">, i.e, </w:t>
      </w:r>
      <m:oMath>
        <m:r>
          <w:rPr>
            <w:rFonts w:ascii="Cambria Math" w:hAnsi="Cambria Math"/>
            <w:lang w:val="en-US"/>
          </w:rPr>
          <m:t xml:space="preserve">x= </m:t>
        </m:r>
        <m:nary>
          <m:naryPr>
            <m:chr m:val="∑"/>
            <m:limLoc m:val="undOvr"/>
            <m:subHide m:val="1"/>
            <m:supHide m:val="1"/>
            <m:ctrlPr>
              <w:rPr>
                <w:rFonts w:ascii="Cambria Math" w:hAnsi="Cambria Math"/>
                <w:i/>
                <w:lang w:val="en-US"/>
              </w:rPr>
            </m:ctrlPr>
          </m:naryPr>
          <m:sub/>
          <m:sup/>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e>
        </m:nary>
      </m:oMath>
      <w:r>
        <w:rPr>
          <w:lang w:val="en-US"/>
        </w:rPr>
        <w:t xml:space="preserve"> </w:t>
      </w:r>
      <w:r w:rsidRPr="00B167B6">
        <w:rPr>
          <w:lang w:val="en-US"/>
        </w:rPr>
        <w:t xml:space="preserve"> changes the standard deviation to</w:t>
      </w:r>
      <w:r>
        <w:rPr>
          <w:lang w:val="en-US"/>
        </w:rPr>
        <w:t xml:space="preserve"> </w:t>
      </w:r>
      <m:oMath>
        <m:r>
          <w:rPr>
            <w:rFonts w:ascii="Cambria Math" w:hAnsi="Cambria Math"/>
            <w:lang w:val="en-US"/>
          </w:rPr>
          <m:t xml:space="preserve">σ= </m:t>
        </m:r>
        <m:rad>
          <m:radPr>
            <m:degHide m:val="1"/>
            <m:ctrlPr>
              <w:rPr>
                <w:rFonts w:ascii="Cambria Math" w:hAnsi="Cambria Math"/>
                <w:i/>
                <w:lang w:val="en-US"/>
              </w:rPr>
            </m:ctrlPr>
          </m:radPr>
          <m:deg/>
          <m:e>
            <m:nary>
              <m:naryPr>
                <m:chr m:val="∑"/>
                <m:limLoc m:val="undOvr"/>
                <m:subHide m:val="1"/>
                <m:supHide m:val="1"/>
                <m:ctrlPr>
                  <w:rPr>
                    <w:rFonts w:ascii="Cambria Math" w:hAnsi="Cambria Math"/>
                    <w:i/>
                    <w:lang w:val="en-US"/>
                  </w:rPr>
                </m:ctrlPr>
              </m:naryPr>
              <m:sub/>
              <m:sup/>
              <m:e>
                <m:sSup>
                  <m:sSupPr>
                    <m:ctrlPr>
                      <w:rPr>
                        <w:rFonts w:ascii="Cambria Math" w:hAnsi="Cambria Math"/>
                        <w:i/>
                        <w:lang w:val="en-US"/>
                      </w:rPr>
                    </m:ctrlPr>
                  </m:sSupPr>
                  <m:e>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σ</m:t>
                        </m:r>
                      </m:e>
                      <m:sub>
                        <m:r>
                          <w:rPr>
                            <w:rFonts w:ascii="Cambria Math" w:hAnsi="Cambria Math"/>
                            <w:lang w:val="en-US"/>
                          </w:rPr>
                          <m:t>i</m:t>
                        </m:r>
                      </m:sub>
                    </m:sSub>
                    <m:r>
                      <w:rPr>
                        <w:rFonts w:ascii="Cambria Math" w:hAnsi="Cambria Math"/>
                        <w:lang w:val="en-US"/>
                      </w:rPr>
                      <m:t>)</m:t>
                    </m:r>
                  </m:e>
                  <m:sup>
                    <m:r>
                      <w:rPr>
                        <w:rFonts w:ascii="Cambria Math" w:hAnsi="Cambria Math"/>
                        <w:lang w:val="en-US"/>
                      </w:rPr>
                      <m:t>2</m:t>
                    </m:r>
                  </m:sup>
                </m:sSup>
              </m:e>
            </m:nary>
          </m:e>
        </m:rad>
      </m:oMath>
      <w:r w:rsidRPr="00B167B6">
        <w:rPr>
          <w:lang w:val="en-US"/>
        </w:rPr>
        <w:t>. With this the distribution of the indicators can be calculated direc</w:t>
      </w:r>
      <w:proofErr w:type="spellStart"/>
      <w:r w:rsidRPr="00B167B6">
        <w:rPr>
          <w:lang w:val="en-US"/>
        </w:rPr>
        <w:t>tly</w:t>
      </w:r>
      <w:proofErr w:type="spellEnd"/>
      <w:r w:rsidRPr="00B167B6">
        <w:rPr>
          <w:lang w:val="en-US"/>
        </w:rPr>
        <w:t>, circumventing the Monte Carlo calculation by performing the integrations analytically.</w:t>
      </w:r>
    </w:p>
    <w:p w14:paraId="4F3CFFBE" w14:textId="4FCA4D8A" w:rsidR="000D2D86" w:rsidRDefault="000D2D86" w:rsidP="000D2D86">
      <w:pPr>
        <w:rPr>
          <w:color w:val="FF0000"/>
          <w:lang w:val="en-US"/>
        </w:rPr>
      </w:pPr>
      <w:r w:rsidRPr="00B167B6">
        <w:rPr>
          <w:lang w:val="en-US"/>
        </w:rPr>
        <w:t>The only remaining question is how to obtain the actual values of the indicators and their uncertainties. In most cases the sources did not provide values for the uncertainties such that they had to be estimated</w:t>
      </w:r>
      <w:r w:rsidR="00572639">
        <w:rPr>
          <w:lang w:val="en-US"/>
        </w:rPr>
        <w:t xml:space="preserve">. </w:t>
      </w:r>
      <w:r w:rsidR="00572639">
        <w:rPr>
          <w:lang w:val="en-US"/>
        </w:rPr>
        <w:fldChar w:fldCharType="begin"/>
      </w:r>
      <w:r w:rsidR="00572639">
        <w:rPr>
          <w:lang w:val="en-US"/>
        </w:rPr>
        <w:instrText xml:space="preserve"> REF _Ref39856349 \h </w:instrText>
      </w:r>
      <w:r w:rsidR="00572639">
        <w:rPr>
          <w:lang w:val="en-US"/>
        </w:rPr>
      </w:r>
      <w:r w:rsidR="00572639">
        <w:rPr>
          <w:lang w:val="en-US"/>
        </w:rPr>
        <w:fldChar w:fldCharType="separate"/>
      </w:r>
      <w:r w:rsidR="00572639" w:rsidRPr="00572639">
        <w:rPr>
          <w:lang w:val="en-US"/>
        </w:rPr>
        <w:t xml:space="preserve">Table </w:t>
      </w:r>
      <w:r w:rsidR="00572639">
        <w:rPr>
          <w:noProof/>
          <w:lang w:val="en-US"/>
        </w:rPr>
        <w:t>3</w:t>
      </w:r>
      <w:r w:rsidR="00572639">
        <w:rPr>
          <w:lang w:val="en-US"/>
        </w:rPr>
        <w:fldChar w:fldCharType="end"/>
      </w:r>
      <w:r w:rsidR="00572639">
        <w:rPr>
          <w:lang w:val="en-US"/>
        </w:rPr>
        <w:t xml:space="preserve"> provides an overview of the assumptions made for the standard errors and the actual values for all indicators and all countries are provided in </w:t>
      </w:r>
      <w:r w:rsidR="00572639">
        <w:rPr>
          <w:lang w:val="en-US"/>
        </w:rPr>
        <w:fldChar w:fldCharType="begin"/>
      </w:r>
      <w:r w:rsidR="00572639">
        <w:rPr>
          <w:lang w:val="en-US"/>
        </w:rPr>
        <w:instrText xml:space="preserve"> REF _Ref39856465 \h </w:instrText>
      </w:r>
      <w:r w:rsidR="00572639">
        <w:rPr>
          <w:lang w:val="en-US"/>
        </w:rPr>
      </w:r>
      <w:r w:rsidR="00572639">
        <w:rPr>
          <w:lang w:val="en-US"/>
        </w:rPr>
        <w:fldChar w:fldCharType="separate"/>
      </w:r>
      <w:r w:rsidR="00572639" w:rsidRPr="00572639">
        <w:rPr>
          <w:lang w:val="en-US"/>
        </w:rPr>
        <w:t xml:space="preserve">Table </w:t>
      </w:r>
      <w:r w:rsidR="00572639" w:rsidRPr="00572639">
        <w:rPr>
          <w:noProof/>
          <w:lang w:val="en-US"/>
        </w:rPr>
        <w:t>4</w:t>
      </w:r>
      <w:r w:rsidR="00572639">
        <w:rPr>
          <w:lang w:val="en-US"/>
        </w:rPr>
        <w:fldChar w:fldCharType="end"/>
      </w:r>
      <w:r w:rsidR="00572639">
        <w:rPr>
          <w:lang w:val="en-US"/>
        </w:rPr>
        <w:t xml:space="preserve">. </w:t>
      </w:r>
      <w:r w:rsidRPr="00B167B6">
        <w:rPr>
          <w:lang w:val="en-US"/>
        </w:rPr>
        <w:t xml:space="preserve">Additionally, every indicator was available for all countries. In these cases, the value of the missing entry was estimated by the average of the countries for which the data was present and a large uncertainty was added reflecting the ignorance about this guess </w:t>
      </w:r>
      <w:r w:rsidR="00572639">
        <w:rPr>
          <w:lang w:val="en-US"/>
        </w:rPr>
        <w:t xml:space="preserve">(see </w:t>
      </w:r>
      <w:r w:rsidR="00572639">
        <w:rPr>
          <w:lang w:val="en-US"/>
        </w:rPr>
        <w:fldChar w:fldCharType="begin"/>
      </w:r>
      <w:r w:rsidR="00572639">
        <w:rPr>
          <w:lang w:val="en-US"/>
        </w:rPr>
        <w:instrText xml:space="preserve"> REF _Ref39856465 \h </w:instrText>
      </w:r>
      <w:r w:rsidR="00572639">
        <w:rPr>
          <w:lang w:val="en-US"/>
        </w:rPr>
      </w:r>
      <w:r w:rsidR="00572639">
        <w:rPr>
          <w:lang w:val="en-US"/>
        </w:rPr>
        <w:fldChar w:fldCharType="separate"/>
      </w:r>
      <w:r w:rsidR="00572639" w:rsidRPr="00572639">
        <w:rPr>
          <w:lang w:val="en-US"/>
        </w:rPr>
        <w:t xml:space="preserve">Table </w:t>
      </w:r>
      <w:r w:rsidR="00572639" w:rsidRPr="00572639">
        <w:rPr>
          <w:noProof/>
          <w:lang w:val="en-US"/>
        </w:rPr>
        <w:t>4</w:t>
      </w:r>
      <w:r w:rsidR="00572639">
        <w:rPr>
          <w:lang w:val="en-US"/>
        </w:rPr>
        <w:fldChar w:fldCharType="end"/>
      </w:r>
      <w:r w:rsidR="00572639">
        <w:rPr>
          <w:lang w:val="en-US"/>
        </w:rPr>
        <w:t>).</w:t>
      </w:r>
    </w:p>
    <w:p w14:paraId="6E6E03F4" w14:textId="77777777" w:rsidR="002D5302" w:rsidRDefault="002D5302" w:rsidP="000D2D86">
      <w:pPr>
        <w:rPr>
          <w:color w:val="FF0000"/>
          <w:lang w:val="en-US"/>
        </w:rPr>
        <w:sectPr w:rsidR="002D5302" w:rsidSect="000D2D86">
          <w:pgSz w:w="11906" w:h="16838"/>
          <w:pgMar w:top="1417" w:right="1417" w:bottom="1134" w:left="1417" w:header="708" w:footer="708" w:gutter="0"/>
          <w:cols w:space="708"/>
          <w:docGrid w:linePitch="360"/>
        </w:sectPr>
      </w:pPr>
    </w:p>
    <w:p w14:paraId="05BA6962" w14:textId="523551E4" w:rsidR="00572639" w:rsidRPr="00572639" w:rsidRDefault="00572639" w:rsidP="00572639">
      <w:pPr>
        <w:pStyle w:val="Beschriftung"/>
        <w:keepNext/>
        <w:spacing w:after="0"/>
        <w:rPr>
          <w:lang w:val="en-US"/>
        </w:rPr>
      </w:pPr>
      <w:bookmarkStart w:id="3" w:name="_Ref39856349"/>
      <w:r w:rsidRPr="00572639">
        <w:rPr>
          <w:lang w:val="en-US"/>
        </w:rPr>
        <w:lastRenderedPageBreak/>
        <w:t xml:space="preserve">Table </w:t>
      </w:r>
      <w:r>
        <w:fldChar w:fldCharType="begin"/>
      </w:r>
      <w:r w:rsidRPr="00572639">
        <w:rPr>
          <w:lang w:val="en-US"/>
        </w:rPr>
        <w:instrText xml:space="preserve"> SEQ Table \* ARABIC </w:instrText>
      </w:r>
      <w:r>
        <w:fldChar w:fldCharType="separate"/>
      </w:r>
      <w:r>
        <w:rPr>
          <w:noProof/>
          <w:lang w:val="en-US"/>
        </w:rPr>
        <w:t>3</w:t>
      </w:r>
      <w:r>
        <w:fldChar w:fldCharType="end"/>
      </w:r>
      <w:bookmarkEnd w:id="3"/>
      <w:r w:rsidRPr="00572639">
        <w:rPr>
          <w:lang w:val="en-US"/>
        </w:rPr>
        <w:t>: Assumption for standard E</w:t>
      </w:r>
      <w:r>
        <w:rPr>
          <w:lang w:val="en-US"/>
        </w:rPr>
        <w:t>rrors for all Social Indicators</w:t>
      </w:r>
    </w:p>
    <w:tbl>
      <w:tblPr>
        <w:tblStyle w:val="EinfacheTabelle2"/>
        <w:tblW w:w="10632" w:type="dxa"/>
        <w:tblLayout w:type="fixed"/>
        <w:tblLook w:val="04A0" w:firstRow="1" w:lastRow="0" w:firstColumn="1" w:lastColumn="0" w:noHBand="0" w:noVBand="1"/>
      </w:tblPr>
      <w:tblGrid>
        <w:gridCol w:w="2977"/>
        <w:gridCol w:w="1134"/>
        <w:gridCol w:w="6521"/>
      </w:tblGrid>
      <w:tr w:rsidR="002D5302" w:rsidRPr="00D510F3" w14:paraId="77446E81" w14:textId="77777777" w:rsidTr="00207B43">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53522827"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Indicator</w:t>
            </w:r>
          </w:p>
        </w:tc>
        <w:tc>
          <w:tcPr>
            <w:tcW w:w="1134" w:type="dxa"/>
            <w:vAlign w:val="center"/>
            <w:hideMark/>
          </w:tcPr>
          <w:p w14:paraId="11DB4C11" w14:textId="34DC7DAD" w:rsidR="002D5302" w:rsidRPr="00D510F3" w:rsidRDefault="00572639" w:rsidP="00D510F3">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Pr>
                <w:rFonts w:asciiTheme="majorHAnsi" w:eastAsia="Times New Roman" w:hAnsiTheme="majorHAnsi" w:cstheme="majorHAnsi"/>
                <w:color w:val="000000"/>
                <w:sz w:val="16"/>
                <w:szCs w:val="16"/>
                <w:lang w:val="en-US"/>
              </w:rPr>
              <w:t>S</w:t>
            </w:r>
            <w:r w:rsidR="002D5302" w:rsidRPr="00D510F3">
              <w:rPr>
                <w:rFonts w:asciiTheme="majorHAnsi" w:eastAsia="Times New Roman" w:hAnsiTheme="majorHAnsi" w:cstheme="majorHAnsi"/>
                <w:color w:val="000000"/>
                <w:sz w:val="16"/>
                <w:szCs w:val="16"/>
                <w:lang w:val="en-US"/>
              </w:rPr>
              <w:t xml:space="preserve">tandard </w:t>
            </w:r>
            <w:r w:rsidR="00207B43" w:rsidRPr="00D510F3">
              <w:rPr>
                <w:rFonts w:asciiTheme="majorHAnsi" w:eastAsia="Times New Roman" w:hAnsiTheme="majorHAnsi" w:cstheme="majorHAnsi"/>
                <w:color w:val="000000"/>
                <w:sz w:val="16"/>
                <w:szCs w:val="16"/>
                <w:lang w:val="en-US"/>
              </w:rPr>
              <w:t>error</w:t>
            </w:r>
          </w:p>
        </w:tc>
        <w:tc>
          <w:tcPr>
            <w:tcW w:w="6521" w:type="dxa"/>
            <w:vAlign w:val="center"/>
            <w:hideMark/>
          </w:tcPr>
          <w:p w14:paraId="2501F13C" w14:textId="4333E533" w:rsidR="002D5302" w:rsidRPr="00D510F3" w:rsidRDefault="00572639" w:rsidP="00D510F3">
            <w:pPr>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Pr>
                <w:rFonts w:asciiTheme="majorHAnsi" w:eastAsia="Times New Roman" w:hAnsiTheme="majorHAnsi" w:cstheme="majorHAnsi"/>
                <w:color w:val="000000"/>
                <w:sz w:val="16"/>
                <w:szCs w:val="16"/>
                <w:lang w:val="en-US"/>
              </w:rPr>
              <w:t>C</w:t>
            </w:r>
            <w:r w:rsidR="002D5302" w:rsidRPr="00D510F3">
              <w:rPr>
                <w:rFonts w:asciiTheme="majorHAnsi" w:eastAsia="Times New Roman" w:hAnsiTheme="majorHAnsi" w:cstheme="majorHAnsi"/>
                <w:color w:val="000000"/>
                <w:sz w:val="16"/>
                <w:szCs w:val="16"/>
                <w:lang w:val="en-US"/>
              </w:rPr>
              <w:t>omment</w:t>
            </w:r>
          </w:p>
        </w:tc>
      </w:tr>
      <w:tr w:rsidR="002D5302" w:rsidRPr="000D0760" w14:paraId="7A0804B2"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17503843"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Government response rating</w:t>
            </w:r>
          </w:p>
        </w:tc>
        <w:tc>
          <w:tcPr>
            <w:tcW w:w="1134" w:type="dxa"/>
            <w:noWrap/>
            <w:vAlign w:val="center"/>
            <w:hideMark/>
          </w:tcPr>
          <w:p w14:paraId="7B8B1D4E"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22F037AB" w14:textId="20E6AE92"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no data available; Error estimation of 10% (inverted) of the </w:t>
            </w:r>
            <w:r w:rsidR="001A0C66" w:rsidRPr="00D510F3">
              <w:rPr>
                <w:rFonts w:asciiTheme="majorHAnsi" w:eastAsia="Times New Roman" w:hAnsiTheme="majorHAnsi" w:cstheme="majorHAnsi"/>
                <w:color w:val="000000"/>
                <w:sz w:val="16"/>
                <w:szCs w:val="16"/>
                <w:lang w:val="en-US"/>
              </w:rPr>
              <w:t>country</w:t>
            </w:r>
            <w:r w:rsidRPr="00D510F3">
              <w:rPr>
                <w:rFonts w:asciiTheme="majorHAnsi" w:eastAsia="Times New Roman" w:hAnsiTheme="majorHAnsi" w:cstheme="majorHAnsi"/>
                <w:color w:val="000000"/>
                <w:sz w:val="16"/>
                <w:szCs w:val="16"/>
                <w:lang w:val="en-US"/>
              </w:rPr>
              <w:t xml:space="preserve"> value</w:t>
            </w:r>
          </w:p>
        </w:tc>
      </w:tr>
      <w:tr w:rsidR="002D5302" w:rsidRPr="000D0760" w14:paraId="6A9617E5"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20A92A29"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Vulnerability to modern slavery</w:t>
            </w:r>
          </w:p>
        </w:tc>
        <w:tc>
          <w:tcPr>
            <w:tcW w:w="1134" w:type="dxa"/>
            <w:noWrap/>
            <w:vAlign w:val="center"/>
            <w:hideMark/>
          </w:tcPr>
          <w:p w14:paraId="14C3265D"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1DA36B7E" w14:textId="4606A300"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no data available; Error estimation or 10% of the </w:t>
            </w:r>
            <w:r w:rsidR="001A0C66" w:rsidRPr="00D510F3">
              <w:rPr>
                <w:rFonts w:asciiTheme="majorHAnsi" w:eastAsia="Times New Roman" w:hAnsiTheme="majorHAnsi" w:cstheme="majorHAnsi"/>
                <w:color w:val="000000"/>
                <w:sz w:val="16"/>
                <w:szCs w:val="16"/>
                <w:lang w:val="en-US"/>
              </w:rPr>
              <w:t>country</w:t>
            </w:r>
            <w:r w:rsidRPr="00D510F3">
              <w:rPr>
                <w:rFonts w:asciiTheme="majorHAnsi" w:eastAsia="Times New Roman" w:hAnsiTheme="majorHAnsi" w:cstheme="majorHAnsi"/>
                <w:color w:val="000000"/>
                <w:sz w:val="16"/>
                <w:szCs w:val="16"/>
                <w:lang w:val="en-US"/>
              </w:rPr>
              <w:t xml:space="preserve"> value</w:t>
            </w:r>
          </w:p>
        </w:tc>
      </w:tr>
      <w:tr w:rsidR="002D5302" w:rsidRPr="000D0760" w14:paraId="011521D4"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1B1FAA4C"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Economic participation and opportunity</w:t>
            </w:r>
          </w:p>
        </w:tc>
        <w:tc>
          <w:tcPr>
            <w:tcW w:w="1134" w:type="dxa"/>
            <w:noWrap/>
            <w:vAlign w:val="center"/>
            <w:hideMark/>
          </w:tcPr>
          <w:p w14:paraId="28D4F3FC"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0,10</w:t>
            </w:r>
          </w:p>
        </w:tc>
        <w:tc>
          <w:tcPr>
            <w:tcW w:w="6521" w:type="dxa"/>
            <w:vAlign w:val="center"/>
            <w:hideMark/>
          </w:tcPr>
          <w:p w14:paraId="0CA0E43D" w14:textId="53369553"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no data available; Error estimation based on the </w:t>
            </w:r>
            <w:r w:rsidR="001A0C66" w:rsidRPr="00D510F3">
              <w:rPr>
                <w:rFonts w:asciiTheme="majorHAnsi" w:eastAsia="Times New Roman" w:hAnsiTheme="majorHAnsi" w:cstheme="majorHAnsi"/>
                <w:color w:val="000000"/>
                <w:sz w:val="16"/>
                <w:szCs w:val="16"/>
                <w:lang w:val="en-US"/>
              </w:rPr>
              <w:t>average</w:t>
            </w:r>
            <w:r w:rsidRPr="00D510F3">
              <w:rPr>
                <w:rFonts w:asciiTheme="majorHAnsi" w:eastAsia="Times New Roman" w:hAnsiTheme="majorHAnsi" w:cstheme="majorHAnsi"/>
                <w:color w:val="000000"/>
                <w:sz w:val="16"/>
                <w:szCs w:val="16"/>
                <w:lang w:val="en-US"/>
              </w:rPr>
              <w:t xml:space="preserve"> value of all countries </w:t>
            </w:r>
          </w:p>
        </w:tc>
      </w:tr>
      <w:tr w:rsidR="002D5302" w:rsidRPr="000D0760" w14:paraId="1F369AE6"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22BF6921"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Vulnerable employment</w:t>
            </w:r>
          </w:p>
        </w:tc>
        <w:tc>
          <w:tcPr>
            <w:tcW w:w="1134" w:type="dxa"/>
            <w:noWrap/>
            <w:vAlign w:val="center"/>
            <w:hideMark/>
          </w:tcPr>
          <w:p w14:paraId="2430E9CA"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03859E59" w14:textId="0053CC9D"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no data available; Error estimation on the basis of the </w:t>
            </w:r>
            <w:r w:rsidR="001A0C66" w:rsidRPr="00D510F3">
              <w:rPr>
                <w:rFonts w:asciiTheme="majorHAnsi" w:eastAsia="Times New Roman" w:hAnsiTheme="majorHAnsi" w:cstheme="majorHAnsi"/>
                <w:color w:val="000000"/>
                <w:sz w:val="16"/>
                <w:szCs w:val="16"/>
                <w:lang w:val="en-US"/>
              </w:rPr>
              <w:t>changing</w:t>
            </w:r>
            <w:r w:rsidRPr="00D510F3">
              <w:rPr>
                <w:rFonts w:asciiTheme="majorHAnsi" w:eastAsia="Times New Roman" w:hAnsiTheme="majorHAnsi" w:cstheme="majorHAnsi"/>
                <w:color w:val="000000"/>
                <w:sz w:val="16"/>
                <w:szCs w:val="16"/>
                <w:lang w:val="en-US"/>
              </w:rPr>
              <w:t xml:space="preserve"> rate over 6 years divided by 2</w:t>
            </w:r>
          </w:p>
        </w:tc>
      </w:tr>
      <w:tr w:rsidR="002D5302" w:rsidRPr="000D0760" w14:paraId="2E327CC5"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0CE13A2E"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Fair wage potential </w:t>
            </w:r>
          </w:p>
        </w:tc>
        <w:tc>
          <w:tcPr>
            <w:tcW w:w="1134" w:type="dxa"/>
            <w:noWrap/>
            <w:vAlign w:val="center"/>
            <w:hideMark/>
          </w:tcPr>
          <w:p w14:paraId="3781BB45"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0,09</w:t>
            </w:r>
          </w:p>
        </w:tc>
        <w:tc>
          <w:tcPr>
            <w:tcW w:w="6521" w:type="dxa"/>
            <w:vAlign w:val="center"/>
            <w:hideMark/>
          </w:tcPr>
          <w:p w14:paraId="06FA27A0" w14:textId="77777777"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no data available; Error estimation of 10% of mean value of the sample included in this study (0,86); for the missing data the mean value per product system and broader error with 0,3 was assumed</w:t>
            </w:r>
          </w:p>
        </w:tc>
      </w:tr>
      <w:tr w:rsidR="002D5302" w:rsidRPr="000D0760" w14:paraId="6B9BF684"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61E96004"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Occupational safety and health</w:t>
            </w:r>
          </w:p>
        </w:tc>
        <w:tc>
          <w:tcPr>
            <w:tcW w:w="1134" w:type="dxa"/>
            <w:noWrap/>
            <w:vAlign w:val="center"/>
            <w:hideMark/>
          </w:tcPr>
          <w:p w14:paraId="51155A1C"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5,00</w:t>
            </w:r>
          </w:p>
        </w:tc>
        <w:tc>
          <w:tcPr>
            <w:tcW w:w="6521" w:type="dxa"/>
            <w:vAlign w:val="center"/>
            <w:hideMark/>
          </w:tcPr>
          <w:p w14:paraId="3B2ECA26" w14:textId="77777777"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no data available; Error estimation of 10% of medium value of 50</w:t>
            </w:r>
          </w:p>
        </w:tc>
      </w:tr>
      <w:tr w:rsidR="002D5302" w:rsidRPr="000D0760" w14:paraId="24727E58"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594D0A81"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DALY attributable to occupational risks</w:t>
            </w:r>
          </w:p>
        </w:tc>
        <w:tc>
          <w:tcPr>
            <w:tcW w:w="1134" w:type="dxa"/>
            <w:noWrap/>
            <w:vAlign w:val="center"/>
            <w:hideMark/>
          </w:tcPr>
          <w:p w14:paraId="7B98EE12"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34F2285E" w14:textId="77777777"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Standard error as the difference of upper and lower bound of the index</w:t>
            </w:r>
          </w:p>
        </w:tc>
      </w:tr>
      <w:tr w:rsidR="002D5302" w:rsidRPr="000D0760" w14:paraId="383E268F"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5765BA14"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Global rights index</w:t>
            </w:r>
          </w:p>
        </w:tc>
        <w:tc>
          <w:tcPr>
            <w:tcW w:w="1134" w:type="dxa"/>
            <w:noWrap/>
            <w:vAlign w:val="center"/>
            <w:hideMark/>
          </w:tcPr>
          <w:p w14:paraId="74A06F5F"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0,25</w:t>
            </w:r>
          </w:p>
        </w:tc>
        <w:tc>
          <w:tcPr>
            <w:tcW w:w="6521" w:type="dxa"/>
            <w:vAlign w:val="center"/>
            <w:hideMark/>
          </w:tcPr>
          <w:p w14:paraId="49DD951C" w14:textId="2C60A4D9"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no data available; Error estimation of 10% of medium value of 2,5; for the missing data the mean value per product system and a broader error with 1 was </w:t>
            </w:r>
            <w:r w:rsidR="001A0C66" w:rsidRPr="00D510F3">
              <w:rPr>
                <w:rFonts w:asciiTheme="majorHAnsi" w:eastAsia="Times New Roman" w:hAnsiTheme="majorHAnsi" w:cstheme="majorHAnsi"/>
                <w:color w:val="000000"/>
                <w:sz w:val="16"/>
                <w:szCs w:val="16"/>
                <w:lang w:val="en-US"/>
              </w:rPr>
              <w:t>assumed</w:t>
            </w:r>
          </w:p>
        </w:tc>
      </w:tr>
      <w:tr w:rsidR="002D5302" w:rsidRPr="000D0760" w14:paraId="0A76B2FC"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4359FAAA"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DALY</w:t>
            </w:r>
          </w:p>
        </w:tc>
        <w:tc>
          <w:tcPr>
            <w:tcW w:w="1134" w:type="dxa"/>
            <w:noWrap/>
            <w:vAlign w:val="center"/>
            <w:hideMark/>
          </w:tcPr>
          <w:p w14:paraId="6DF226DE"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7DCA0E0D" w14:textId="77777777"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Standard error as the difference of upper and lower bound of the index</w:t>
            </w:r>
          </w:p>
        </w:tc>
      </w:tr>
      <w:tr w:rsidR="002D5302" w:rsidRPr="000D0760" w14:paraId="5DE4C745"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06BD26A5"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Life expectancy at birth</w:t>
            </w:r>
          </w:p>
        </w:tc>
        <w:tc>
          <w:tcPr>
            <w:tcW w:w="1134" w:type="dxa"/>
            <w:noWrap/>
            <w:vAlign w:val="center"/>
            <w:hideMark/>
          </w:tcPr>
          <w:p w14:paraId="21804B27"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0,00</w:t>
            </w:r>
          </w:p>
        </w:tc>
        <w:tc>
          <w:tcPr>
            <w:tcW w:w="6521" w:type="dxa"/>
            <w:vAlign w:val="center"/>
            <w:hideMark/>
          </w:tcPr>
          <w:p w14:paraId="51CFEE62" w14:textId="66D6D313"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value does not suffer from any </w:t>
            </w:r>
            <w:r w:rsidR="001A0C66" w:rsidRPr="00D510F3">
              <w:rPr>
                <w:rFonts w:asciiTheme="majorHAnsi" w:eastAsia="Times New Roman" w:hAnsiTheme="majorHAnsi" w:cstheme="majorHAnsi"/>
                <w:color w:val="000000"/>
                <w:sz w:val="16"/>
                <w:szCs w:val="16"/>
                <w:lang w:val="en-US"/>
              </w:rPr>
              <w:t>statistical</w:t>
            </w:r>
            <w:r w:rsidRPr="00D510F3">
              <w:rPr>
                <w:rFonts w:asciiTheme="majorHAnsi" w:eastAsia="Times New Roman" w:hAnsiTheme="majorHAnsi" w:cstheme="majorHAnsi"/>
                <w:color w:val="000000"/>
                <w:sz w:val="16"/>
                <w:szCs w:val="16"/>
                <w:lang w:val="en-US"/>
              </w:rPr>
              <w:t xml:space="preserve"> uncertainties</w:t>
            </w:r>
          </w:p>
        </w:tc>
      </w:tr>
      <w:tr w:rsidR="002D5302" w:rsidRPr="000D0760" w14:paraId="4B3CCC22"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2CBD898B"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Government health expenditures</w:t>
            </w:r>
          </w:p>
        </w:tc>
        <w:tc>
          <w:tcPr>
            <w:tcW w:w="1134" w:type="dxa"/>
            <w:noWrap/>
            <w:vAlign w:val="center"/>
            <w:hideMark/>
          </w:tcPr>
          <w:p w14:paraId="7E526D6A"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0,00</w:t>
            </w:r>
          </w:p>
        </w:tc>
        <w:tc>
          <w:tcPr>
            <w:tcW w:w="6521" w:type="dxa"/>
            <w:vAlign w:val="center"/>
            <w:hideMark/>
          </w:tcPr>
          <w:p w14:paraId="3B3C6622" w14:textId="45DDB9CE"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value does not suffer from any </w:t>
            </w:r>
            <w:r w:rsidR="001A0C66" w:rsidRPr="00D510F3">
              <w:rPr>
                <w:rFonts w:asciiTheme="majorHAnsi" w:eastAsia="Times New Roman" w:hAnsiTheme="majorHAnsi" w:cstheme="majorHAnsi"/>
                <w:color w:val="000000"/>
                <w:sz w:val="16"/>
                <w:szCs w:val="16"/>
                <w:lang w:val="en-US"/>
              </w:rPr>
              <w:t>statistical</w:t>
            </w:r>
            <w:r w:rsidRPr="00D510F3">
              <w:rPr>
                <w:rFonts w:asciiTheme="majorHAnsi" w:eastAsia="Times New Roman" w:hAnsiTheme="majorHAnsi" w:cstheme="majorHAnsi"/>
                <w:color w:val="000000"/>
                <w:sz w:val="16"/>
                <w:szCs w:val="16"/>
                <w:lang w:val="en-US"/>
              </w:rPr>
              <w:t xml:space="preserve"> uncertainties</w:t>
            </w:r>
          </w:p>
        </w:tc>
      </w:tr>
      <w:tr w:rsidR="002D5302" w:rsidRPr="000D0760" w14:paraId="6A85B3C9"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767005A5"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Coverage of health services</w:t>
            </w:r>
          </w:p>
        </w:tc>
        <w:tc>
          <w:tcPr>
            <w:tcW w:w="1134" w:type="dxa"/>
            <w:noWrap/>
            <w:vAlign w:val="center"/>
            <w:hideMark/>
          </w:tcPr>
          <w:p w14:paraId="42958E37"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7E7DB6CF" w14:textId="77777777"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Standard error as the difference of upper and lower bound of the index</w:t>
            </w:r>
          </w:p>
        </w:tc>
      </w:tr>
      <w:tr w:rsidR="002D5302" w:rsidRPr="000D0760" w14:paraId="4E08D238"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264F08C7"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Food insecurity</w:t>
            </w:r>
          </w:p>
        </w:tc>
        <w:tc>
          <w:tcPr>
            <w:tcW w:w="1134" w:type="dxa"/>
            <w:noWrap/>
            <w:vAlign w:val="center"/>
            <w:hideMark/>
          </w:tcPr>
          <w:p w14:paraId="41107D34"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30A01599" w14:textId="0D9EB985"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Standard error as the difference of upper and lower bound of the index; for the missing data the mean value per product system and a broader error with 1 was </w:t>
            </w:r>
            <w:r w:rsidR="001A0C66" w:rsidRPr="00D510F3">
              <w:rPr>
                <w:rFonts w:asciiTheme="majorHAnsi" w:eastAsia="Times New Roman" w:hAnsiTheme="majorHAnsi" w:cstheme="majorHAnsi"/>
                <w:color w:val="000000"/>
                <w:sz w:val="16"/>
                <w:szCs w:val="16"/>
                <w:lang w:val="en-US"/>
              </w:rPr>
              <w:t>assumed</w:t>
            </w:r>
          </w:p>
        </w:tc>
      </w:tr>
      <w:tr w:rsidR="002D5302" w:rsidRPr="000D0760" w14:paraId="553BEFD2"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43757D8B"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Consumer expenditure spent on food</w:t>
            </w:r>
          </w:p>
        </w:tc>
        <w:tc>
          <w:tcPr>
            <w:tcW w:w="1134" w:type="dxa"/>
            <w:noWrap/>
            <w:vAlign w:val="center"/>
            <w:hideMark/>
          </w:tcPr>
          <w:p w14:paraId="0D5E171D"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6DA9704D" w14:textId="3581B706"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no data available; Error estimation on the basis of the </w:t>
            </w:r>
            <w:r w:rsidR="001A0C66" w:rsidRPr="00D510F3">
              <w:rPr>
                <w:rFonts w:asciiTheme="majorHAnsi" w:eastAsia="Times New Roman" w:hAnsiTheme="majorHAnsi" w:cstheme="majorHAnsi"/>
                <w:color w:val="000000"/>
                <w:sz w:val="16"/>
                <w:szCs w:val="16"/>
                <w:lang w:val="en-US"/>
              </w:rPr>
              <w:t>changing</w:t>
            </w:r>
            <w:r w:rsidRPr="00D510F3">
              <w:rPr>
                <w:rFonts w:asciiTheme="majorHAnsi" w:eastAsia="Times New Roman" w:hAnsiTheme="majorHAnsi" w:cstheme="majorHAnsi"/>
                <w:color w:val="000000"/>
                <w:sz w:val="16"/>
                <w:szCs w:val="16"/>
                <w:lang w:val="en-US"/>
              </w:rPr>
              <w:t xml:space="preserve"> rate over 6 years divided by 2</w:t>
            </w:r>
          </w:p>
        </w:tc>
      </w:tr>
      <w:tr w:rsidR="002D5302" w:rsidRPr="000D0760" w14:paraId="76CA3FD1"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776C2F8A"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Human development Index</w:t>
            </w:r>
          </w:p>
        </w:tc>
        <w:tc>
          <w:tcPr>
            <w:tcW w:w="1134" w:type="dxa"/>
            <w:noWrap/>
            <w:vAlign w:val="center"/>
            <w:hideMark/>
          </w:tcPr>
          <w:p w14:paraId="0C68C2B0"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2A018FAA" w14:textId="45AEAC76"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no data available; Error estimation on the basis of the </w:t>
            </w:r>
            <w:r w:rsidR="001A0C66" w:rsidRPr="00D510F3">
              <w:rPr>
                <w:rFonts w:asciiTheme="majorHAnsi" w:eastAsia="Times New Roman" w:hAnsiTheme="majorHAnsi" w:cstheme="majorHAnsi"/>
                <w:color w:val="000000"/>
                <w:sz w:val="16"/>
                <w:szCs w:val="16"/>
                <w:lang w:val="en-US"/>
              </w:rPr>
              <w:t>changing</w:t>
            </w:r>
            <w:r w:rsidRPr="00D510F3">
              <w:rPr>
                <w:rFonts w:asciiTheme="majorHAnsi" w:eastAsia="Times New Roman" w:hAnsiTheme="majorHAnsi" w:cstheme="majorHAnsi"/>
                <w:color w:val="000000"/>
                <w:sz w:val="16"/>
                <w:szCs w:val="16"/>
                <w:lang w:val="en-US"/>
              </w:rPr>
              <w:t xml:space="preserve"> rate over 6 years divided by 2</w:t>
            </w:r>
          </w:p>
        </w:tc>
      </w:tr>
      <w:tr w:rsidR="002D5302" w:rsidRPr="000D0760" w14:paraId="48236133"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47FF34C1"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Self-reported life satisfaction</w:t>
            </w:r>
          </w:p>
        </w:tc>
        <w:tc>
          <w:tcPr>
            <w:tcW w:w="1134" w:type="dxa"/>
            <w:noWrap/>
            <w:vAlign w:val="center"/>
            <w:hideMark/>
          </w:tcPr>
          <w:p w14:paraId="2497A575"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68B34F12" w14:textId="77777777"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standard error per country provided by the source</w:t>
            </w:r>
          </w:p>
        </w:tc>
      </w:tr>
      <w:tr w:rsidR="002D5302" w:rsidRPr="000D0760" w14:paraId="54E0AB02"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1054C0C4"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Political empowerment </w:t>
            </w:r>
          </w:p>
        </w:tc>
        <w:tc>
          <w:tcPr>
            <w:tcW w:w="1134" w:type="dxa"/>
            <w:noWrap/>
            <w:vAlign w:val="center"/>
            <w:hideMark/>
          </w:tcPr>
          <w:p w14:paraId="1E73CD83"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0,00</w:t>
            </w:r>
          </w:p>
        </w:tc>
        <w:tc>
          <w:tcPr>
            <w:tcW w:w="6521" w:type="dxa"/>
            <w:vAlign w:val="center"/>
            <w:hideMark/>
          </w:tcPr>
          <w:p w14:paraId="5B9FD7CE" w14:textId="19CC7753"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value does not suffer from any </w:t>
            </w:r>
            <w:r w:rsidR="001A0C66" w:rsidRPr="00D510F3">
              <w:rPr>
                <w:rFonts w:asciiTheme="majorHAnsi" w:eastAsia="Times New Roman" w:hAnsiTheme="majorHAnsi" w:cstheme="majorHAnsi"/>
                <w:color w:val="000000"/>
                <w:sz w:val="16"/>
                <w:szCs w:val="16"/>
                <w:lang w:val="en-US"/>
              </w:rPr>
              <w:t>statistical</w:t>
            </w:r>
            <w:r w:rsidRPr="00D510F3">
              <w:rPr>
                <w:rFonts w:asciiTheme="majorHAnsi" w:eastAsia="Times New Roman" w:hAnsiTheme="majorHAnsi" w:cstheme="majorHAnsi"/>
                <w:color w:val="000000"/>
                <w:sz w:val="16"/>
                <w:szCs w:val="16"/>
                <w:lang w:val="en-US"/>
              </w:rPr>
              <w:t xml:space="preserve"> uncertainties</w:t>
            </w:r>
          </w:p>
        </w:tc>
      </w:tr>
      <w:tr w:rsidR="002D5302" w:rsidRPr="000D0760" w14:paraId="0E1923CF"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4A0D444B"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Local supplier quantity</w:t>
            </w:r>
          </w:p>
        </w:tc>
        <w:tc>
          <w:tcPr>
            <w:tcW w:w="1134" w:type="dxa"/>
            <w:noWrap/>
            <w:vAlign w:val="center"/>
            <w:hideMark/>
          </w:tcPr>
          <w:p w14:paraId="7A01BF8B"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0,30</w:t>
            </w:r>
          </w:p>
        </w:tc>
        <w:tc>
          <w:tcPr>
            <w:tcW w:w="6521" w:type="dxa"/>
            <w:vAlign w:val="center"/>
            <w:hideMark/>
          </w:tcPr>
          <w:p w14:paraId="301E3095" w14:textId="525B3782"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max. possible standard deviation of sample is 3 </w:t>
            </w:r>
            <w:r w:rsidR="001A0C66" w:rsidRPr="00D510F3">
              <w:rPr>
                <w:rFonts w:asciiTheme="majorHAnsi" w:eastAsia="Times New Roman" w:hAnsiTheme="majorHAnsi" w:cstheme="majorHAnsi"/>
                <w:color w:val="000000"/>
                <w:sz w:val="16"/>
                <w:szCs w:val="16"/>
                <w:lang w:val="en-US"/>
              </w:rPr>
              <w:t>(sampling</w:t>
            </w:r>
            <w:r w:rsidRPr="00D510F3">
              <w:rPr>
                <w:rFonts w:asciiTheme="majorHAnsi" w:eastAsia="Times New Roman" w:hAnsiTheme="majorHAnsi" w:cstheme="majorHAnsi"/>
                <w:color w:val="000000"/>
                <w:sz w:val="16"/>
                <w:szCs w:val="16"/>
                <w:lang w:val="en-US"/>
              </w:rPr>
              <w:t xml:space="preserve"> from 1 to 7 with an avg of 4 and half 1 while half 7); Assuming a sample size of 100 per </w:t>
            </w:r>
            <w:r w:rsidR="001A0C66" w:rsidRPr="00D510F3">
              <w:rPr>
                <w:rFonts w:asciiTheme="majorHAnsi" w:eastAsia="Times New Roman" w:hAnsiTheme="majorHAnsi" w:cstheme="majorHAnsi"/>
                <w:color w:val="000000"/>
                <w:sz w:val="16"/>
                <w:szCs w:val="16"/>
                <w:lang w:val="en-US"/>
              </w:rPr>
              <w:t>country</w:t>
            </w:r>
            <w:r w:rsidRPr="00D510F3">
              <w:rPr>
                <w:rFonts w:asciiTheme="majorHAnsi" w:eastAsia="Times New Roman" w:hAnsiTheme="majorHAnsi" w:cstheme="majorHAnsi"/>
                <w:color w:val="000000"/>
                <w:sz w:val="16"/>
                <w:szCs w:val="16"/>
                <w:lang w:val="en-US"/>
              </w:rPr>
              <w:t xml:space="preserve"> we get an estimate of 0.3 for the error</w:t>
            </w:r>
          </w:p>
        </w:tc>
      </w:tr>
      <w:tr w:rsidR="002D5302" w:rsidRPr="000D0760" w14:paraId="4949D065"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757F66D5"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Political stability &amp; absence of violence</w:t>
            </w:r>
          </w:p>
        </w:tc>
        <w:tc>
          <w:tcPr>
            <w:tcW w:w="1134" w:type="dxa"/>
            <w:noWrap/>
            <w:vAlign w:val="center"/>
            <w:hideMark/>
          </w:tcPr>
          <w:p w14:paraId="3398E0C8"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0AF4259C" w14:textId="77777777"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standard error per country provided by the source</w:t>
            </w:r>
          </w:p>
        </w:tc>
      </w:tr>
      <w:tr w:rsidR="002D5302" w:rsidRPr="000D0760" w14:paraId="4385540D"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2FCC8D35"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Population covered by social protection benefits</w:t>
            </w:r>
          </w:p>
        </w:tc>
        <w:tc>
          <w:tcPr>
            <w:tcW w:w="1134" w:type="dxa"/>
            <w:noWrap/>
            <w:vAlign w:val="center"/>
            <w:hideMark/>
          </w:tcPr>
          <w:p w14:paraId="5551EDEA"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0,00</w:t>
            </w:r>
          </w:p>
        </w:tc>
        <w:tc>
          <w:tcPr>
            <w:tcW w:w="6521" w:type="dxa"/>
            <w:vAlign w:val="center"/>
            <w:hideMark/>
          </w:tcPr>
          <w:p w14:paraId="432104AC" w14:textId="3A112A5B"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value does not suffer from any </w:t>
            </w:r>
            <w:r w:rsidR="001A0C66" w:rsidRPr="00D510F3">
              <w:rPr>
                <w:rFonts w:asciiTheme="majorHAnsi" w:eastAsia="Times New Roman" w:hAnsiTheme="majorHAnsi" w:cstheme="majorHAnsi"/>
                <w:color w:val="000000"/>
                <w:sz w:val="16"/>
                <w:szCs w:val="16"/>
                <w:lang w:val="en-US"/>
              </w:rPr>
              <w:t>statistical</w:t>
            </w:r>
            <w:r w:rsidRPr="00D510F3">
              <w:rPr>
                <w:rFonts w:asciiTheme="majorHAnsi" w:eastAsia="Times New Roman" w:hAnsiTheme="majorHAnsi" w:cstheme="majorHAnsi"/>
                <w:color w:val="000000"/>
                <w:sz w:val="16"/>
                <w:szCs w:val="16"/>
                <w:lang w:val="en-US"/>
              </w:rPr>
              <w:t xml:space="preserve"> uncertainties; for the missing data the mean value per product system and a broader error with 15 was assumed</w:t>
            </w:r>
          </w:p>
        </w:tc>
      </w:tr>
      <w:tr w:rsidR="002D5302" w:rsidRPr="000D0760" w14:paraId="4F8EB724"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6CF64911"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Ratifications of human rights instruments</w:t>
            </w:r>
          </w:p>
        </w:tc>
        <w:tc>
          <w:tcPr>
            <w:tcW w:w="1134" w:type="dxa"/>
            <w:noWrap/>
            <w:vAlign w:val="center"/>
            <w:hideMark/>
          </w:tcPr>
          <w:p w14:paraId="3F5E02EB"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0,00</w:t>
            </w:r>
          </w:p>
        </w:tc>
        <w:tc>
          <w:tcPr>
            <w:tcW w:w="6521" w:type="dxa"/>
            <w:vAlign w:val="center"/>
            <w:hideMark/>
          </w:tcPr>
          <w:p w14:paraId="14A2C106" w14:textId="3F5E900B"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value does not suffer from any </w:t>
            </w:r>
            <w:r w:rsidR="001A0C66" w:rsidRPr="00D510F3">
              <w:rPr>
                <w:rFonts w:asciiTheme="majorHAnsi" w:eastAsia="Times New Roman" w:hAnsiTheme="majorHAnsi" w:cstheme="majorHAnsi"/>
                <w:color w:val="000000"/>
                <w:sz w:val="16"/>
                <w:szCs w:val="16"/>
                <w:lang w:val="en-US"/>
              </w:rPr>
              <w:t>statistical</w:t>
            </w:r>
            <w:r w:rsidRPr="00D510F3">
              <w:rPr>
                <w:rFonts w:asciiTheme="majorHAnsi" w:eastAsia="Times New Roman" w:hAnsiTheme="majorHAnsi" w:cstheme="majorHAnsi"/>
                <w:color w:val="000000"/>
                <w:sz w:val="16"/>
                <w:szCs w:val="16"/>
                <w:lang w:val="en-US"/>
              </w:rPr>
              <w:t xml:space="preserve"> uncertainties</w:t>
            </w:r>
          </w:p>
        </w:tc>
      </w:tr>
      <w:tr w:rsidR="002D5302" w:rsidRPr="000D0760" w14:paraId="28ACA54C"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3114C814"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Migrant acceptance</w:t>
            </w:r>
          </w:p>
        </w:tc>
        <w:tc>
          <w:tcPr>
            <w:tcW w:w="1134" w:type="dxa"/>
            <w:noWrap/>
            <w:vAlign w:val="center"/>
            <w:hideMark/>
          </w:tcPr>
          <w:p w14:paraId="054C859B"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63AE32B8" w14:textId="77777777"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standard error per country provided by the source; for the missing data the mean value per product system and a broader error with 20 was assumed</w:t>
            </w:r>
          </w:p>
        </w:tc>
      </w:tr>
      <w:tr w:rsidR="002D5302" w:rsidRPr="000D0760" w14:paraId="30B1B690"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024E0CE2"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Migration stock</w:t>
            </w:r>
          </w:p>
        </w:tc>
        <w:tc>
          <w:tcPr>
            <w:tcW w:w="1134" w:type="dxa"/>
            <w:noWrap/>
            <w:vAlign w:val="center"/>
            <w:hideMark/>
          </w:tcPr>
          <w:p w14:paraId="0750FD64"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0,00</w:t>
            </w:r>
          </w:p>
        </w:tc>
        <w:tc>
          <w:tcPr>
            <w:tcW w:w="6521" w:type="dxa"/>
            <w:vAlign w:val="center"/>
            <w:hideMark/>
          </w:tcPr>
          <w:p w14:paraId="49159D27" w14:textId="5F9B4586"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value does not suffer from any </w:t>
            </w:r>
            <w:r w:rsidR="001A0C66" w:rsidRPr="00D510F3">
              <w:rPr>
                <w:rFonts w:asciiTheme="majorHAnsi" w:eastAsia="Times New Roman" w:hAnsiTheme="majorHAnsi" w:cstheme="majorHAnsi"/>
                <w:color w:val="000000"/>
                <w:sz w:val="16"/>
                <w:szCs w:val="16"/>
                <w:lang w:val="en-US"/>
              </w:rPr>
              <w:t>statistical</w:t>
            </w:r>
            <w:r w:rsidRPr="00D510F3">
              <w:rPr>
                <w:rFonts w:asciiTheme="majorHAnsi" w:eastAsia="Times New Roman" w:hAnsiTheme="majorHAnsi" w:cstheme="majorHAnsi"/>
                <w:color w:val="000000"/>
                <w:sz w:val="16"/>
                <w:szCs w:val="16"/>
                <w:lang w:val="en-US"/>
              </w:rPr>
              <w:t xml:space="preserve"> uncertainties</w:t>
            </w:r>
          </w:p>
        </w:tc>
      </w:tr>
      <w:tr w:rsidR="002D5302" w:rsidRPr="000D0760" w14:paraId="38C3F427" w14:textId="77777777" w:rsidTr="00207B43">
        <w:trPr>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2CB56EA2"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Unemployment</w:t>
            </w:r>
          </w:p>
        </w:tc>
        <w:tc>
          <w:tcPr>
            <w:tcW w:w="1134" w:type="dxa"/>
            <w:noWrap/>
            <w:vAlign w:val="center"/>
            <w:hideMark/>
          </w:tcPr>
          <w:p w14:paraId="4761F8CB" w14:textId="77777777" w:rsidR="002D5302" w:rsidRPr="00D510F3" w:rsidRDefault="002D5302" w:rsidP="00D510F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0,00</w:t>
            </w:r>
          </w:p>
        </w:tc>
        <w:tc>
          <w:tcPr>
            <w:tcW w:w="6521" w:type="dxa"/>
            <w:vAlign w:val="center"/>
            <w:hideMark/>
          </w:tcPr>
          <w:p w14:paraId="14926994" w14:textId="6E53FA60" w:rsidR="002D5302" w:rsidRPr="00D510F3" w:rsidRDefault="002D5302" w:rsidP="00D510F3">
            <w:pPr>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 xml:space="preserve">value does not suffer from any </w:t>
            </w:r>
            <w:r w:rsidR="001A0C66" w:rsidRPr="00D510F3">
              <w:rPr>
                <w:rFonts w:asciiTheme="majorHAnsi" w:eastAsia="Times New Roman" w:hAnsiTheme="majorHAnsi" w:cstheme="majorHAnsi"/>
                <w:color w:val="000000"/>
                <w:sz w:val="16"/>
                <w:szCs w:val="16"/>
                <w:lang w:val="en-US"/>
              </w:rPr>
              <w:t>statistical</w:t>
            </w:r>
            <w:r w:rsidRPr="00D510F3">
              <w:rPr>
                <w:rFonts w:asciiTheme="majorHAnsi" w:eastAsia="Times New Roman" w:hAnsiTheme="majorHAnsi" w:cstheme="majorHAnsi"/>
                <w:color w:val="000000"/>
                <w:sz w:val="16"/>
                <w:szCs w:val="16"/>
                <w:lang w:val="en-US"/>
              </w:rPr>
              <w:t xml:space="preserve"> uncertainties</w:t>
            </w:r>
          </w:p>
        </w:tc>
      </w:tr>
      <w:tr w:rsidR="002D5302" w:rsidRPr="000D0760" w14:paraId="6F9F4F68" w14:textId="77777777" w:rsidTr="00207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vAlign w:val="center"/>
            <w:hideMark/>
          </w:tcPr>
          <w:p w14:paraId="507A5FF9" w14:textId="77777777" w:rsidR="002D5302" w:rsidRPr="00D510F3" w:rsidRDefault="002D5302" w:rsidP="00D510F3">
            <w:pPr>
              <w:jc w:val="left"/>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Corruption perception index</w:t>
            </w:r>
          </w:p>
        </w:tc>
        <w:tc>
          <w:tcPr>
            <w:tcW w:w="1134" w:type="dxa"/>
            <w:noWrap/>
            <w:vAlign w:val="center"/>
            <w:hideMark/>
          </w:tcPr>
          <w:p w14:paraId="01C0AB34" w14:textId="77777777" w:rsidR="002D5302" w:rsidRPr="00D510F3" w:rsidRDefault="002D5302" w:rsidP="00D510F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per country</w:t>
            </w:r>
          </w:p>
        </w:tc>
        <w:tc>
          <w:tcPr>
            <w:tcW w:w="6521" w:type="dxa"/>
            <w:vAlign w:val="center"/>
            <w:hideMark/>
          </w:tcPr>
          <w:p w14:paraId="577491E7" w14:textId="77777777" w:rsidR="002D5302" w:rsidRPr="00D510F3" w:rsidRDefault="002D5302" w:rsidP="00D510F3">
            <w:pPr>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D510F3">
              <w:rPr>
                <w:rFonts w:asciiTheme="majorHAnsi" w:eastAsia="Times New Roman" w:hAnsiTheme="majorHAnsi" w:cstheme="majorHAnsi"/>
                <w:color w:val="000000"/>
                <w:sz w:val="16"/>
                <w:szCs w:val="16"/>
                <w:lang w:val="en-US"/>
              </w:rPr>
              <w:t>standard error per country provided by the source</w:t>
            </w:r>
          </w:p>
        </w:tc>
      </w:tr>
    </w:tbl>
    <w:p w14:paraId="2B28DCFC" w14:textId="06C98EAC" w:rsidR="000A7C06" w:rsidRDefault="000A7C06" w:rsidP="000A7C06">
      <w:pPr>
        <w:tabs>
          <w:tab w:val="left" w:pos="4333"/>
        </w:tabs>
        <w:rPr>
          <w:lang w:val="en-US"/>
        </w:rPr>
      </w:pPr>
    </w:p>
    <w:p w14:paraId="7D731A72" w14:textId="455C03DE" w:rsidR="00D510F3" w:rsidRDefault="00D510F3" w:rsidP="000A7C06">
      <w:pPr>
        <w:tabs>
          <w:tab w:val="left" w:pos="4333"/>
        </w:tabs>
        <w:rPr>
          <w:lang w:val="en-US"/>
        </w:rPr>
      </w:pPr>
    </w:p>
    <w:p w14:paraId="760D2826" w14:textId="1D302B07" w:rsidR="00D510F3" w:rsidRDefault="00D510F3" w:rsidP="000A7C06">
      <w:pPr>
        <w:tabs>
          <w:tab w:val="left" w:pos="4333"/>
        </w:tabs>
        <w:rPr>
          <w:lang w:val="en-US"/>
        </w:rPr>
      </w:pPr>
    </w:p>
    <w:p w14:paraId="5BEF6503" w14:textId="77777777" w:rsidR="00D510F3" w:rsidRDefault="00D510F3" w:rsidP="000A7C06">
      <w:pPr>
        <w:tabs>
          <w:tab w:val="left" w:pos="4333"/>
        </w:tabs>
        <w:rPr>
          <w:lang w:val="en-US"/>
        </w:rPr>
      </w:pPr>
    </w:p>
    <w:p w14:paraId="5CF2EBF9" w14:textId="77777777" w:rsidR="00D510F3" w:rsidRDefault="00D510F3" w:rsidP="000A7C06">
      <w:pPr>
        <w:tabs>
          <w:tab w:val="left" w:pos="4333"/>
        </w:tabs>
        <w:rPr>
          <w:lang w:val="en-US"/>
        </w:rPr>
      </w:pPr>
    </w:p>
    <w:p w14:paraId="37571630" w14:textId="1A92304D" w:rsidR="00572639" w:rsidRPr="00572639" w:rsidRDefault="00572639" w:rsidP="00572639">
      <w:pPr>
        <w:pStyle w:val="Beschriftung"/>
        <w:keepNext/>
        <w:spacing w:after="0"/>
        <w:rPr>
          <w:lang w:val="en-US"/>
        </w:rPr>
      </w:pPr>
      <w:bookmarkStart w:id="4" w:name="_Ref39856465"/>
      <w:r w:rsidRPr="00572639">
        <w:rPr>
          <w:lang w:val="en-US"/>
        </w:rPr>
        <w:t xml:space="preserve">Table </w:t>
      </w:r>
      <w:r>
        <w:fldChar w:fldCharType="begin"/>
      </w:r>
      <w:r w:rsidRPr="00572639">
        <w:rPr>
          <w:lang w:val="en-US"/>
        </w:rPr>
        <w:instrText xml:space="preserve"> SEQ Table \* ARABIC </w:instrText>
      </w:r>
      <w:r>
        <w:fldChar w:fldCharType="separate"/>
      </w:r>
      <w:r w:rsidRPr="00572639">
        <w:rPr>
          <w:noProof/>
          <w:lang w:val="en-US"/>
        </w:rPr>
        <w:t>4</w:t>
      </w:r>
      <w:r>
        <w:fldChar w:fldCharType="end"/>
      </w:r>
      <w:bookmarkEnd w:id="4"/>
      <w:r w:rsidRPr="00572639">
        <w:rPr>
          <w:lang w:val="en-US"/>
        </w:rPr>
        <w:t>: Assumed standard Errors f</w:t>
      </w:r>
      <w:r>
        <w:rPr>
          <w:lang w:val="en-US"/>
        </w:rPr>
        <w:t>or all Indicators and all countries</w:t>
      </w:r>
    </w:p>
    <w:tbl>
      <w:tblPr>
        <w:tblStyle w:val="EinfacheTabelle2"/>
        <w:tblW w:w="14576" w:type="dxa"/>
        <w:tblLook w:val="04A0" w:firstRow="1" w:lastRow="0" w:firstColumn="1" w:lastColumn="0" w:noHBand="0" w:noVBand="1"/>
      </w:tblPr>
      <w:tblGrid>
        <w:gridCol w:w="2127"/>
        <w:gridCol w:w="541"/>
        <w:gridCol w:w="567"/>
        <w:gridCol w:w="567"/>
        <w:gridCol w:w="580"/>
        <w:gridCol w:w="580"/>
        <w:gridCol w:w="580"/>
        <w:gridCol w:w="567"/>
        <w:gridCol w:w="580"/>
        <w:gridCol w:w="580"/>
        <w:gridCol w:w="580"/>
        <w:gridCol w:w="580"/>
        <w:gridCol w:w="567"/>
        <w:gridCol w:w="580"/>
        <w:gridCol w:w="580"/>
        <w:gridCol w:w="580"/>
        <w:gridCol w:w="580"/>
        <w:gridCol w:w="580"/>
        <w:gridCol w:w="567"/>
        <w:gridCol w:w="567"/>
        <w:gridCol w:w="580"/>
        <w:gridCol w:w="567"/>
        <w:gridCol w:w="541"/>
      </w:tblGrid>
      <w:tr w:rsidR="00207B43" w:rsidRPr="00207B43" w14:paraId="3FE91052" w14:textId="77777777" w:rsidTr="001A0C66">
        <w:trPr>
          <w:cnfStyle w:val="100000000000" w:firstRow="1" w:lastRow="0" w:firstColumn="0" w:lastColumn="0" w:oddVBand="0" w:evenVBand="0" w:oddHBand="0" w:evenHBand="0" w:firstRowFirstColumn="0" w:firstRowLastColumn="0" w:lastRowFirstColumn="0" w:lastRowLastColumn="0"/>
          <w:cantSplit/>
          <w:trHeight w:val="1077"/>
        </w:trPr>
        <w:tc>
          <w:tcPr>
            <w:cnfStyle w:val="001000000000" w:firstRow="0" w:lastRow="0" w:firstColumn="1" w:lastColumn="0" w:oddVBand="0" w:evenVBand="0" w:oddHBand="0" w:evenHBand="0" w:firstRowFirstColumn="0" w:firstRowLastColumn="0" w:lastRowFirstColumn="0" w:lastRowLastColumn="0"/>
            <w:tcW w:w="2127" w:type="dxa"/>
            <w:noWrap/>
            <w:vAlign w:val="bottom"/>
            <w:hideMark/>
          </w:tcPr>
          <w:p w14:paraId="16E805B6"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Indicator</w:t>
            </w:r>
          </w:p>
        </w:tc>
        <w:tc>
          <w:tcPr>
            <w:tcW w:w="399" w:type="dxa"/>
            <w:noWrap/>
            <w:textDirection w:val="btLr"/>
            <w:vAlign w:val="center"/>
            <w:hideMark/>
          </w:tcPr>
          <w:p w14:paraId="5E2FDD79"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Germany</w:t>
            </w:r>
          </w:p>
        </w:tc>
        <w:tc>
          <w:tcPr>
            <w:tcW w:w="567" w:type="dxa"/>
            <w:noWrap/>
            <w:textDirection w:val="btLr"/>
            <w:vAlign w:val="center"/>
            <w:hideMark/>
          </w:tcPr>
          <w:p w14:paraId="6D505A4C"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Slovakia</w:t>
            </w:r>
          </w:p>
        </w:tc>
        <w:tc>
          <w:tcPr>
            <w:tcW w:w="567" w:type="dxa"/>
            <w:noWrap/>
            <w:textDirection w:val="btLr"/>
            <w:vAlign w:val="center"/>
            <w:hideMark/>
          </w:tcPr>
          <w:p w14:paraId="3EA512AA"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Hungary</w:t>
            </w:r>
          </w:p>
        </w:tc>
        <w:tc>
          <w:tcPr>
            <w:tcW w:w="580" w:type="dxa"/>
            <w:noWrap/>
            <w:textDirection w:val="btLr"/>
            <w:vAlign w:val="center"/>
            <w:hideMark/>
          </w:tcPr>
          <w:p w14:paraId="5DC9E3BD"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Slovenia</w:t>
            </w:r>
          </w:p>
        </w:tc>
        <w:tc>
          <w:tcPr>
            <w:tcW w:w="580" w:type="dxa"/>
            <w:noWrap/>
            <w:textDirection w:val="btLr"/>
            <w:vAlign w:val="center"/>
            <w:hideMark/>
          </w:tcPr>
          <w:p w14:paraId="2532BDA7"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Czech Republic</w:t>
            </w:r>
          </w:p>
        </w:tc>
        <w:tc>
          <w:tcPr>
            <w:tcW w:w="580" w:type="dxa"/>
            <w:noWrap/>
            <w:textDirection w:val="btLr"/>
            <w:vAlign w:val="center"/>
            <w:hideMark/>
          </w:tcPr>
          <w:p w14:paraId="26A26A0A"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Croatia</w:t>
            </w:r>
          </w:p>
        </w:tc>
        <w:tc>
          <w:tcPr>
            <w:tcW w:w="567" w:type="dxa"/>
            <w:noWrap/>
            <w:textDirection w:val="btLr"/>
            <w:vAlign w:val="center"/>
            <w:hideMark/>
          </w:tcPr>
          <w:p w14:paraId="3FCAC837"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Austria</w:t>
            </w:r>
          </w:p>
        </w:tc>
        <w:tc>
          <w:tcPr>
            <w:tcW w:w="580" w:type="dxa"/>
            <w:noWrap/>
            <w:textDirection w:val="btLr"/>
            <w:vAlign w:val="center"/>
            <w:hideMark/>
          </w:tcPr>
          <w:p w14:paraId="616FC3DD"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 xml:space="preserve">Sweden </w:t>
            </w:r>
          </w:p>
        </w:tc>
        <w:tc>
          <w:tcPr>
            <w:tcW w:w="580" w:type="dxa"/>
            <w:noWrap/>
            <w:textDirection w:val="btLr"/>
            <w:vAlign w:val="center"/>
            <w:hideMark/>
          </w:tcPr>
          <w:p w14:paraId="17B9E5FB"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 xml:space="preserve">Kazakhstan </w:t>
            </w:r>
          </w:p>
        </w:tc>
        <w:tc>
          <w:tcPr>
            <w:tcW w:w="580" w:type="dxa"/>
            <w:noWrap/>
            <w:textDirection w:val="btLr"/>
            <w:vAlign w:val="center"/>
            <w:hideMark/>
          </w:tcPr>
          <w:p w14:paraId="51B888DA"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Russia</w:t>
            </w:r>
          </w:p>
        </w:tc>
        <w:tc>
          <w:tcPr>
            <w:tcW w:w="580" w:type="dxa"/>
            <w:noWrap/>
            <w:textDirection w:val="btLr"/>
            <w:vAlign w:val="center"/>
            <w:hideMark/>
          </w:tcPr>
          <w:p w14:paraId="2F66F5A7"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 xml:space="preserve">Ukraine </w:t>
            </w:r>
          </w:p>
        </w:tc>
        <w:tc>
          <w:tcPr>
            <w:tcW w:w="567" w:type="dxa"/>
            <w:noWrap/>
            <w:textDirection w:val="btLr"/>
            <w:vAlign w:val="center"/>
            <w:hideMark/>
          </w:tcPr>
          <w:p w14:paraId="1BEAD512"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 xml:space="preserve">Brazil </w:t>
            </w:r>
          </w:p>
        </w:tc>
        <w:tc>
          <w:tcPr>
            <w:tcW w:w="580" w:type="dxa"/>
            <w:noWrap/>
            <w:textDirection w:val="btLr"/>
            <w:vAlign w:val="center"/>
            <w:hideMark/>
          </w:tcPr>
          <w:p w14:paraId="1AFCDF5E"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 xml:space="preserve">Chile </w:t>
            </w:r>
          </w:p>
        </w:tc>
        <w:tc>
          <w:tcPr>
            <w:tcW w:w="580" w:type="dxa"/>
            <w:noWrap/>
            <w:textDirection w:val="btLr"/>
            <w:vAlign w:val="center"/>
            <w:hideMark/>
          </w:tcPr>
          <w:p w14:paraId="7211EC17"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 xml:space="preserve">Peru </w:t>
            </w:r>
          </w:p>
        </w:tc>
        <w:tc>
          <w:tcPr>
            <w:tcW w:w="580" w:type="dxa"/>
            <w:noWrap/>
            <w:textDirection w:val="btLr"/>
            <w:vAlign w:val="center"/>
            <w:hideMark/>
          </w:tcPr>
          <w:p w14:paraId="349B317B"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Venezuela</w:t>
            </w:r>
          </w:p>
        </w:tc>
        <w:tc>
          <w:tcPr>
            <w:tcW w:w="580" w:type="dxa"/>
            <w:noWrap/>
            <w:textDirection w:val="btLr"/>
            <w:vAlign w:val="center"/>
            <w:hideMark/>
          </w:tcPr>
          <w:p w14:paraId="40C610BA"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Italy</w:t>
            </w:r>
          </w:p>
        </w:tc>
        <w:tc>
          <w:tcPr>
            <w:tcW w:w="580" w:type="dxa"/>
            <w:noWrap/>
            <w:textDirection w:val="btLr"/>
            <w:vAlign w:val="center"/>
            <w:hideMark/>
          </w:tcPr>
          <w:p w14:paraId="097C8FA2"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France</w:t>
            </w:r>
          </w:p>
        </w:tc>
        <w:tc>
          <w:tcPr>
            <w:tcW w:w="567" w:type="dxa"/>
            <w:noWrap/>
            <w:textDirection w:val="btLr"/>
            <w:vAlign w:val="center"/>
            <w:hideMark/>
          </w:tcPr>
          <w:p w14:paraId="0A9EE816"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Spain</w:t>
            </w:r>
          </w:p>
        </w:tc>
        <w:tc>
          <w:tcPr>
            <w:tcW w:w="567" w:type="dxa"/>
            <w:noWrap/>
            <w:textDirection w:val="btLr"/>
            <w:vAlign w:val="center"/>
            <w:hideMark/>
          </w:tcPr>
          <w:p w14:paraId="0D3A4A3E"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Poland</w:t>
            </w:r>
          </w:p>
        </w:tc>
        <w:tc>
          <w:tcPr>
            <w:tcW w:w="580" w:type="dxa"/>
            <w:textDirection w:val="btLr"/>
            <w:vAlign w:val="center"/>
            <w:hideMark/>
          </w:tcPr>
          <w:p w14:paraId="103EF37C"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Belgium</w:t>
            </w:r>
          </w:p>
        </w:tc>
        <w:tc>
          <w:tcPr>
            <w:tcW w:w="567" w:type="dxa"/>
            <w:noWrap/>
            <w:textDirection w:val="btLr"/>
            <w:vAlign w:val="center"/>
            <w:hideMark/>
          </w:tcPr>
          <w:p w14:paraId="5A0F900C"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United Kingdom</w:t>
            </w:r>
          </w:p>
        </w:tc>
        <w:tc>
          <w:tcPr>
            <w:tcW w:w="541" w:type="dxa"/>
            <w:textDirection w:val="btLr"/>
            <w:vAlign w:val="center"/>
            <w:hideMark/>
          </w:tcPr>
          <w:p w14:paraId="2215F873" w14:textId="77777777" w:rsidR="00207B43" w:rsidRPr="00207B43" w:rsidRDefault="00207B43" w:rsidP="00207B43">
            <w:pPr>
              <w:ind w:left="113" w:right="113"/>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Netherlands</w:t>
            </w:r>
          </w:p>
        </w:tc>
      </w:tr>
      <w:tr w:rsidR="00207B43" w:rsidRPr="00207B43" w14:paraId="47BCD4A7"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6B23EAA2"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Government response rating</w:t>
            </w:r>
          </w:p>
        </w:tc>
        <w:tc>
          <w:tcPr>
            <w:tcW w:w="399" w:type="dxa"/>
            <w:noWrap/>
            <w:vAlign w:val="center"/>
            <w:hideMark/>
          </w:tcPr>
          <w:p w14:paraId="5BED48A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0,04</w:t>
            </w:r>
          </w:p>
        </w:tc>
        <w:tc>
          <w:tcPr>
            <w:tcW w:w="567" w:type="dxa"/>
            <w:noWrap/>
            <w:vAlign w:val="center"/>
            <w:hideMark/>
          </w:tcPr>
          <w:p w14:paraId="390A108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0,04</w:t>
            </w:r>
          </w:p>
        </w:tc>
        <w:tc>
          <w:tcPr>
            <w:tcW w:w="567" w:type="dxa"/>
            <w:noWrap/>
            <w:vAlign w:val="center"/>
            <w:hideMark/>
          </w:tcPr>
          <w:p w14:paraId="5229ED2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0,04</w:t>
            </w:r>
          </w:p>
        </w:tc>
        <w:tc>
          <w:tcPr>
            <w:tcW w:w="580" w:type="dxa"/>
            <w:noWrap/>
            <w:vAlign w:val="center"/>
            <w:hideMark/>
          </w:tcPr>
          <w:p w14:paraId="2D7BDBA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0,04</w:t>
            </w:r>
          </w:p>
        </w:tc>
        <w:tc>
          <w:tcPr>
            <w:tcW w:w="580" w:type="dxa"/>
            <w:noWrap/>
            <w:vAlign w:val="center"/>
            <w:hideMark/>
          </w:tcPr>
          <w:p w14:paraId="03A600B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0,04</w:t>
            </w:r>
          </w:p>
        </w:tc>
        <w:tc>
          <w:tcPr>
            <w:tcW w:w="580" w:type="dxa"/>
            <w:noWrap/>
            <w:vAlign w:val="center"/>
            <w:hideMark/>
          </w:tcPr>
          <w:p w14:paraId="12753F2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0,03</w:t>
            </w:r>
          </w:p>
        </w:tc>
        <w:tc>
          <w:tcPr>
            <w:tcW w:w="567" w:type="dxa"/>
            <w:noWrap/>
            <w:vAlign w:val="center"/>
            <w:hideMark/>
          </w:tcPr>
          <w:p w14:paraId="37054FA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0,03</w:t>
            </w:r>
          </w:p>
        </w:tc>
        <w:tc>
          <w:tcPr>
            <w:tcW w:w="580" w:type="dxa"/>
            <w:noWrap/>
            <w:vAlign w:val="center"/>
            <w:hideMark/>
          </w:tcPr>
          <w:p w14:paraId="61CD9D3F"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0,03</w:t>
            </w:r>
          </w:p>
        </w:tc>
        <w:tc>
          <w:tcPr>
            <w:tcW w:w="580" w:type="dxa"/>
            <w:noWrap/>
            <w:vAlign w:val="center"/>
            <w:hideMark/>
          </w:tcPr>
          <w:p w14:paraId="2816631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0,07</w:t>
            </w:r>
          </w:p>
        </w:tc>
        <w:tc>
          <w:tcPr>
            <w:tcW w:w="580" w:type="dxa"/>
            <w:noWrap/>
            <w:vAlign w:val="center"/>
            <w:hideMark/>
          </w:tcPr>
          <w:p w14:paraId="7DE41DB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0,08</w:t>
            </w:r>
          </w:p>
        </w:tc>
        <w:tc>
          <w:tcPr>
            <w:tcW w:w="580" w:type="dxa"/>
            <w:noWrap/>
            <w:vAlign w:val="center"/>
            <w:hideMark/>
          </w:tcPr>
          <w:p w14:paraId="3355678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0,04</w:t>
            </w:r>
          </w:p>
        </w:tc>
        <w:tc>
          <w:tcPr>
            <w:tcW w:w="567" w:type="dxa"/>
            <w:noWrap/>
            <w:vAlign w:val="center"/>
            <w:hideMark/>
          </w:tcPr>
          <w:p w14:paraId="6E7067F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0,04</w:t>
            </w:r>
          </w:p>
        </w:tc>
        <w:tc>
          <w:tcPr>
            <w:tcW w:w="580" w:type="dxa"/>
            <w:noWrap/>
            <w:vAlign w:val="center"/>
            <w:hideMark/>
          </w:tcPr>
          <w:p w14:paraId="6950B5EF"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0,03</w:t>
            </w:r>
          </w:p>
        </w:tc>
        <w:tc>
          <w:tcPr>
            <w:tcW w:w="580" w:type="dxa"/>
            <w:noWrap/>
            <w:vAlign w:val="center"/>
            <w:hideMark/>
          </w:tcPr>
          <w:p w14:paraId="586077F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0,04</w:t>
            </w:r>
          </w:p>
        </w:tc>
        <w:tc>
          <w:tcPr>
            <w:tcW w:w="580" w:type="dxa"/>
            <w:noWrap/>
            <w:vAlign w:val="center"/>
            <w:hideMark/>
          </w:tcPr>
          <w:p w14:paraId="07E6953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0,08</w:t>
            </w:r>
          </w:p>
        </w:tc>
        <w:tc>
          <w:tcPr>
            <w:tcW w:w="580" w:type="dxa"/>
            <w:noWrap/>
            <w:vAlign w:val="center"/>
            <w:hideMark/>
          </w:tcPr>
          <w:p w14:paraId="33F76D6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0,03</w:t>
            </w:r>
          </w:p>
        </w:tc>
        <w:tc>
          <w:tcPr>
            <w:tcW w:w="580" w:type="dxa"/>
            <w:noWrap/>
            <w:vAlign w:val="center"/>
            <w:hideMark/>
          </w:tcPr>
          <w:p w14:paraId="362D872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0,03</w:t>
            </w:r>
          </w:p>
        </w:tc>
        <w:tc>
          <w:tcPr>
            <w:tcW w:w="567" w:type="dxa"/>
            <w:noWrap/>
            <w:vAlign w:val="center"/>
            <w:hideMark/>
          </w:tcPr>
          <w:p w14:paraId="0BA7930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0,03</w:t>
            </w:r>
          </w:p>
        </w:tc>
        <w:tc>
          <w:tcPr>
            <w:tcW w:w="567" w:type="dxa"/>
            <w:noWrap/>
            <w:vAlign w:val="center"/>
            <w:hideMark/>
          </w:tcPr>
          <w:p w14:paraId="36BF560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0,04</w:t>
            </w:r>
          </w:p>
        </w:tc>
        <w:tc>
          <w:tcPr>
            <w:tcW w:w="580" w:type="dxa"/>
            <w:vAlign w:val="center"/>
            <w:hideMark/>
          </w:tcPr>
          <w:p w14:paraId="6554C52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0,03</w:t>
            </w:r>
          </w:p>
        </w:tc>
        <w:tc>
          <w:tcPr>
            <w:tcW w:w="567" w:type="dxa"/>
            <w:noWrap/>
            <w:vAlign w:val="center"/>
            <w:hideMark/>
          </w:tcPr>
          <w:p w14:paraId="001D3FBF"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0,03</w:t>
            </w:r>
          </w:p>
        </w:tc>
        <w:tc>
          <w:tcPr>
            <w:tcW w:w="541" w:type="dxa"/>
            <w:vAlign w:val="center"/>
            <w:hideMark/>
          </w:tcPr>
          <w:p w14:paraId="7D23212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0,02</w:t>
            </w:r>
          </w:p>
        </w:tc>
      </w:tr>
      <w:tr w:rsidR="00207B43" w:rsidRPr="00207B43" w14:paraId="6C3DB810"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3236E4F5"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Vulnerability to modern slavery</w:t>
            </w:r>
          </w:p>
        </w:tc>
        <w:tc>
          <w:tcPr>
            <w:tcW w:w="399" w:type="dxa"/>
            <w:noWrap/>
            <w:vAlign w:val="center"/>
            <w:hideMark/>
          </w:tcPr>
          <w:p w14:paraId="7EFA601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1,04</w:t>
            </w:r>
          </w:p>
        </w:tc>
        <w:tc>
          <w:tcPr>
            <w:tcW w:w="567" w:type="dxa"/>
            <w:noWrap/>
            <w:vAlign w:val="center"/>
            <w:hideMark/>
          </w:tcPr>
          <w:p w14:paraId="66466C4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2,72</w:t>
            </w:r>
          </w:p>
        </w:tc>
        <w:tc>
          <w:tcPr>
            <w:tcW w:w="567" w:type="dxa"/>
            <w:noWrap/>
            <w:vAlign w:val="center"/>
            <w:hideMark/>
          </w:tcPr>
          <w:p w14:paraId="36B5236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2,36</w:t>
            </w:r>
          </w:p>
        </w:tc>
        <w:tc>
          <w:tcPr>
            <w:tcW w:w="580" w:type="dxa"/>
            <w:noWrap/>
            <w:vAlign w:val="center"/>
            <w:hideMark/>
          </w:tcPr>
          <w:p w14:paraId="5E1D16E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2,01</w:t>
            </w:r>
          </w:p>
        </w:tc>
        <w:tc>
          <w:tcPr>
            <w:tcW w:w="580" w:type="dxa"/>
            <w:noWrap/>
            <w:vAlign w:val="center"/>
            <w:hideMark/>
          </w:tcPr>
          <w:p w14:paraId="1D04F4B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1,91</w:t>
            </w:r>
          </w:p>
        </w:tc>
        <w:tc>
          <w:tcPr>
            <w:tcW w:w="580" w:type="dxa"/>
            <w:noWrap/>
            <w:vAlign w:val="center"/>
            <w:hideMark/>
          </w:tcPr>
          <w:p w14:paraId="622BCA1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3,27</w:t>
            </w:r>
          </w:p>
        </w:tc>
        <w:tc>
          <w:tcPr>
            <w:tcW w:w="567" w:type="dxa"/>
            <w:noWrap/>
            <w:vAlign w:val="center"/>
            <w:hideMark/>
          </w:tcPr>
          <w:p w14:paraId="44F3EEF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0,34</w:t>
            </w:r>
          </w:p>
        </w:tc>
        <w:tc>
          <w:tcPr>
            <w:tcW w:w="580" w:type="dxa"/>
            <w:noWrap/>
            <w:vAlign w:val="center"/>
            <w:hideMark/>
          </w:tcPr>
          <w:p w14:paraId="5D23CFE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0,43</w:t>
            </w:r>
          </w:p>
        </w:tc>
        <w:tc>
          <w:tcPr>
            <w:tcW w:w="580" w:type="dxa"/>
            <w:noWrap/>
            <w:vAlign w:val="center"/>
            <w:hideMark/>
          </w:tcPr>
          <w:p w14:paraId="41EAA32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4,33</w:t>
            </w:r>
          </w:p>
        </w:tc>
        <w:tc>
          <w:tcPr>
            <w:tcW w:w="580" w:type="dxa"/>
            <w:noWrap/>
            <w:vAlign w:val="center"/>
            <w:hideMark/>
          </w:tcPr>
          <w:p w14:paraId="61822D1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5,16</w:t>
            </w:r>
          </w:p>
        </w:tc>
        <w:tc>
          <w:tcPr>
            <w:tcW w:w="580" w:type="dxa"/>
            <w:noWrap/>
            <w:vAlign w:val="center"/>
            <w:hideMark/>
          </w:tcPr>
          <w:p w14:paraId="5A09ADD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5,44</w:t>
            </w:r>
          </w:p>
        </w:tc>
        <w:tc>
          <w:tcPr>
            <w:tcW w:w="567" w:type="dxa"/>
            <w:noWrap/>
            <w:vAlign w:val="center"/>
            <w:hideMark/>
          </w:tcPr>
          <w:p w14:paraId="405EF80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3,64</w:t>
            </w:r>
          </w:p>
        </w:tc>
        <w:tc>
          <w:tcPr>
            <w:tcW w:w="580" w:type="dxa"/>
            <w:noWrap/>
            <w:vAlign w:val="center"/>
            <w:hideMark/>
          </w:tcPr>
          <w:p w14:paraId="165F20F5"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2,56</w:t>
            </w:r>
          </w:p>
        </w:tc>
        <w:tc>
          <w:tcPr>
            <w:tcW w:w="580" w:type="dxa"/>
            <w:noWrap/>
            <w:vAlign w:val="center"/>
            <w:hideMark/>
          </w:tcPr>
          <w:p w14:paraId="5A8011B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4,43</w:t>
            </w:r>
          </w:p>
        </w:tc>
        <w:tc>
          <w:tcPr>
            <w:tcW w:w="580" w:type="dxa"/>
            <w:noWrap/>
            <w:vAlign w:val="center"/>
            <w:hideMark/>
          </w:tcPr>
          <w:p w14:paraId="7E35B5C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5,79</w:t>
            </w:r>
          </w:p>
        </w:tc>
        <w:tc>
          <w:tcPr>
            <w:tcW w:w="580" w:type="dxa"/>
            <w:noWrap/>
            <w:vAlign w:val="center"/>
            <w:hideMark/>
          </w:tcPr>
          <w:p w14:paraId="6D8CB5D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2,83</w:t>
            </w:r>
          </w:p>
        </w:tc>
        <w:tc>
          <w:tcPr>
            <w:tcW w:w="580" w:type="dxa"/>
            <w:noWrap/>
            <w:vAlign w:val="center"/>
            <w:hideMark/>
          </w:tcPr>
          <w:p w14:paraId="4A28EBD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1,53</w:t>
            </w:r>
          </w:p>
        </w:tc>
        <w:tc>
          <w:tcPr>
            <w:tcW w:w="567" w:type="dxa"/>
            <w:noWrap/>
            <w:vAlign w:val="center"/>
            <w:hideMark/>
          </w:tcPr>
          <w:p w14:paraId="1EEBB4B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1,28</w:t>
            </w:r>
          </w:p>
        </w:tc>
        <w:tc>
          <w:tcPr>
            <w:tcW w:w="567" w:type="dxa"/>
            <w:noWrap/>
            <w:vAlign w:val="center"/>
            <w:hideMark/>
          </w:tcPr>
          <w:p w14:paraId="53810A7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2,44</w:t>
            </w:r>
          </w:p>
        </w:tc>
        <w:tc>
          <w:tcPr>
            <w:tcW w:w="580" w:type="dxa"/>
            <w:vAlign w:val="center"/>
            <w:hideMark/>
          </w:tcPr>
          <w:p w14:paraId="187AD78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1,31</w:t>
            </w:r>
          </w:p>
        </w:tc>
        <w:tc>
          <w:tcPr>
            <w:tcW w:w="567" w:type="dxa"/>
            <w:noWrap/>
            <w:vAlign w:val="center"/>
            <w:hideMark/>
          </w:tcPr>
          <w:p w14:paraId="3BAB82F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1,59</w:t>
            </w:r>
          </w:p>
        </w:tc>
        <w:tc>
          <w:tcPr>
            <w:tcW w:w="541" w:type="dxa"/>
            <w:vAlign w:val="center"/>
            <w:hideMark/>
          </w:tcPr>
          <w:p w14:paraId="3DCC935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0,61</w:t>
            </w:r>
          </w:p>
        </w:tc>
      </w:tr>
      <w:tr w:rsidR="00207B43" w:rsidRPr="00207B43" w14:paraId="0E934A9D"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16CB2BE3"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Economic participation and opportunity</w:t>
            </w:r>
          </w:p>
        </w:tc>
        <w:tc>
          <w:tcPr>
            <w:tcW w:w="399" w:type="dxa"/>
            <w:noWrap/>
            <w:vAlign w:val="center"/>
            <w:hideMark/>
          </w:tcPr>
          <w:p w14:paraId="0B5F508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67" w:type="dxa"/>
            <w:noWrap/>
            <w:vAlign w:val="center"/>
            <w:hideMark/>
          </w:tcPr>
          <w:p w14:paraId="629FF85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67" w:type="dxa"/>
            <w:noWrap/>
            <w:vAlign w:val="center"/>
            <w:hideMark/>
          </w:tcPr>
          <w:p w14:paraId="2E072A8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63F644D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79BCE6B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5EEBF42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67" w:type="dxa"/>
            <w:noWrap/>
            <w:vAlign w:val="center"/>
            <w:hideMark/>
          </w:tcPr>
          <w:p w14:paraId="1D02C88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0ED296C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3FEF976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658F2F7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411CD02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67" w:type="dxa"/>
            <w:noWrap/>
            <w:vAlign w:val="center"/>
            <w:hideMark/>
          </w:tcPr>
          <w:p w14:paraId="096A65E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51D3FA7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4C3BFC1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344226C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68D5FA1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noWrap/>
            <w:vAlign w:val="center"/>
            <w:hideMark/>
          </w:tcPr>
          <w:p w14:paraId="73E7B90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67" w:type="dxa"/>
            <w:noWrap/>
            <w:vAlign w:val="center"/>
            <w:hideMark/>
          </w:tcPr>
          <w:p w14:paraId="1BB2A46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67" w:type="dxa"/>
            <w:noWrap/>
            <w:vAlign w:val="center"/>
            <w:hideMark/>
          </w:tcPr>
          <w:p w14:paraId="2F5AC3B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80" w:type="dxa"/>
            <w:vAlign w:val="center"/>
            <w:hideMark/>
          </w:tcPr>
          <w:p w14:paraId="4813F0D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67" w:type="dxa"/>
            <w:noWrap/>
            <w:vAlign w:val="center"/>
            <w:hideMark/>
          </w:tcPr>
          <w:p w14:paraId="400B576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41" w:type="dxa"/>
            <w:vAlign w:val="center"/>
            <w:hideMark/>
          </w:tcPr>
          <w:p w14:paraId="0E23CD9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r>
      <w:tr w:rsidR="00207B43" w:rsidRPr="00207B43" w14:paraId="7A536224"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43A22F51"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Vulnerable employment</w:t>
            </w:r>
          </w:p>
        </w:tc>
        <w:tc>
          <w:tcPr>
            <w:tcW w:w="399" w:type="dxa"/>
            <w:noWrap/>
            <w:vAlign w:val="center"/>
            <w:hideMark/>
          </w:tcPr>
          <w:p w14:paraId="3FFE1EC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12F0794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0,20</w:t>
            </w:r>
          </w:p>
        </w:tc>
        <w:tc>
          <w:tcPr>
            <w:tcW w:w="567" w:type="dxa"/>
            <w:noWrap/>
            <w:vAlign w:val="center"/>
            <w:hideMark/>
          </w:tcPr>
          <w:p w14:paraId="2E69C50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0,20</w:t>
            </w:r>
          </w:p>
        </w:tc>
        <w:tc>
          <w:tcPr>
            <w:tcW w:w="580" w:type="dxa"/>
            <w:noWrap/>
            <w:vAlign w:val="center"/>
            <w:hideMark/>
          </w:tcPr>
          <w:p w14:paraId="2AB9744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2,00</w:t>
            </w:r>
          </w:p>
        </w:tc>
        <w:tc>
          <w:tcPr>
            <w:tcW w:w="580" w:type="dxa"/>
            <w:noWrap/>
            <w:vAlign w:val="center"/>
            <w:hideMark/>
          </w:tcPr>
          <w:p w14:paraId="27AE27C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0,40</w:t>
            </w:r>
          </w:p>
        </w:tc>
        <w:tc>
          <w:tcPr>
            <w:tcW w:w="580" w:type="dxa"/>
            <w:noWrap/>
            <w:vAlign w:val="center"/>
            <w:hideMark/>
          </w:tcPr>
          <w:p w14:paraId="5F39A7C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2,50</w:t>
            </w:r>
          </w:p>
        </w:tc>
        <w:tc>
          <w:tcPr>
            <w:tcW w:w="567" w:type="dxa"/>
            <w:noWrap/>
            <w:vAlign w:val="center"/>
            <w:hideMark/>
          </w:tcPr>
          <w:p w14:paraId="41E77CD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0,55</w:t>
            </w:r>
          </w:p>
        </w:tc>
        <w:tc>
          <w:tcPr>
            <w:tcW w:w="580" w:type="dxa"/>
            <w:noWrap/>
            <w:vAlign w:val="center"/>
            <w:hideMark/>
          </w:tcPr>
          <w:p w14:paraId="68AD8A1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649683F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2,00</w:t>
            </w:r>
          </w:p>
        </w:tc>
        <w:tc>
          <w:tcPr>
            <w:tcW w:w="580" w:type="dxa"/>
            <w:noWrap/>
            <w:vAlign w:val="center"/>
            <w:hideMark/>
          </w:tcPr>
          <w:p w14:paraId="7D519A1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3E91F5E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0,20</w:t>
            </w:r>
          </w:p>
        </w:tc>
        <w:tc>
          <w:tcPr>
            <w:tcW w:w="567" w:type="dxa"/>
            <w:noWrap/>
            <w:vAlign w:val="center"/>
            <w:hideMark/>
          </w:tcPr>
          <w:p w14:paraId="009418C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1,00</w:t>
            </w:r>
          </w:p>
        </w:tc>
        <w:tc>
          <w:tcPr>
            <w:tcW w:w="580" w:type="dxa"/>
            <w:noWrap/>
            <w:vAlign w:val="center"/>
            <w:hideMark/>
          </w:tcPr>
          <w:p w14:paraId="4C8867E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0,75</w:t>
            </w:r>
          </w:p>
        </w:tc>
        <w:tc>
          <w:tcPr>
            <w:tcW w:w="580" w:type="dxa"/>
            <w:noWrap/>
            <w:vAlign w:val="center"/>
            <w:hideMark/>
          </w:tcPr>
          <w:p w14:paraId="28071DA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0,40</w:t>
            </w:r>
          </w:p>
        </w:tc>
        <w:tc>
          <w:tcPr>
            <w:tcW w:w="580" w:type="dxa"/>
            <w:noWrap/>
            <w:vAlign w:val="center"/>
            <w:hideMark/>
          </w:tcPr>
          <w:p w14:paraId="340963F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1,70</w:t>
            </w:r>
          </w:p>
        </w:tc>
        <w:tc>
          <w:tcPr>
            <w:tcW w:w="580" w:type="dxa"/>
            <w:noWrap/>
            <w:vAlign w:val="center"/>
            <w:hideMark/>
          </w:tcPr>
          <w:p w14:paraId="674CBB7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0,60</w:t>
            </w:r>
          </w:p>
        </w:tc>
        <w:tc>
          <w:tcPr>
            <w:tcW w:w="580" w:type="dxa"/>
            <w:noWrap/>
            <w:vAlign w:val="center"/>
            <w:hideMark/>
          </w:tcPr>
          <w:p w14:paraId="05C0C20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0,05</w:t>
            </w:r>
          </w:p>
        </w:tc>
        <w:tc>
          <w:tcPr>
            <w:tcW w:w="567" w:type="dxa"/>
            <w:noWrap/>
            <w:vAlign w:val="center"/>
            <w:hideMark/>
          </w:tcPr>
          <w:p w14:paraId="4EE0AC2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0,75</w:t>
            </w:r>
          </w:p>
        </w:tc>
        <w:tc>
          <w:tcPr>
            <w:tcW w:w="567" w:type="dxa"/>
            <w:noWrap/>
            <w:vAlign w:val="center"/>
            <w:hideMark/>
          </w:tcPr>
          <w:p w14:paraId="1C387E8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0,65</w:t>
            </w:r>
          </w:p>
        </w:tc>
        <w:tc>
          <w:tcPr>
            <w:tcW w:w="580" w:type="dxa"/>
            <w:vAlign w:val="center"/>
            <w:hideMark/>
          </w:tcPr>
          <w:p w14:paraId="3E5AC34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0,35</w:t>
            </w:r>
          </w:p>
        </w:tc>
        <w:tc>
          <w:tcPr>
            <w:tcW w:w="567" w:type="dxa"/>
            <w:noWrap/>
            <w:vAlign w:val="center"/>
            <w:hideMark/>
          </w:tcPr>
          <w:p w14:paraId="3B026A8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41" w:type="dxa"/>
            <w:vAlign w:val="center"/>
            <w:hideMark/>
          </w:tcPr>
          <w:p w14:paraId="66BCF6C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0,18</w:t>
            </w:r>
          </w:p>
        </w:tc>
      </w:tr>
      <w:tr w:rsidR="00207B43" w:rsidRPr="00207B43" w14:paraId="459DE4E6"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6BE8EDF8"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 xml:space="preserve">Fair wage potential </w:t>
            </w:r>
          </w:p>
        </w:tc>
        <w:tc>
          <w:tcPr>
            <w:tcW w:w="399" w:type="dxa"/>
            <w:noWrap/>
            <w:vAlign w:val="center"/>
            <w:hideMark/>
          </w:tcPr>
          <w:p w14:paraId="61FE3CB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67" w:type="dxa"/>
            <w:noWrap/>
            <w:vAlign w:val="center"/>
            <w:hideMark/>
          </w:tcPr>
          <w:p w14:paraId="716B97B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47A8F90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80" w:type="dxa"/>
            <w:noWrap/>
            <w:vAlign w:val="center"/>
            <w:hideMark/>
          </w:tcPr>
          <w:p w14:paraId="3866C44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80" w:type="dxa"/>
            <w:noWrap/>
            <w:vAlign w:val="center"/>
            <w:hideMark/>
          </w:tcPr>
          <w:p w14:paraId="5984DB3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58DABDBF"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67" w:type="dxa"/>
            <w:noWrap/>
            <w:vAlign w:val="center"/>
            <w:hideMark/>
          </w:tcPr>
          <w:p w14:paraId="5AAE306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80" w:type="dxa"/>
            <w:noWrap/>
            <w:vAlign w:val="center"/>
            <w:hideMark/>
          </w:tcPr>
          <w:p w14:paraId="6783244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2D146BC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03766D0F"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80" w:type="dxa"/>
            <w:noWrap/>
            <w:vAlign w:val="center"/>
            <w:hideMark/>
          </w:tcPr>
          <w:p w14:paraId="714296C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229FA20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80" w:type="dxa"/>
            <w:noWrap/>
            <w:vAlign w:val="center"/>
            <w:hideMark/>
          </w:tcPr>
          <w:p w14:paraId="61175D2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80" w:type="dxa"/>
            <w:noWrap/>
            <w:vAlign w:val="center"/>
            <w:hideMark/>
          </w:tcPr>
          <w:p w14:paraId="585E6C8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80" w:type="dxa"/>
            <w:noWrap/>
            <w:vAlign w:val="center"/>
            <w:hideMark/>
          </w:tcPr>
          <w:p w14:paraId="39754C9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6407C10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1885F02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655AFF9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67" w:type="dxa"/>
            <w:noWrap/>
            <w:vAlign w:val="center"/>
            <w:hideMark/>
          </w:tcPr>
          <w:p w14:paraId="6F0CA55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80" w:type="dxa"/>
            <w:vAlign w:val="center"/>
            <w:hideMark/>
          </w:tcPr>
          <w:p w14:paraId="532EDD4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67" w:type="dxa"/>
            <w:noWrap/>
            <w:vAlign w:val="center"/>
            <w:hideMark/>
          </w:tcPr>
          <w:p w14:paraId="47EAF5B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c>
          <w:tcPr>
            <w:tcW w:w="541" w:type="dxa"/>
            <w:vAlign w:val="center"/>
            <w:hideMark/>
          </w:tcPr>
          <w:p w14:paraId="1BE1EF1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0,09</w:t>
            </w:r>
          </w:p>
        </w:tc>
      </w:tr>
      <w:tr w:rsidR="00207B43" w:rsidRPr="00207B43" w14:paraId="560D489F"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55633773"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Occupational safety and health</w:t>
            </w:r>
          </w:p>
        </w:tc>
        <w:tc>
          <w:tcPr>
            <w:tcW w:w="399" w:type="dxa"/>
            <w:noWrap/>
            <w:vAlign w:val="center"/>
            <w:hideMark/>
          </w:tcPr>
          <w:p w14:paraId="5A53263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67" w:type="dxa"/>
            <w:noWrap/>
            <w:vAlign w:val="center"/>
            <w:hideMark/>
          </w:tcPr>
          <w:p w14:paraId="42ED29D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67" w:type="dxa"/>
            <w:noWrap/>
            <w:vAlign w:val="center"/>
            <w:hideMark/>
          </w:tcPr>
          <w:p w14:paraId="1F6A5F7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4EDC3915"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7186BBF5"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58E5A455"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67" w:type="dxa"/>
            <w:noWrap/>
            <w:vAlign w:val="center"/>
            <w:hideMark/>
          </w:tcPr>
          <w:p w14:paraId="7CDE344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738995F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004AE18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53B9AAF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14E099C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67" w:type="dxa"/>
            <w:noWrap/>
            <w:vAlign w:val="center"/>
            <w:hideMark/>
          </w:tcPr>
          <w:p w14:paraId="07792E0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4EE8AE1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4F6BB4D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7205B26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5F9A4E3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3DB79FB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67" w:type="dxa"/>
            <w:noWrap/>
            <w:vAlign w:val="center"/>
            <w:hideMark/>
          </w:tcPr>
          <w:p w14:paraId="48774CD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67" w:type="dxa"/>
            <w:noWrap/>
            <w:vAlign w:val="center"/>
            <w:hideMark/>
          </w:tcPr>
          <w:p w14:paraId="23CB4BF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vAlign w:val="center"/>
            <w:hideMark/>
          </w:tcPr>
          <w:p w14:paraId="492D17B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67" w:type="dxa"/>
            <w:noWrap/>
            <w:vAlign w:val="center"/>
            <w:hideMark/>
          </w:tcPr>
          <w:p w14:paraId="61F4C0E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41" w:type="dxa"/>
            <w:vAlign w:val="center"/>
            <w:hideMark/>
          </w:tcPr>
          <w:p w14:paraId="0598E81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r>
      <w:tr w:rsidR="00207B43" w:rsidRPr="00207B43" w14:paraId="3F8C4DE0"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56A7DC6B"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DALY attributable to occupational risks</w:t>
            </w:r>
          </w:p>
        </w:tc>
        <w:tc>
          <w:tcPr>
            <w:tcW w:w="399" w:type="dxa"/>
            <w:noWrap/>
            <w:vAlign w:val="center"/>
            <w:hideMark/>
          </w:tcPr>
          <w:p w14:paraId="00BFDAD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9,00</w:t>
            </w:r>
          </w:p>
        </w:tc>
        <w:tc>
          <w:tcPr>
            <w:tcW w:w="567" w:type="dxa"/>
            <w:noWrap/>
            <w:vAlign w:val="center"/>
            <w:hideMark/>
          </w:tcPr>
          <w:p w14:paraId="5B3B98D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9,60</w:t>
            </w:r>
          </w:p>
        </w:tc>
        <w:tc>
          <w:tcPr>
            <w:tcW w:w="567" w:type="dxa"/>
            <w:noWrap/>
            <w:vAlign w:val="center"/>
            <w:hideMark/>
          </w:tcPr>
          <w:p w14:paraId="18633A1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9,30</w:t>
            </w:r>
          </w:p>
        </w:tc>
        <w:tc>
          <w:tcPr>
            <w:tcW w:w="580" w:type="dxa"/>
            <w:noWrap/>
            <w:vAlign w:val="center"/>
            <w:hideMark/>
          </w:tcPr>
          <w:p w14:paraId="31B7417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11,00</w:t>
            </w:r>
          </w:p>
        </w:tc>
        <w:tc>
          <w:tcPr>
            <w:tcW w:w="580" w:type="dxa"/>
            <w:noWrap/>
            <w:vAlign w:val="center"/>
            <w:hideMark/>
          </w:tcPr>
          <w:p w14:paraId="5E57614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12,60</w:t>
            </w:r>
          </w:p>
        </w:tc>
        <w:tc>
          <w:tcPr>
            <w:tcW w:w="580" w:type="dxa"/>
            <w:noWrap/>
            <w:vAlign w:val="center"/>
            <w:hideMark/>
          </w:tcPr>
          <w:p w14:paraId="593B9B9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10,80</w:t>
            </w:r>
          </w:p>
        </w:tc>
        <w:tc>
          <w:tcPr>
            <w:tcW w:w="567" w:type="dxa"/>
            <w:noWrap/>
            <w:vAlign w:val="center"/>
            <w:hideMark/>
          </w:tcPr>
          <w:p w14:paraId="5ECDA01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9,60</w:t>
            </w:r>
          </w:p>
        </w:tc>
        <w:tc>
          <w:tcPr>
            <w:tcW w:w="580" w:type="dxa"/>
            <w:noWrap/>
            <w:vAlign w:val="center"/>
            <w:hideMark/>
          </w:tcPr>
          <w:p w14:paraId="1182715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10,10</w:t>
            </w:r>
          </w:p>
        </w:tc>
        <w:tc>
          <w:tcPr>
            <w:tcW w:w="580" w:type="dxa"/>
            <w:noWrap/>
            <w:vAlign w:val="center"/>
            <w:hideMark/>
          </w:tcPr>
          <w:p w14:paraId="5442BCD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8,80</w:t>
            </w:r>
          </w:p>
        </w:tc>
        <w:tc>
          <w:tcPr>
            <w:tcW w:w="580" w:type="dxa"/>
            <w:noWrap/>
            <w:vAlign w:val="center"/>
            <w:hideMark/>
          </w:tcPr>
          <w:p w14:paraId="1F52903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9,50</w:t>
            </w:r>
          </w:p>
        </w:tc>
        <w:tc>
          <w:tcPr>
            <w:tcW w:w="580" w:type="dxa"/>
            <w:noWrap/>
            <w:vAlign w:val="center"/>
            <w:hideMark/>
          </w:tcPr>
          <w:p w14:paraId="3D7281B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8,20</w:t>
            </w:r>
          </w:p>
        </w:tc>
        <w:tc>
          <w:tcPr>
            <w:tcW w:w="567" w:type="dxa"/>
            <w:noWrap/>
            <w:vAlign w:val="center"/>
            <w:hideMark/>
          </w:tcPr>
          <w:p w14:paraId="6CE7221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8,50</w:t>
            </w:r>
          </w:p>
        </w:tc>
        <w:tc>
          <w:tcPr>
            <w:tcW w:w="580" w:type="dxa"/>
            <w:noWrap/>
            <w:vAlign w:val="center"/>
            <w:hideMark/>
          </w:tcPr>
          <w:p w14:paraId="7A14D48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10,20</w:t>
            </w:r>
          </w:p>
        </w:tc>
        <w:tc>
          <w:tcPr>
            <w:tcW w:w="580" w:type="dxa"/>
            <w:noWrap/>
            <w:vAlign w:val="center"/>
            <w:hideMark/>
          </w:tcPr>
          <w:p w14:paraId="0C2A342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9,40</w:t>
            </w:r>
          </w:p>
        </w:tc>
        <w:tc>
          <w:tcPr>
            <w:tcW w:w="580" w:type="dxa"/>
            <w:noWrap/>
            <w:vAlign w:val="center"/>
            <w:hideMark/>
          </w:tcPr>
          <w:p w14:paraId="4A1FB8C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15,90</w:t>
            </w:r>
          </w:p>
        </w:tc>
        <w:tc>
          <w:tcPr>
            <w:tcW w:w="580" w:type="dxa"/>
            <w:noWrap/>
            <w:vAlign w:val="center"/>
            <w:hideMark/>
          </w:tcPr>
          <w:p w14:paraId="3E00606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9,50</w:t>
            </w:r>
          </w:p>
        </w:tc>
        <w:tc>
          <w:tcPr>
            <w:tcW w:w="580" w:type="dxa"/>
            <w:noWrap/>
            <w:vAlign w:val="center"/>
            <w:hideMark/>
          </w:tcPr>
          <w:p w14:paraId="2F7EBBB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11,20</w:t>
            </w:r>
          </w:p>
        </w:tc>
        <w:tc>
          <w:tcPr>
            <w:tcW w:w="567" w:type="dxa"/>
            <w:noWrap/>
            <w:vAlign w:val="center"/>
            <w:hideMark/>
          </w:tcPr>
          <w:p w14:paraId="2BF417B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9,70</w:t>
            </w:r>
          </w:p>
        </w:tc>
        <w:tc>
          <w:tcPr>
            <w:tcW w:w="567" w:type="dxa"/>
            <w:noWrap/>
            <w:vAlign w:val="center"/>
            <w:hideMark/>
          </w:tcPr>
          <w:p w14:paraId="4E3EEF8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9,70</w:t>
            </w:r>
          </w:p>
        </w:tc>
        <w:tc>
          <w:tcPr>
            <w:tcW w:w="580" w:type="dxa"/>
            <w:vAlign w:val="center"/>
            <w:hideMark/>
          </w:tcPr>
          <w:p w14:paraId="5F78917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11,50</w:t>
            </w:r>
          </w:p>
        </w:tc>
        <w:tc>
          <w:tcPr>
            <w:tcW w:w="567" w:type="dxa"/>
            <w:noWrap/>
            <w:vAlign w:val="center"/>
            <w:hideMark/>
          </w:tcPr>
          <w:p w14:paraId="2F70961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8,20</w:t>
            </w:r>
          </w:p>
        </w:tc>
        <w:tc>
          <w:tcPr>
            <w:tcW w:w="541" w:type="dxa"/>
            <w:vAlign w:val="center"/>
            <w:hideMark/>
          </w:tcPr>
          <w:p w14:paraId="0D3B85E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9,60</w:t>
            </w:r>
          </w:p>
        </w:tc>
      </w:tr>
      <w:tr w:rsidR="00207B43" w:rsidRPr="00207B43" w14:paraId="175417BD"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0494603F"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Global rights index</w:t>
            </w:r>
          </w:p>
        </w:tc>
        <w:tc>
          <w:tcPr>
            <w:tcW w:w="399" w:type="dxa"/>
            <w:noWrap/>
            <w:vAlign w:val="center"/>
            <w:hideMark/>
          </w:tcPr>
          <w:p w14:paraId="4B3D0A8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67" w:type="dxa"/>
            <w:noWrap/>
            <w:vAlign w:val="center"/>
            <w:hideMark/>
          </w:tcPr>
          <w:p w14:paraId="7FC8EAD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67" w:type="dxa"/>
            <w:noWrap/>
            <w:vAlign w:val="center"/>
            <w:hideMark/>
          </w:tcPr>
          <w:p w14:paraId="59E68DE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7CDFAA1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1,00</w:t>
            </w:r>
          </w:p>
        </w:tc>
        <w:tc>
          <w:tcPr>
            <w:tcW w:w="580" w:type="dxa"/>
            <w:noWrap/>
            <w:vAlign w:val="center"/>
            <w:hideMark/>
          </w:tcPr>
          <w:p w14:paraId="2B8E25C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074B237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67" w:type="dxa"/>
            <w:noWrap/>
            <w:vAlign w:val="center"/>
            <w:hideMark/>
          </w:tcPr>
          <w:p w14:paraId="689CA1E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5BFD4AE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1F2E79A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54FD9BF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2055113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67" w:type="dxa"/>
            <w:noWrap/>
            <w:vAlign w:val="center"/>
            <w:hideMark/>
          </w:tcPr>
          <w:p w14:paraId="7A827DE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7B255B6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6330D07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62B95E4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7C62EB2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79E5740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67" w:type="dxa"/>
            <w:noWrap/>
            <w:vAlign w:val="center"/>
            <w:hideMark/>
          </w:tcPr>
          <w:p w14:paraId="72A0A6B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67" w:type="dxa"/>
            <w:noWrap/>
            <w:vAlign w:val="center"/>
            <w:hideMark/>
          </w:tcPr>
          <w:p w14:paraId="18290F5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vAlign w:val="center"/>
            <w:hideMark/>
          </w:tcPr>
          <w:p w14:paraId="7A3ECB2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67" w:type="dxa"/>
            <w:noWrap/>
            <w:vAlign w:val="center"/>
            <w:hideMark/>
          </w:tcPr>
          <w:p w14:paraId="56059B9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41" w:type="dxa"/>
            <w:vAlign w:val="center"/>
            <w:hideMark/>
          </w:tcPr>
          <w:p w14:paraId="302F080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r>
      <w:tr w:rsidR="00207B43" w:rsidRPr="00207B43" w14:paraId="1EB9C9A5"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101F78AB"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DALY</w:t>
            </w:r>
          </w:p>
        </w:tc>
        <w:tc>
          <w:tcPr>
            <w:tcW w:w="399" w:type="dxa"/>
            <w:noWrap/>
            <w:vAlign w:val="center"/>
            <w:hideMark/>
          </w:tcPr>
          <w:p w14:paraId="2264E4C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6163</w:t>
            </w:r>
          </w:p>
        </w:tc>
        <w:tc>
          <w:tcPr>
            <w:tcW w:w="567" w:type="dxa"/>
            <w:noWrap/>
            <w:vAlign w:val="center"/>
            <w:hideMark/>
          </w:tcPr>
          <w:p w14:paraId="13A98A0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6233</w:t>
            </w:r>
          </w:p>
        </w:tc>
        <w:tc>
          <w:tcPr>
            <w:tcW w:w="567" w:type="dxa"/>
            <w:noWrap/>
            <w:vAlign w:val="center"/>
            <w:hideMark/>
          </w:tcPr>
          <w:p w14:paraId="6A20D8F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5981</w:t>
            </w:r>
          </w:p>
        </w:tc>
        <w:tc>
          <w:tcPr>
            <w:tcW w:w="580" w:type="dxa"/>
            <w:noWrap/>
            <w:vAlign w:val="center"/>
            <w:hideMark/>
          </w:tcPr>
          <w:p w14:paraId="092FDB2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6128</w:t>
            </w:r>
          </w:p>
        </w:tc>
        <w:tc>
          <w:tcPr>
            <w:tcW w:w="580" w:type="dxa"/>
            <w:noWrap/>
            <w:vAlign w:val="center"/>
            <w:hideMark/>
          </w:tcPr>
          <w:p w14:paraId="0BF6A70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6255</w:t>
            </w:r>
          </w:p>
        </w:tc>
        <w:tc>
          <w:tcPr>
            <w:tcW w:w="580" w:type="dxa"/>
            <w:noWrap/>
            <w:vAlign w:val="center"/>
            <w:hideMark/>
          </w:tcPr>
          <w:p w14:paraId="1072A52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5757</w:t>
            </w:r>
          </w:p>
        </w:tc>
        <w:tc>
          <w:tcPr>
            <w:tcW w:w="567" w:type="dxa"/>
            <w:noWrap/>
            <w:vAlign w:val="center"/>
            <w:hideMark/>
          </w:tcPr>
          <w:p w14:paraId="19370C2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5911</w:t>
            </w:r>
          </w:p>
        </w:tc>
        <w:tc>
          <w:tcPr>
            <w:tcW w:w="580" w:type="dxa"/>
            <w:noWrap/>
            <w:vAlign w:val="center"/>
            <w:hideMark/>
          </w:tcPr>
          <w:p w14:paraId="6FD93FF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6000</w:t>
            </w:r>
          </w:p>
        </w:tc>
        <w:tc>
          <w:tcPr>
            <w:tcW w:w="580" w:type="dxa"/>
            <w:noWrap/>
            <w:vAlign w:val="center"/>
            <w:hideMark/>
          </w:tcPr>
          <w:p w14:paraId="7C77580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5998</w:t>
            </w:r>
          </w:p>
        </w:tc>
        <w:tc>
          <w:tcPr>
            <w:tcW w:w="580" w:type="dxa"/>
            <w:noWrap/>
            <w:vAlign w:val="center"/>
            <w:hideMark/>
          </w:tcPr>
          <w:p w14:paraId="0979872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6147</w:t>
            </w:r>
          </w:p>
        </w:tc>
        <w:tc>
          <w:tcPr>
            <w:tcW w:w="580" w:type="dxa"/>
            <w:noWrap/>
            <w:vAlign w:val="center"/>
            <w:hideMark/>
          </w:tcPr>
          <w:p w14:paraId="1641841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6377</w:t>
            </w:r>
          </w:p>
        </w:tc>
        <w:tc>
          <w:tcPr>
            <w:tcW w:w="567" w:type="dxa"/>
            <w:noWrap/>
            <w:vAlign w:val="center"/>
            <w:hideMark/>
          </w:tcPr>
          <w:p w14:paraId="6A75E37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5867</w:t>
            </w:r>
          </w:p>
        </w:tc>
        <w:tc>
          <w:tcPr>
            <w:tcW w:w="580" w:type="dxa"/>
            <w:noWrap/>
            <w:vAlign w:val="center"/>
            <w:hideMark/>
          </w:tcPr>
          <w:p w14:paraId="47A4160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6229</w:t>
            </w:r>
          </w:p>
        </w:tc>
        <w:tc>
          <w:tcPr>
            <w:tcW w:w="580" w:type="dxa"/>
            <w:noWrap/>
            <w:vAlign w:val="center"/>
            <w:hideMark/>
          </w:tcPr>
          <w:p w14:paraId="7CEE2DE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6137</w:t>
            </w:r>
          </w:p>
        </w:tc>
        <w:tc>
          <w:tcPr>
            <w:tcW w:w="580" w:type="dxa"/>
            <w:noWrap/>
            <w:vAlign w:val="center"/>
            <w:hideMark/>
          </w:tcPr>
          <w:p w14:paraId="5863366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6758</w:t>
            </w:r>
          </w:p>
        </w:tc>
        <w:tc>
          <w:tcPr>
            <w:tcW w:w="580" w:type="dxa"/>
            <w:noWrap/>
            <w:vAlign w:val="center"/>
            <w:hideMark/>
          </w:tcPr>
          <w:p w14:paraId="712AFEA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5642</w:t>
            </w:r>
          </w:p>
        </w:tc>
        <w:tc>
          <w:tcPr>
            <w:tcW w:w="580" w:type="dxa"/>
            <w:noWrap/>
            <w:vAlign w:val="center"/>
            <w:hideMark/>
          </w:tcPr>
          <w:p w14:paraId="1977784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5553</w:t>
            </w:r>
          </w:p>
        </w:tc>
        <w:tc>
          <w:tcPr>
            <w:tcW w:w="567" w:type="dxa"/>
            <w:noWrap/>
            <w:vAlign w:val="center"/>
            <w:hideMark/>
          </w:tcPr>
          <w:p w14:paraId="174EE7B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5501</w:t>
            </w:r>
          </w:p>
        </w:tc>
        <w:tc>
          <w:tcPr>
            <w:tcW w:w="567" w:type="dxa"/>
            <w:noWrap/>
            <w:vAlign w:val="center"/>
            <w:hideMark/>
          </w:tcPr>
          <w:p w14:paraId="491CCEE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6037</w:t>
            </w:r>
          </w:p>
        </w:tc>
        <w:tc>
          <w:tcPr>
            <w:tcW w:w="580" w:type="dxa"/>
            <w:vAlign w:val="center"/>
            <w:hideMark/>
          </w:tcPr>
          <w:p w14:paraId="7139F87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6109</w:t>
            </w:r>
          </w:p>
        </w:tc>
        <w:tc>
          <w:tcPr>
            <w:tcW w:w="567" w:type="dxa"/>
            <w:noWrap/>
            <w:vAlign w:val="center"/>
            <w:hideMark/>
          </w:tcPr>
          <w:p w14:paraId="57FEB05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6079</w:t>
            </w:r>
          </w:p>
        </w:tc>
        <w:tc>
          <w:tcPr>
            <w:tcW w:w="541" w:type="dxa"/>
            <w:vAlign w:val="center"/>
            <w:hideMark/>
          </w:tcPr>
          <w:p w14:paraId="60BF1C9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5896</w:t>
            </w:r>
          </w:p>
        </w:tc>
      </w:tr>
      <w:tr w:rsidR="00207B43" w:rsidRPr="00207B43" w14:paraId="68D64BA4"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5879762A"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Life expectancy at birth</w:t>
            </w:r>
          </w:p>
        </w:tc>
        <w:tc>
          <w:tcPr>
            <w:tcW w:w="399" w:type="dxa"/>
            <w:noWrap/>
            <w:vAlign w:val="center"/>
            <w:hideMark/>
          </w:tcPr>
          <w:p w14:paraId="46B6FE1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753E106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6908B9D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0ECDD5A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098A472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8D7803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1E5DFBB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68F925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CEE308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8C7AC5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F2B598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5D16544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CACFA05"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530068C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51C1A29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0C8863F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676EAE2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1C1CD2D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18D1111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vAlign w:val="center"/>
            <w:hideMark/>
          </w:tcPr>
          <w:p w14:paraId="278985C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61DE2F1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41" w:type="dxa"/>
            <w:vAlign w:val="center"/>
            <w:hideMark/>
          </w:tcPr>
          <w:p w14:paraId="23C21CC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r>
      <w:tr w:rsidR="00207B43" w:rsidRPr="00207B43" w14:paraId="4AAC1A52"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0020B483"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Government health expenditures</w:t>
            </w:r>
          </w:p>
        </w:tc>
        <w:tc>
          <w:tcPr>
            <w:tcW w:w="399" w:type="dxa"/>
            <w:noWrap/>
            <w:vAlign w:val="center"/>
            <w:hideMark/>
          </w:tcPr>
          <w:p w14:paraId="01B9C89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4F50981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61E715F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9426F0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04AB737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407A183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26FFCA5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E02A66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06B690B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24DB7BE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32D0D3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42607E4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0AD8287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2195B83F"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07CA204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0442F8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02DF7C8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52B8E28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19D7BB6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vAlign w:val="center"/>
            <w:hideMark/>
          </w:tcPr>
          <w:p w14:paraId="043C2A4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132F3F9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41" w:type="dxa"/>
            <w:vAlign w:val="center"/>
            <w:hideMark/>
          </w:tcPr>
          <w:p w14:paraId="16A81EA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r>
      <w:tr w:rsidR="00207B43" w:rsidRPr="00207B43" w14:paraId="557BE217"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477AA417"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Coverage of health services</w:t>
            </w:r>
          </w:p>
        </w:tc>
        <w:tc>
          <w:tcPr>
            <w:tcW w:w="399" w:type="dxa"/>
            <w:noWrap/>
            <w:vAlign w:val="center"/>
            <w:hideMark/>
          </w:tcPr>
          <w:p w14:paraId="46F5DA3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5,30</w:t>
            </w:r>
          </w:p>
        </w:tc>
        <w:tc>
          <w:tcPr>
            <w:tcW w:w="567" w:type="dxa"/>
            <w:noWrap/>
            <w:vAlign w:val="center"/>
            <w:hideMark/>
          </w:tcPr>
          <w:p w14:paraId="60C0BA2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8,20</w:t>
            </w:r>
          </w:p>
        </w:tc>
        <w:tc>
          <w:tcPr>
            <w:tcW w:w="567" w:type="dxa"/>
            <w:noWrap/>
            <w:vAlign w:val="center"/>
            <w:hideMark/>
          </w:tcPr>
          <w:p w14:paraId="5CB366E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7,20</w:t>
            </w:r>
          </w:p>
        </w:tc>
        <w:tc>
          <w:tcPr>
            <w:tcW w:w="580" w:type="dxa"/>
            <w:noWrap/>
            <w:vAlign w:val="center"/>
            <w:hideMark/>
          </w:tcPr>
          <w:p w14:paraId="697E9C5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8,00</w:t>
            </w:r>
          </w:p>
        </w:tc>
        <w:tc>
          <w:tcPr>
            <w:tcW w:w="580" w:type="dxa"/>
            <w:noWrap/>
            <w:vAlign w:val="center"/>
            <w:hideMark/>
          </w:tcPr>
          <w:p w14:paraId="3941280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5,00</w:t>
            </w:r>
          </w:p>
        </w:tc>
        <w:tc>
          <w:tcPr>
            <w:tcW w:w="580" w:type="dxa"/>
            <w:noWrap/>
            <w:vAlign w:val="center"/>
            <w:hideMark/>
          </w:tcPr>
          <w:p w14:paraId="13A852C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7,50</w:t>
            </w:r>
          </w:p>
        </w:tc>
        <w:tc>
          <w:tcPr>
            <w:tcW w:w="567" w:type="dxa"/>
            <w:noWrap/>
            <w:vAlign w:val="center"/>
            <w:hideMark/>
          </w:tcPr>
          <w:p w14:paraId="3B7C80C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4,80</w:t>
            </w:r>
          </w:p>
        </w:tc>
        <w:tc>
          <w:tcPr>
            <w:tcW w:w="580" w:type="dxa"/>
            <w:noWrap/>
            <w:vAlign w:val="center"/>
            <w:hideMark/>
          </w:tcPr>
          <w:p w14:paraId="3264F5A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4,40</w:t>
            </w:r>
          </w:p>
        </w:tc>
        <w:tc>
          <w:tcPr>
            <w:tcW w:w="580" w:type="dxa"/>
            <w:noWrap/>
            <w:vAlign w:val="center"/>
            <w:hideMark/>
          </w:tcPr>
          <w:p w14:paraId="6631240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10,00</w:t>
            </w:r>
          </w:p>
        </w:tc>
        <w:tc>
          <w:tcPr>
            <w:tcW w:w="580" w:type="dxa"/>
            <w:noWrap/>
            <w:vAlign w:val="center"/>
            <w:hideMark/>
          </w:tcPr>
          <w:p w14:paraId="0640971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17,60</w:t>
            </w:r>
          </w:p>
        </w:tc>
        <w:tc>
          <w:tcPr>
            <w:tcW w:w="580" w:type="dxa"/>
            <w:noWrap/>
            <w:vAlign w:val="center"/>
            <w:hideMark/>
          </w:tcPr>
          <w:p w14:paraId="76EFE4D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16,00</w:t>
            </w:r>
          </w:p>
        </w:tc>
        <w:tc>
          <w:tcPr>
            <w:tcW w:w="567" w:type="dxa"/>
            <w:noWrap/>
            <w:vAlign w:val="center"/>
            <w:hideMark/>
          </w:tcPr>
          <w:p w14:paraId="6C2B673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80" w:type="dxa"/>
            <w:noWrap/>
            <w:vAlign w:val="center"/>
            <w:hideMark/>
          </w:tcPr>
          <w:p w14:paraId="5822C77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14,80</w:t>
            </w:r>
          </w:p>
        </w:tc>
        <w:tc>
          <w:tcPr>
            <w:tcW w:w="580" w:type="dxa"/>
            <w:noWrap/>
            <w:vAlign w:val="center"/>
            <w:hideMark/>
          </w:tcPr>
          <w:p w14:paraId="494C475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11,70</w:t>
            </w:r>
          </w:p>
        </w:tc>
        <w:tc>
          <w:tcPr>
            <w:tcW w:w="580" w:type="dxa"/>
            <w:noWrap/>
            <w:vAlign w:val="center"/>
            <w:hideMark/>
          </w:tcPr>
          <w:p w14:paraId="0E5A16F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10,70</w:t>
            </w:r>
          </w:p>
        </w:tc>
        <w:tc>
          <w:tcPr>
            <w:tcW w:w="580" w:type="dxa"/>
            <w:noWrap/>
            <w:vAlign w:val="center"/>
            <w:hideMark/>
          </w:tcPr>
          <w:p w14:paraId="313008A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5,30</w:t>
            </w:r>
          </w:p>
        </w:tc>
        <w:tc>
          <w:tcPr>
            <w:tcW w:w="580" w:type="dxa"/>
            <w:noWrap/>
            <w:vAlign w:val="center"/>
            <w:hideMark/>
          </w:tcPr>
          <w:p w14:paraId="1AC9B3D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4,50</w:t>
            </w:r>
          </w:p>
        </w:tc>
        <w:tc>
          <w:tcPr>
            <w:tcW w:w="567" w:type="dxa"/>
            <w:noWrap/>
            <w:vAlign w:val="center"/>
            <w:hideMark/>
          </w:tcPr>
          <w:p w14:paraId="4705BEB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4,10</w:t>
            </w:r>
          </w:p>
        </w:tc>
        <w:tc>
          <w:tcPr>
            <w:tcW w:w="567" w:type="dxa"/>
            <w:noWrap/>
            <w:vAlign w:val="center"/>
            <w:hideMark/>
          </w:tcPr>
          <w:p w14:paraId="42712F8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7,70</w:t>
            </w:r>
          </w:p>
        </w:tc>
        <w:tc>
          <w:tcPr>
            <w:tcW w:w="580" w:type="dxa"/>
            <w:vAlign w:val="center"/>
            <w:hideMark/>
          </w:tcPr>
          <w:p w14:paraId="0B38C30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6,30</w:t>
            </w:r>
          </w:p>
        </w:tc>
        <w:tc>
          <w:tcPr>
            <w:tcW w:w="567" w:type="dxa"/>
            <w:noWrap/>
            <w:vAlign w:val="center"/>
            <w:hideMark/>
          </w:tcPr>
          <w:p w14:paraId="1B9EC8D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3,20</w:t>
            </w:r>
          </w:p>
        </w:tc>
        <w:tc>
          <w:tcPr>
            <w:tcW w:w="541" w:type="dxa"/>
            <w:vAlign w:val="center"/>
            <w:hideMark/>
          </w:tcPr>
          <w:p w14:paraId="358BF67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5,10</w:t>
            </w:r>
          </w:p>
        </w:tc>
      </w:tr>
      <w:tr w:rsidR="00207B43" w:rsidRPr="00207B43" w14:paraId="4AEE7A52"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0C9D6D8A"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Food insecurity</w:t>
            </w:r>
          </w:p>
        </w:tc>
        <w:tc>
          <w:tcPr>
            <w:tcW w:w="399" w:type="dxa"/>
            <w:noWrap/>
            <w:vAlign w:val="center"/>
            <w:hideMark/>
          </w:tcPr>
          <w:p w14:paraId="0E80112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0,72</w:t>
            </w:r>
          </w:p>
        </w:tc>
        <w:tc>
          <w:tcPr>
            <w:tcW w:w="567" w:type="dxa"/>
            <w:noWrap/>
            <w:vAlign w:val="center"/>
            <w:hideMark/>
          </w:tcPr>
          <w:p w14:paraId="621F3D6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0,55</w:t>
            </w:r>
          </w:p>
        </w:tc>
        <w:tc>
          <w:tcPr>
            <w:tcW w:w="567" w:type="dxa"/>
            <w:noWrap/>
            <w:vAlign w:val="center"/>
            <w:hideMark/>
          </w:tcPr>
          <w:p w14:paraId="6383FE7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0,82</w:t>
            </w:r>
          </w:p>
        </w:tc>
        <w:tc>
          <w:tcPr>
            <w:tcW w:w="580" w:type="dxa"/>
            <w:noWrap/>
            <w:vAlign w:val="center"/>
            <w:hideMark/>
          </w:tcPr>
          <w:p w14:paraId="59C54DA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1,00</w:t>
            </w:r>
          </w:p>
        </w:tc>
        <w:tc>
          <w:tcPr>
            <w:tcW w:w="580" w:type="dxa"/>
            <w:noWrap/>
            <w:vAlign w:val="center"/>
            <w:hideMark/>
          </w:tcPr>
          <w:p w14:paraId="0141E62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0,48</w:t>
            </w:r>
          </w:p>
        </w:tc>
        <w:tc>
          <w:tcPr>
            <w:tcW w:w="580" w:type="dxa"/>
            <w:noWrap/>
            <w:vAlign w:val="center"/>
            <w:hideMark/>
          </w:tcPr>
          <w:p w14:paraId="5826324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0,94</w:t>
            </w:r>
          </w:p>
        </w:tc>
        <w:tc>
          <w:tcPr>
            <w:tcW w:w="567" w:type="dxa"/>
            <w:noWrap/>
            <w:vAlign w:val="center"/>
            <w:hideMark/>
          </w:tcPr>
          <w:p w14:paraId="4C632FF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0,76</w:t>
            </w:r>
          </w:p>
        </w:tc>
        <w:tc>
          <w:tcPr>
            <w:tcW w:w="580" w:type="dxa"/>
            <w:noWrap/>
            <w:vAlign w:val="center"/>
            <w:hideMark/>
          </w:tcPr>
          <w:p w14:paraId="14343D8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0,98</w:t>
            </w:r>
          </w:p>
        </w:tc>
        <w:tc>
          <w:tcPr>
            <w:tcW w:w="580" w:type="dxa"/>
            <w:noWrap/>
            <w:vAlign w:val="center"/>
            <w:hideMark/>
          </w:tcPr>
          <w:p w14:paraId="3328FDE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0,97</w:t>
            </w:r>
          </w:p>
        </w:tc>
        <w:tc>
          <w:tcPr>
            <w:tcW w:w="580" w:type="dxa"/>
            <w:noWrap/>
            <w:vAlign w:val="center"/>
            <w:hideMark/>
          </w:tcPr>
          <w:p w14:paraId="46A1073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0,31</w:t>
            </w:r>
          </w:p>
        </w:tc>
        <w:tc>
          <w:tcPr>
            <w:tcW w:w="580" w:type="dxa"/>
            <w:noWrap/>
            <w:vAlign w:val="center"/>
            <w:hideMark/>
          </w:tcPr>
          <w:p w14:paraId="2A9EBEB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1,47</w:t>
            </w:r>
          </w:p>
        </w:tc>
        <w:tc>
          <w:tcPr>
            <w:tcW w:w="567" w:type="dxa"/>
            <w:noWrap/>
            <w:vAlign w:val="center"/>
            <w:hideMark/>
          </w:tcPr>
          <w:p w14:paraId="270673D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1,00</w:t>
            </w:r>
          </w:p>
        </w:tc>
        <w:tc>
          <w:tcPr>
            <w:tcW w:w="580" w:type="dxa"/>
            <w:noWrap/>
            <w:vAlign w:val="center"/>
            <w:hideMark/>
          </w:tcPr>
          <w:p w14:paraId="3D974D1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1,00</w:t>
            </w:r>
          </w:p>
        </w:tc>
        <w:tc>
          <w:tcPr>
            <w:tcW w:w="580" w:type="dxa"/>
            <w:noWrap/>
            <w:vAlign w:val="center"/>
            <w:hideMark/>
          </w:tcPr>
          <w:p w14:paraId="7075052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1,00</w:t>
            </w:r>
          </w:p>
        </w:tc>
        <w:tc>
          <w:tcPr>
            <w:tcW w:w="580" w:type="dxa"/>
            <w:noWrap/>
            <w:vAlign w:val="center"/>
            <w:hideMark/>
          </w:tcPr>
          <w:p w14:paraId="5452AF6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1,00</w:t>
            </w:r>
          </w:p>
        </w:tc>
        <w:tc>
          <w:tcPr>
            <w:tcW w:w="580" w:type="dxa"/>
            <w:noWrap/>
            <w:vAlign w:val="center"/>
            <w:hideMark/>
          </w:tcPr>
          <w:p w14:paraId="032022B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0,99</w:t>
            </w:r>
          </w:p>
        </w:tc>
        <w:tc>
          <w:tcPr>
            <w:tcW w:w="580" w:type="dxa"/>
            <w:noWrap/>
            <w:vAlign w:val="center"/>
            <w:hideMark/>
          </w:tcPr>
          <w:p w14:paraId="02DFA81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1,12</w:t>
            </w:r>
          </w:p>
        </w:tc>
        <w:tc>
          <w:tcPr>
            <w:tcW w:w="567" w:type="dxa"/>
            <w:noWrap/>
            <w:vAlign w:val="center"/>
            <w:hideMark/>
          </w:tcPr>
          <w:p w14:paraId="594007E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1,12</w:t>
            </w:r>
          </w:p>
        </w:tc>
        <w:tc>
          <w:tcPr>
            <w:tcW w:w="567" w:type="dxa"/>
            <w:noWrap/>
            <w:vAlign w:val="center"/>
            <w:hideMark/>
          </w:tcPr>
          <w:p w14:paraId="087CAE7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0,94</w:t>
            </w:r>
          </w:p>
        </w:tc>
        <w:tc>
          <w:tcPr>
            <w:tcW w:w="580" w:type="dxa"/>
            <w:vAlign w:val="center"/>
            <w:hideMark/>
          </w:tcPr>
          <w:p w14:paraId="323EC7B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1,59</w:t>
            </w:r>
          </w:p>
        </w:tc>
        <w:tc>
          <w:tcPr>
            <w:tcW w:w="567" w:type="dxa"/>
            <w:noWrap/>
            <w:vAlign w:val="center"/>
            <w:hideMark/>
          </w:tcPr>
          <w:p w14:paraId="2D810E0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1,45</w:t>
            </w:r>
          </w:p>
        </w:tc>
        <w:tc>
          <w:tcPr>
            <w:tcW w:w="541" w:type="dxa"/>
            <w:vAlign w:val="center"/>
            <w:hideMark/>
          </w:tcPr>
          <w:p w14:paraId="4B02F14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1,07</w:t>
            </w:r>
          </w:p>
        </w:tc>
      </w:tr>
      <w:tr w:rsidR="00207B43" w:rsidRPr="00207B43" w14:paraId="196B2870"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39D7739B"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Consumer expenditure spent on food</w:t>
            </w:r>
          </w:p>
        </w:tc>
        <w:tc>
          <w:tcPr>
            <w:tcW w:w="399" w:type="dxa"/>
            <w:noWrap/>
            <w:vAlign w:val="center"/>
            <w:hideMark/>
          </w:tcPr>
          <w:p w14:paraId="197AD6A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0,20</w:t>
            </w:r>
          </w:p>
        </w:tc>
        <w:tc>
          <w:tcPr>
            <w:tcW w:w="567" w:type="dxa"/>
            <w:noWrap/>
            <w:vAlign w:val="center"/>
            <w:hideMark/>
          </w:tcPr>
          <w:p w14:paraId="18899A3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0,40</w:t>
            </w:r>
          </w:p>
        </w:tc>
        <w:tc>
          <w:tcPr>
            <w:tcW w:w="567" w:type="dxa"/>
            <w:noWrap/>
            <w:vAlign w:val="center"/>
            <w:hideMark/>
          </w:tcPr>
          <w:p w14:paraId="71EEDA4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noWrap/>
            <w:vAlign w:val="center"/>
            <w:hideMark/>
          </w:tcPr>
          <w:p w14:paraId="7338672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55DB0895"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0,15</w:t>
            </w:r>
          </w:p>
        </w:tc>
        <w:tc>
          <w:tcPr>
            <w:tcW w:w="580" w:type="dxa"/>
            <w:noWrap/>
            <w:vAlign w:val="center"/>
            <w:hideMark/>
          </w:tcPr>
          <w:p w14:paraId="4EE510D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0,50</w:t>
            </w:r>
          </w:p>
        </w:tc>
        <w:tc>
          <w:tcPr>
            <w:tcW w:w="567" w:type="dxa"/>
            <w:noWrap/>
            <w:vAlign w:val="center"/>
            <w:hideMark/>
          </w:tcPr>
          <w:p w14:paraId="44C5258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5A3EC40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34F31BA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0,50</w:t>
            </w:r>
          </w:p>
        </w:tc>
        <w:tc>
          <w:tcPr>
            <w:tcW w:w="580" w:type="dxa"/>
            <w:noWrap/>
            <w:vAlign w:val="center"/>
            <w:hideMark/>
          </w:tcPr>
          <w:p w14:paraId="6D78D11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0,20</w:t>
            </w:r>
          </w:p>
        </w:tc>
        <w:tc>
          <w:tcPr>
            <w:tcW w:w="580" w:type="dxa"/>
            <w:noWrap/>
            <w:vAlign w:val="center"/>
            <w:hideMark/>
          </w:tcPr>
          <w:p w14:paraId="4EF9A5F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5A60A31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0,05</w:t>
            </w:r>
          </w:p>
        </w:tc>
        <w:tc>
          <w:tcPr>
            <w:tcW w:w="580" w:type="dxa"/>
            <w:noWrap/>
            <w:vAlign w:val="center"/>
            <w:hideMark/>
          </w:tcPr>
          <w:p w14:paraId="485E53B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0,15</w:t>
            </w:r>
          </w:p>
        </w:tc>
        <w:tc>
          <w:tcPr>
            <w:tcW w:w="580" w:type="dxa"/>
            <w:noWrap/>
            <w:vAlign w:val="center"/>
            <w:hideMark/>
          </w:tcPr>
          <w:p w14:paraId="65BE9EE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0,40</w:t>
            </w:r>
          </w:p>
        </w:tc>
        <w:tc>
          <w:tcPr>
            <w:tcW w:w="580" w:type="dxa"/>
            <w:noWrap/>
            <w:vAlign w:val="center"/>
            <w:hideMark/>
          </w:tcPr>
          <w:p w14:paraId="5CE39ED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2351BFE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0,20</w:t>
            </w:r>
          </w:p>
        </w:tc>
        <w:tc>
          <w:tcPr>
            <w:tcW w:w="580" w:type="dxa"/>
            <w:noWrap/>
            <w:vAlign w:val="center"/>
            <w:hideMark/>
          </w:tcPr>
          <w:p w14:paraId="123AD47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67" w:type="dxa"/>
            <w:noWrap/>
            <w:vAlign w:val="center"/>
            <w:hideMark/>
          </w:tcPr>
          <w:p w14:paraId="75F47AE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0,10</w:t>
            </w:r>
          </w:p>
        </w:tc>
        <w:tc>
          <w:tcPr>
            <w:tcW w:w="567" w:type="dxa"/>
            <w:noWrap/>
            <w:vAlign w:val="center"/>
            <w:hideMark/>
          </w:tcPr>
          <w:p w14:paraId="3F1C65F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0,25</w:t>
            </w:r>
          </w:p>
        </w:tc>
        <w:tc>
          <w:tcPr>
            <w:tcW w:w="580" w:type="dxa"/>
            <w:vAlign w:val="center"/>
            <w:hideMark/>
          </w:tcPr>
          <w:p w14:paraId="3F813B8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5BD49E3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41" w:type="dxa"/>
            <w:vAlign w:val="center"/>
            <w:hideMark/>
          </w:tcPr>
          <w:p w14:paraId="06C6F32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0,05</w:t>
            </w:r>
          </w:p>
        </w:tc>
      </w:tr>
      <w:tr w:rsidR="00207B43" w:rsidRPr="00207B43" w14:paraId="4E88F33F"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3EFB2189"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Human development Index</w:t>
            </w:r>
          </w:p>
        </w:tc>
        <w:tc>
          <w:tcPr>
            <w:tcW w:w="399" w:type="dxa"/>
            <w:noWrap/>
            <w:vAlign w:val="center"/>
            <w:hideMark/>
          </w:tcPr>
          <w:p w14:paraId="43425E3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67" w:type="dxa"/>
            <w:noWrap/>
            <w:vAlign w:val="center"/>
            <w:hideMark/>
          </w:tcPr>
          <w:p w14:paraId="6425F8F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67" w:type="dxa"/>
            <w:noWrap/>
            <w:vAlign w:val="center"/>
            <w:hideMark/>
          </w:tcPr>
          <w:p w14:paraId="1FCDEFE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80" w:type="dxa"/>
            <w:noWrap/>
            <w:vAlign w:val="center"/>
            <w:hideMark/>
          </w:tcPr>
          <w:p w14:paraId="3A7963A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80" w:type="dxa"/>
            <w:noWrap/>
            <w:vAlign w:val="center"/>
            <w:hideMark/>
          </w:tcPr>
          <w:p w14:paraId="5DF01B3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80" w:type="dxa"/>
            <w:noWrap/>
            <w:vAlign w:val="center"/>
            <w:hideMark/>
          </w:tcPr>
          <w:p w14:paraId="5F50CCE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67" w:type="dxa"/>
            <w:noWrap/>
            <w:vAlign w:val="center"/>
            <w:hideMark/>
          </w:tcPr>
          <w:p w14:paraId="39D144B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80" w:type="dxa"/>
            <w:noWrap/>
            <w:vAlign w:val="center"/>
            <w:hideMark/>
          </w:tcPr>
          <w:p w14:paraId="2C45B39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0,02</w:t>
            </w:r>
          </w:p>
        </w:tc>
        <w:tc>
          <w:tcPr>
            <w:tcW w:w="580" w:type="dxa"/>
            <w:noWrap/>
            <w:vAlign w:val="center"/>
            <w:hideMark/>
          </w:tcPr>
          <w:p w14:paraId="0907678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0,27</w:t>
            </w:r>
          </w:p>
        </w:tc>
        <w:tc>
          <w:tcPr>
            <w:tcW w:w="580" w:type="dxa"/>
            <w:noWrap/>
            <w:vAlign w:val="center"/>
            <w:hideMark/>
          </w:tcPr>
          <w:p w14:paraId="7C1C287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0,02</w:t>
            </w:r>
          </w:p>
        </w:tc>
        <w:tc>
          <w:tcPr>
            <w:tcW w:w="580" w:type="dxa"/>
            <w:noWrap/>
            <w:vAlign w:val="center"/>
            <w:hideMark/>
          </w:tcPr>
          <w:p w14:paraId="5F496FC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67" w:type="dxa"/>
            <w:noWrap/>
            <w:vAlign w:val="center"/>
            <w:hideMark/>
          </w:tcPr>
          <w:p w14:paraId="1F527D5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0,18</w:t>
            </w:r>
          </w:p>
        </w:tc>
        <w:tc>
          <w:tcPr>
            <w:tcW w:w="580" w:type="dxa"/>
            <w:noWrap/>
            <w:vAlign w:val="center"/>
            <w:hideMark/>
          </w:tcPr>
          <w:p w14:paraId="3A9E333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0,02</w:t>
            </w:r>
          </w:p>
        </w:tc>
        <w:tc>
          <w:tcPr>
            <w:tcW w:w="580" w:type="dxa"/>
            <w:noWrap/>
            <w:vAlign w:val="center"/>
            <w:hideMark/>
          </w:tcPr>
          <w:p w14:paraId="6220887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0,02</w:t>
            </w:r>
          </w:p>
        </w:tc>
        <w:tc>
          <w:tcPr>
            <w:tcW w:w="580" w:type="dxa"/>
            <w:noWrap/>
            <w:vAlign w:val="center"/>
            <w:hideMark/>
          </w:tcPr>
          <w:p w14:paraId="151F5CB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0,02</w:t>
            </w:r>
          </w:p>
        </w:tc>
        <w:tc>
          <w:tcPr>
            <w:tcW w:w="580" w:type="dxa"/>
            <w:noWrap/>
            <w:vAlign w:val="center"/>
            <w:hideMark/>
          </w:tcPr>
          <w:p w14:paraId="6F3500D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80" w:type="dxa"/>
            <w:noWrap/>
            <w:vAlign w:val="center"/>
            <w:hideMark/>
          </w:tcPr>
          <w:p w14:paraId="5F6E3DE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67" w:type="dxa"/>
            <w:noWrap/>
            <w:vAlign w:val="center"/>
            <w:hideMark/>
          </w:tcPr>
          <w:p w14:paraId="234A96D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67" w:type="dxa"/>
            <w:noWrap/>
            <w:vAlign w:val="center"/>
            <w:hideMark/>
          </w:tcPr>
          <w:p w14:paraId="7F88DB7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0,02</w:t>
            </w:r>
          </w:p>
        </w:tc>
        <w:tc>
          <w:tcPr>
            <w:tcW w:w="580" w:type="dxa"/>
            <w:vAlign w:val="center"/>
            <w:hideMark/>
          </w:tcPr>
          <w:p w14:paraId="4057602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67" w:type="dxa"/>
            <w:noWrap/>
            <w:vAlign w:val="center"/>
            <w:hideMark/>
          </w:tcPr>
          <w:p w14:paraId="730FC95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c>
          <w:tcPr>
            <w:tcW w:w="541" w:type="dxa"/>
            <w:vAlign w:val="center"/>
            <w:hideMark/>
          </w:tcPr>
          <w:p w14:paraId="3FAC42B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0,01</w:t>
            </w:r>
          </w:p>
        </w:tc>
      </w:tr>
      <w:tr w:rsidR="00207B43" w:rsidRPr="00207B43" w14:paraId="192A1B95"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76E8A6A1"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Self-reported life satisfaction</w:t>
            </w:r>
          </w:p>
        </w:tc>
        <w:tc>
          <w:tcPr>
            <w:tcW w:w="399" w:type="dxa"/>
            <w:noWrap/>
            <w:vAlign w:val="center"/>
            <w:hideMark/>
          </w:tcPr>
          <w:p w14:paraId="564D5A2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3,50</w:t>
            </w:r>
          </w:p>
        </w:tc>
        <w:tc>
          <w:tcPr>
            <w:tcW w:w="567" w:type="dxa"/>
            <w:noWrap/>
            <w:vAlign w:val="center"/>
            <w:hideMark/>
          </w:tcPr>
          <w:p w14:paraId="7088B17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67" w:type="dxa"/>
            <w:noWrap/>
            <w:vAlign w:val="center"/>
            <w:hideMark/>
          </w:tcPr>
          <w:p w14:paraId="470DACA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80" w:type="dxa"/>
            <w:noWrap/>
            <w:vAlign w:val="center"/>
            <w:hideMark/>
          </w:tcPr>
          <w:p w14:paraId="72A63F6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3,90</w:t>
            </w:r>
          </w:p>
        </w:tc>
        <w:tc>
          <w:tcPr>
            <w:tcW w:w="580" w:type="dxa"/>
            <w:noWrap/>
            <w:vAlign w:val="center"/>
            <w:hideMark/>
          </w:tcPr>
          <w:p w14:paraId="6EDAB14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80" w:type="dxa"/>
            <w:noWrap/>
            <w:vAlign w:val="center"/>
            <w:hideMark/>
          </w:tcPr>
          <w:p w14:paraId="56D0A605"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3,70</w:t>
            </w:r>
          </w:p>
        </w:tc>
        <w:tc>
          <w:tcPr>
            <w:tcW w:w="567" w:type="dxa"/>
            <w:noWrap/>
            <w:vAlign w:val="center"/>
            <w:hideMark/>
          </w:tcPr>
          <w:p w14:paraId="1D7DFFE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80" w:type="dxa"/>
            <w:noWrap/>
            <w:vAlign w:val="center"/>
            <w:hideMark/>
          </w:tcPr>
          <w:p w14:paraId="05D03FC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3,70</w:t>
            </w:r>
          </w:p>
        </w:tc>
        <w:tc>
          <w:tcPr>
            <w:tcW w:w="580" w:type="dxa"/>
            <w:noWrap/>
            <w:vAlign w:val="center"/>
            <w:hideMark/>
          </w:tcPr>
          <w:p w14:paraId="212C7C5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3,50</w:t>
            </w:r>
          </w:p>
        </w:tc>
        <w:tc>
          <w:tcPr>
            <w:tcW w:w="580" w:type="dxa"/>
            <w:noWrap/>
            <w:vAlign w:val="center"/>
            <w:hideMark/>
          </w:tcPr>
          <w:p w14:paraId="42AB839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2,80</w:t>
            </w:r>
          </w:p>
        </w:tc>
        <w:tc>
          <w:tcPr>
            <w:tcW w:w="580" w:type="dxa"/>
            <w:noWrap/>
            <w:vAlign w:val="center"/>
            <w:hideMark/>
          </w:tcPr>
          <w:p w14:paraId="48E39A6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3,80</w:t>
            </w:r>
          </w:p>
        </w:tc>
        <w:tc>
          <w:tcPr>
            <w:tcW w:w="567" w:type="dxa"/>
            <w:noWrap/>
            <w:vAlign w:val="center"/>
            <w:hideMark/>
          </w:tcPr>
          <w:p w14:paraId="5EA7793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3,50</w:t>
            </w:r>
          </w:p>
        </w:tc>
        <w:tc>
          <w:tcPr>
            <w:tcW w:w="580" w:type="dxa"/>
            <w:noWrap/>
            <w:vAlign w:val="center"/>
            <w:hideMark/>
          </w:tcPr>
          <w:p w14:paraId="59E259B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3,90</w:t>
            </w:r>
          </w:p>
        </w:tc>
        <w:tc>
          <w:tcPr>
            <w:tcW w:w="580" w:type="dxa"/>
            <w:noWrap/>
            <w:vAlign w:val="center"/>
            <w:hideMark/>
          </w:tcPr>
          <w:p w14:paraId="5B97E145"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3,70</w:t>
            </w:r>
          </w:p>
        </w:tc>
        <w:tc>
          <w:tcPr>
            <w:tcW w:w="580" w:type="dxa"/>
            <w:noWrap/>
            <w:vAlign w:val="center"/>
            <w:hideMark/>
          </w:tcPr>
          <w:p w14:paraId="6CAA0B9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3,80</w:t>
            </w:r>
          </w:p>
        </w:tc>
        <w:tc>
          <w:tcPr>
            <w:tcW w:w="580" w:type="dxa"/>
            <w:noWrap/>
            <w:vAlign w:val="center"/>
            <w:hideMark/>
          </w:tcPr>
          <w:p w14:paraId="528AFBB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3,80</w:t>
            </w:r>
          </w:p>
        </w:tc>
        <w:tc>
          <w:tcPr>
            <w:tcW w:w="580" w:type="dxa"/>
            <w:noWrap/>
            <w:vAlign w:val="center"/>
            <w:hideMark/>
          </w:tcPr>
          <w:p w14:paraId="38E86CE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3,90</w:t>
            </w:r>
          </w:p>
        </w:tc>
        <w:tc>
          <w:tcPr>
            <w:tcW w:w="567" w:type="dxa"/>
            <w:noWrap/>
            <w:vAlign w:val="center"/>
            <w:hideMark/>
          </w:tcPr>
          <w:p w14:paraId="47A5F12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4,00</w:t>
            </w:r>
          </w:p>
        </w:tc>
        <w:tc>
          <w:tcPr>
            <w:tcW w:w="567" w:type="dxa"/>
            <w:noWrap/>
            <w:vAlign w:val="center"/>
            <w:hideMark/>
          </w:tcPr>
          <w:p w14:paraId="4421DB0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3,70</w:t>
            </w:r>
          </w:p>
        </w:tc>
        <w:tc>
          <w:tcPr>
            <w:tcW w:w="580" w:type="dxa"/>
            <w:vAlign w:val="center"/>
            <w:hideMark/>
          </w:tcPr>
          <w:p w14:paraId="61DBB42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3,90</w:t>
            </w:r>
          </w:p>
        </w:tc>
        <w:tc>
          <w:tcPr>
            <w:tcW w:w="567" w:type="dxa"/>
            <w:noWrap/>
            <w:vAlign w:val="center"/>
            <w:hideMark/>
          </w:tcPr>
          <w:p w14:paraId="449AAFC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41" w:type="dxa"/>
            <w:vAlign w:val="center"/>
            <w:hideMark/>
          </w:tcPr>
          <w:p w14:paraId="7D574CC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r>
      <w:tr w:rsidR="00207B43" w:rsidRPr="00207B43" w14:paraId="10E1663B"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7F70E523"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 xml:space="preserve">Political empowerment </w:t>
            </w:r>
          </w:p>
        </w:tc>
        <w:tc>
          <w:tcPr>
            <w:tcW w:w="399" w:type="dxa"/>
            <w:noWrap/>
            <w:vAlign w:val="center"/>
            <w:hideMark/>
          </w:tcPr>
          <w:p w14:paraId="291370E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69DEBA5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20A04BF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408F15D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4C452A5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4768B5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22CCA83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205DA8B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441D1A9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2B91E49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6FBC84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5440227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B76152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C174E2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651E93E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611CB4F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2556925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0537DE3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4B54543F"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vAlign w:val="center"/>
            <w:hideMark/>
          </w:tcPr>
          <w:p w14:paraId="7D30C92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53A2D0D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41" w:type="dxa"/>
            <w:vAlign w:val="center"/>
            <w:hideMark/>
          </w:tcPr>
          <w:p w14:paraId="2831930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r>
      <w:tr w:rsidR="00207B43" w:rsidRPr="00207B43" w14:paraId="08961723"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321BA93F"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Local supplier quantity</w:t>
            </w:r>
          </w:p>
        </w:tc>
        <w:tc>
          <w:tcPr>
            <w:tcW w:w="399" w:type="dxa"/>
            <w:noWrap/>
            <w:vAlign w:val="center"/>
            <w:hideMark/>
          </w:tcPr>
          <w:p w14:paraId="6A38981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1830CCF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23348C5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31F94A5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43A69A5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697AE8A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2B3CE0C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598736E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3351761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572BF8B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4CF2673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0A6D984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297858C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08F19FF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38933F0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03E6613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noWrap/>
            <w:vAlign w:val="center"/>
            <w:hideMark/>
          </w:tcPr>
          <w:p w14:paraId="382B404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6E4D0B4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1CB7755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80" w:type="dxa"/>
            <w:vAlign w:val="center"/>
            <w:hideMark/>
          </w:tcPr>
          <w:p w14:paraId="451C977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67" w:type="dxa"/>
            <w:noWrap/>
            <w:vAlign w:val="center"/>
            <w:hideMark/>
          </w:tcPr>
          <w:p w14:paraId="74EA9CE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c>
          <w:tcPr>
            <w:tcW w:w="541" w:type="dxa"/>
            <w:vAlign w:val="center"/>
            <w:hideMark/>
          </w:tcPr>
          <w:p w14:paraId="6792DF8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0,30</w:t>
            </w:r>
          </w:p>
        </w:tc>
      </w:tr>
      <w:tr w:rsidR="00207B43" w:rsidRPr="00207B43" w14:paraId="28211259"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01024C12"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Political stability &amp; absence of violence</w:t>
            </w:r>
          </w:p>
        </w:tc>
        <w:tc>
          <w:tcPr>
            <w:tcW w:w="399" w:type="dxa"/>
            <w:noWrap/>
            <w:vAlign w:val="center"/>
            <w:hideMark/>
          </w:tcPr>
          <w:p w14:paraId="502D046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67" w:type="dxa"/>
            <w:noWrap/>
            <w:vAlign w:val="center"/>
            <w:hideMark/>
          </w:tcPr>
          <w:p w14:paraId="6A0F20F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0,22</w:t>
            </w:r>
          </w:p>
        </w:tc>
        <w:tc>
          <w:tcPr>
            <w:tcW w:w="567" w:type="dxa"/>
            <w:noWrap/>
            <w:vAlign w:val="center"/>
            <w:hideMark/>
          </w:tcPr>
          <w:p w14:paraId="61715DF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552F386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0F92C50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0C9E0EB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67" w:type="dxa"/>
            <w:noWrap/>
            <w:vAlign w:val="center"/>
            <w:hideMark/>
          </w:tcPr>
          <w:p w14:paraId="26A8370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1E542DF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1E73FA1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624E991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7C5361B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67" w:type="dxa"/>
            <w:noWrap/>
            <w:vAlign w:val="center"/>
            <w:hideMark/>
          </w:tcPr>
          <w:p w14:paraId="25D988D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2562AF3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55E7A88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3339A9C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4631E8A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noWrap/>
            <w:vAlign w:val="center"/>
            <w:hideMark/>
          </w:tcPr>
          <w:p w14:paraId="03B6B6C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67" w:type="dxa"/>
            <w:noWrap/>
            <w:vAlign w:val="center"/>
            <w:hideMark/>
          </w:tcPr>
          <w:p w14:paraId="138E593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67" w:type="dxa"/>
            <w:noWrap/>
            <w:vAlign w:val="center"/>
            <w:hideMark/>
          </w:tcPr>
          <w:p w14:paraId="57016EE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80" w:type="dxa"/>
            <w:vAlign w:val="center"/>
            <w:hideMark/>
          </w:tcPr>
          <w:p w14:paraId="6D09025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67" w:type="dxa"/>
            <w:noWrap/>
            <w:vAlign w:val="center"/>
            <w:hideMark/>
          </w:tcPr>
          <w:p w14:paraId="0DAB9CB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c>
          <w:tcPr>
            <w:tcW w:w="541" w:type="dxa"/>
            <w:vAlign w:val="center"/>
            <w:hideMark/>
          </w:tcPr>
          <w:p w14:paraId="0BA7317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0,21</w:t>
            </w:r>
          </w:p>
        </w:tc>
      </w:tr>
      <w:tr w:rsidR="00207B43" w:rsidRPr="00207B43" w14:paraId="54111E83"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17C9A6B1"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Population covered by social protection benefits</w:t>
            </w:r>
          </w:p>
        </w:tc>
        <w:tc>
          <w:tcPr>
            <w:tcW w:w="399" w:type="dxa"/>
            <w:noWrap/>
            <w:vAlign w:val="center"/>
            <w:hideMark/>
          </w:tcPr>
          <w:p w14:paraId="2E0C9D4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34FAA9D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0F52C9B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61244A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5E1AC1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2D92CE8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15,00</w:t>
            </w:r>
          </w:p>
        </w:tc>
        <w:tc>
          <w:tcPr>
            <w:tcW w:w="567" w:type="dxa"/>
            <w:noWrap/>
            <w:vAlign w:val="center"/>
            <w:hideMark/>
          </w:tcPr>
          <w:p w14:paraId="740A26B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447D6A7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A69510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555693E5"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57498E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151B82A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5B712B3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F94E82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15,00</w:t>
            </w:r>
          </w:p>
        </w:tc>
        <w:tc>
          <w:tcPr>
            <w:tcW w:w="580" w:type="dxa"/>
            <w:noWrap/>
            <w:vAlign w:val="center"/>
            <w:hideMark/>
          </w:tcPr>
          <w:p w14:paraId="2E9AF8F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15,00</w:t>
            </w:r>
          </w:p>
        </w:tc>
        <w:tc>
          <w:tcPr>
            <w:tcW w:w="580" w:type="dxa"/>
            <w:noWrap/>
            <w:vAlign w:val="center"/>
            <w:hideMark/>
          </w:tcPr>
          <w:p w14:paraId="0A4DB23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15,00</w:t>
            </w:r>
          </w:p>
        </w:tc>
        <w:tc>
          <w:tcPr>
            <w:tcW w:w="580" w:type="dxa"/>
            <w:noWrap/>
            <w:vAlign w:val="center"/>
            <w:hideMark/>
          </w:tcPr>
          <w:p w14:paraId="61BA87F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4BFF4AC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1BE5712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vAlign w:val="center"/>
            <w:hideMark/>
          </w:tcPr>
          <w:p w14:paraId="4C33382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63FE904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41" w:type="dxa"/>
            <w:vAlign w:val="center"/>
            <w:hideMark/>
          </w:tcPr>
          <w:p w14:paraId="37F1D8A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r>
      <w:tr w:rsidR="00207B43" w:rsidRPr="00207B43" w14:paraId="551D18B6"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2FCC68FF"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Ratifications of human rights instruments</w:t>
            </w:r>
          </w:p>
        </w:tc>
        <w:tc>
          <w:tcPr>
            <w:tcW w:w="399" w:type="dxa"/>
            <w:noWrap/>
            <w:vAlign w:val="center"/>
            <w:hideMark/>
          </w:tcPr>
          <w:p w14:paraId="4FE4DD9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1A15093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340EB73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39813C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6C3B556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B47BB9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49F456D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DB343E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2141B73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11D68F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051360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1692AA7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3A1B39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D72F84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EAB888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5A1302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63C1404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07CBC42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2F30D64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vAlign w:val="center"/>
            <w:hideMark/>
          </w:tcPr>
          <w:p w14:paraId="7F99078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2CC3C16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41" w:type="dxa"/>
            <w:vAlign w:val="center"/>
            <w:hideMark/>
          </w:tcPr>
          <w:p w14:paraId="6CDF7F2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r>
      <w:tr w:rsidR="00207B43" w:rsidRPr="00207B43" w14:paraId="65023348"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5849E48B"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Migrant acceptance</w:t>
            </w:r>
          </w:p>
        </w:tc>
        <w:tc>
          <w:tcPr>
            <w:tcW w:w="399" w:type="dxa"/>
            <w:noWrap/>
            <w:vAlign w:val="center"/>
            <w:hideMark/>
          </w:tcPr>
          <w:p w14:paraId="25D18DF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3,50</w:t>
            </w:r>
          </w:p>
        </w:tc>
        <w:tc>
          <w:tcPr>
            <w:tcW w:w="567" w:type="dxa"/>
            <w:noWrap/>
            <w:vAlign w:val="center"/>
            <w:hideMark/>
          </w:tcPr>
          <w:p w14:paraId="733F7AD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67" w:type="dxa"/>
            <w:noWrap/>
            <w:vAlign w:val="center"/>
            <w:hideMark/>
          </w:tcPr>
          <w:p w14:paraId="65597D7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80" w:type="dxa"/>
            <w:noWrap/>
            <w:vAlign w:val="center"/>
            <w:hideMark/>
          </w:tcPr>
          <w:p w14:paraId="352E86B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3,90</w:t>
            </w:r>
          </w:p>
        </w:tc>
        <w:tc>
          <w:tcPr>
            <w:tcW w:w="580" w:type="dxa"/>
            <w:noWrap/>
            <w:vAlign w:val="center"/>
            <w:hideMark/>
          </w:tcPr>
          <w:p w14:paraId="54F2B71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80" w:type="dxa"/>
            <w:noWrap/>
            <w:vAlign w:val="center"/>
            <w:hideMark/>
          </w:tcPr>
          <w:p w14:paraId="7E67491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3,70</w:t>
            </w:r>
          </w:p>
        </w:tc>
        <w:tc>
          <w:tcPr>
            <w:tcW w:w="567" w:type="dxa"/>
            <w:noWrap/>
            <w:vAlign w:val="center"/>
            <w:hideMark/>
          </w:tcPr>
          <w:p w14:paraId="5B6CFA95"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80" w:type="dxa"/>
            <w:noWrap/>
            <w:vAlign w:val="center"/>
            <w:hideMark/>
          </w:tcPr>
          <w:p w14:paraId="7ED61B8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3,70</w:t>
            </w:r>
          </w:p>
        </w:tc>
        <w:tc>
          <w:tcPr>
            <w:tcW w:w="580" w:type="dxa"/>
            <w:noWrap/>
            <w:vAlign w:val="center"/>
            <w:hideMark/>
          </w:tcPr>
          <w:p w14:paraId="76EB6F2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20,00</w:t>
            </w:r>
          </w:p>
        </w:tc>
        <w:tc>
          <w:tcPr>
            <w:tcW w:w="580" w:type="dxa"/>
            <w:noWrap/>
            <w:vAlign w:val="center"/>
            <w:hideMark/>
          </w:tcPr>
          <w:p w14:paraId="4114D68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20,00</w:t>
            </w:r>
          </w:p>
        </w:tc>
        <w:tc>
          <w:tcPr>
            <w:tcW w:w="580" w:type="dxa"/>
            <w:noWrap/>
            <w:vAlign w:val="center"/>
            <w:hideMark/>
          </w:tcPr>
          <w:p w14:paraId="577605E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20,00</w:t>
            </w:r>
          </w:p>
        </w:tc>
        <w:tc>
          <w:tcPr>
            <w:tcW w:w="567" w:type="dxa"/>
            <w:noWrap/>
            <w:vAlign w:val="center"/>
            <w:hideMark/>
          </w:tcPr>
          <w:p w14:paraId="65CC5B9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3,50</w:t>
            </w:r>
          </w:p>
        </w:tc>
        <w:tc>
          <w:tcPr>
            <w:tcW w:w="580" w:type="dxa"/>
            <w:noWrap/>
            <w:vAlign w:val="center"/>
            <w:hideMark/>
          </w:tcPr>
          <w:p w14:paraId="6BE3457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3,90</w:t>
            </w:r>
          </w:p>
        </w:tc>
        <w:tc>
          <w:tcPr>
            <w:tcW w:w="580" w:type="dxa"/>
            <w:noWrap/>
            <w:vAlign w:val="center"/>
            <w:hideMark/>
          </w:tcPr>
          <w:p w14:paraId="08ECBF4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3,70</w:t>
            </w:r>
          </w:p>
        </w:tc>
        <w:tc>
          <w:tcPr>
            <w:tcW w:w="580" w:type="dxa"/>
            <w:noWrap/>
            <w:vAlign w:val="center"/>
            <w:hideMark/>
          </w:tcPr>
          <w:p w14:paraId="7D71A5A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3,80</w:t>
            </w:r>
          </w:p>
        </w:tc>
        <w:tc>
          <w:tcPr>
            <w:tcW w:w="580" w:type="dxa"/>
            <w:noWrap/>
            <w:vAlign w:val="center"/>
            <w:hideMark/>
          </w:tcPr>
          <w:p w14:paraId="0BEC183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3,80</w:t>
            </w:r>
          </w:p>
        </w:tc>
        <w:tc>
          <w:tcPr>
            <w:tcW w:w="580" w:type="dxa"/>
            <w:noWrap/>
            <w:vAlign w:val="center"/>
            <w:hideMark/>
          </w:tcPr>
          <w:p w14:paraId="7B6999DE"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3,90</w:t>
            </w:r>
          </w:p>
        </w:tc>
        <w:tc>
          <w:tcPr>
            <w:tcW w:w="567" w:type="dxa"/>
            <w:noWrap/>
            <w:vAlign w:val="center"/>
            <w:hideMark/>
          </w:tcPr>
          <w:p w14:paraId="1D40DA1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4,00</w:t>
            </w:r>
          </w:p>
        </w:tc>
        <w:tc>
          <w:tcPr>
            <w:tcW w:w="567" w:type="dxa"/>
            <w:noWrap/>
            <w:vAlign w:val="center"/>
            <w:hideMark/>
          </w:tcPr>
          <w:p w14:paraId="5BFAF1A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3,70</w:t>
            </w:r>
          </w:p>
        </w:tc>
        <w:tc>
          <w:tcPr>
            <w:tcW w:w="580" w:type="dxa"/>
            <w:vAlign w:val="center"/>
            <w:hideMark/>
          </w:tcPr>
          <w:p w14:paraId="4514887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3,90</w:t>
            </w:r>
          </w:p>
        </w:tc>
        <w:tc>
          <w:tcPr>
            <w:tcW w:w="567" w:type="dxa"/>
            <w:noWrap/>
            <w:vAlign w:val="center"/>
            <w:hideMark/>
          </w:tcPr>
          <w:p w14:paraId="3FC3913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c>
          <w:tcPr>
            <w:tcW w:w="541" w:type="dxa"/>
            <w:vAlign w:val="center"/>
            <w:hideMark/>
          </w:tcPr>
          <w:p w14:paraId="4CA8063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3,60</w:t>
            </w:r>
          </w:p>
        </w:tc>
      </w:tr>
      <w:tr w:rsidR="00207B43" w:rsidRPr="00207B43" w14:paraId="08D4042D"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207634D0"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Migration stock</w:t>
            </w:r>
          </w:p>
        </w:tc>
        <w:tc>
          <w:tcPr>
            <w:tcW w:w="399" w:type="dxa"/>
            <w:noWrap/>
            <w:vAlign w:val="center"/>
            <w:hideMark/>
          </w:tcPr>
          <w:p w14:paraId="71D4D95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0DA3C1C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5E4D552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57C8373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6FB43D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6065BF6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3A6BE24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57D38E4F"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6A075D7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799863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7BF63C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24634A5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027DA4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63ED942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2C58BAFD"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630A3F3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B273F5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4BB61F89"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24E49B5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vAlign w:val="center"/>
            <w:hideMark/>
          </w:tcPr>
          <w:p w14:paraId="7127566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0D29ACE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41" w:type="dxa"/>
            <w:vAlign w:val="center"/>
            <w:hideMark/>
          </w:tcPr>
          <w:p w14:paraId="12DB799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r>
      <w:tr w:rsidR="00207B43" w:rsidRPr="00207B43" w14:paraId="2B2DB839" w14:textId="77777777" w:rsidTr="001A0C66">
        <w:trPr>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48B0EAEB"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Unemployment</w:t>
            </w:r>
          </w:p>
        </w:tc>
        <w:tc>
          <w:tcPr>
            <w:tcW w:w="399" w:type="dxa"/>
            <w:noWrap/>
            <w:vAlign w:val="center"/>
            <w:hideMark/>
          </w:tcPr>
          <w:p w14:paraId="46311888"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6486E71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265CDE8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53D10A0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57B72F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3BF6F45B"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0C09137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533D606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4A72507"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4B447BCC"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1D4E1D80"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58CE698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01B42CF4"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82D413D"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B2CAEA1"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C3455C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noWrap/>
            <w:vAlign w:val="center"/>
            <w:hideMark/>
          </w:tcPr>
          <w:p w14:paraId="7ECC1799"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76B2341A"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2D85BC76"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80" w:type="dxa"/>
            <w:vAlign w:val="center"/>
            <w:hideMark/>
          </w:tcPr>
          <w:p w14:paraId="7E9BCDCF"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67" w:type="dxa"/>
            <w:noWrap/>
            <w:vAlign w:val="center"/>
            <w:hideMark/>
          </w:tcPr>
          <w:p w14:paraId="3A338153"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c>
          <w:tcPr>
            <w:tcW w:w="541" w:type="dxa"/>
            <w:vAlign w:val="center"/>
            <w:hideMark/>
          </w:tcPr>
          <w:p w14:paraId="64F52232" w14:textId="77777777" w:rsidR="00207B43" w:rsidRPr="00207B43" w:rsidRDefault="00207B43" w:rsidP="00207B43">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0,00</w:t>
            </w:r>
          </w:p>
        </w:tc>
      </w:tr>
      <w:tr w:rsidR="00207B43" w:rsidRPr="00207B43" w14:paraId="3DF086A0" w14:textId="77777777" w:rsidTr="001A0C6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1401374E" w14:textId="77777777" w:rsidR="00207B43" w:rsidRPr="00207B43" w:rsidRDefault="00207B43" w:rsidP="00207B43">
            <w:pPr>
              <w:jc w:val="left"/>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Corruption perception index</w:t>
            </w:r>
          </w:p>
        </w:tc>
        <w:tc>
          <w:tcPr>
            <w:tcW w:w="399" w:type="dxa"/>
            <w:noWrap/>
            <w:vAlign w:val="center"/>
            <w:hideMark/>
          </w:tcPr>
          <w:p w14:paraId="0DB36196"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1,87</w:t>
            </w:r>
          </w:p>
        </w:tc>
        <w:tc>
          <w:tcPr>
            <w:tcW w:w="567" w:type="dxa"/>
            <w:noWrap/>
            <w:vAlign w:val="center"/>
            <w:hideMark/>
          </w:tcPr>
          <w:p w14:paraId="35B37E73"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3,32</w:t>
            </w:r>
          </w:p>
        </w:tc>
        <w:tc>
          <w:tcPr>
            <w:tcW w:w="567" w:type="dxa"/>
            <w:noWrap/>
            <w:vAlign w:val="center"/>
            <w:hideMark/>
          </w:tcPr>
          <w:p w14:paraId="4206DC2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2,89</w:t>
            </w:r>
          </w:p>
        </w:tc>
        <w:tc>
          <w:tcPr>
            <w:tcW w:w="580" w:type="dxa"/>
            <w:noWrap/>
            <w:vAlign w:val="center"/>
            <w:hideMark/>
          </w:tcPr>
          <w:p w14:paraId="1C382D2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2,78</w:t>
            </w:r>
          </w:p>
        </w:tc>
        <w:tc>
          <w:tcPr>
            <w:tcW w:w="580" w:type="dxa"/>
            <w:noWrap/>
            <w:vAlign w:val="center"/>
            <w:hideMark/>
          </w:tcPr>
          <w:p w14:paraId="3229872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1,98</w:t>
            </w:r>
          </w:p>
        </w:tc>
        <w:tc>
          <w:tcPr>
            <w:tcW w:w="580" w:type="dxa"/>
            <w:noWrap/>
            <w:vAlign w:val="center"/>
            <w:hideMark/>
          </w:tcPr>
          <w:p w14:paraId="7E33271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2,64</w:t>
            </w:r>
          </w:p>
        </w:tc>
        <w:tc>
          <w:tcPr>
            <w:tcW w:w="567" w:type="dxa"/>
            <w:noWrap/>
            <w:vAlign w:val="center"/>
            <w:hideMark/>
          </w:tcPr>
          <w:p w14:paraId="0B70104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1,17</w:t>
            </w:r>
          </w:p>
        </w:tc>
        <w:tc>
          <w:tcPr>
            <w:tcW w:w="580" w:type="dxa"/>
            <w:noWrap/>
            <w:vAlign w:val="center"/>
            <w:hideMark/>
          </w:tcPr>
          <w:p w14:paraId="652D22C5"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2,27</w:t>
            </w:r>
          </w:p>
        </w:tc>
        <w:tc>
          <w:tcPr>
            <w:tcW w:w="580" w:type="dxa"/>
            <w:noWrap/>
            <w:vAlign w:val="center"/>
            <w:hideMark/>
          </w:tcPr>
          <w:p w14:paraId="0F9BDB80"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3,59</w:t>
            </w:r>
          </w:p>
        </w:tc>
        <w:tc>
          <w:tcPr>
            <w:tcW w:w="580" w:type="dxa"/>
            <w:noWrap/>
            <w:vAlign w:val="center"/>
            <w:hideMark/>
          </w:tcPr>
          <w:p w14:paraId="6940819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2,50</w:t>
            </w:r>
          </w:p>
        </w:tc>
        <w:tc>
          <w:tcPr>
            <w:tcW w:w="580" w:type="dxa"/>
            <w:noWrap/>
            <w:vAlign w:val="center"/>
            <w:hideMark/>
          </w:tcPr>
          <w:p w14:paraId="6AB91BC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2,27</w:t>
            </w:r>
          </w:p>
        </w:tc>
        <w:tc>
          <w:tcPr>
            <w:tcW w:w="567" w:type="dxa"/>
            <w:noWrap/>
            <w:vAlign w:val="center"/>
            <w:hideMark/>
          </w:tcPr>
          <w:p w14:paraId="5A6BA6E4"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4,24</w:t>
            </w:r>
          </w:p>
        </w:tc>
        <w:tc>
          <w:tcPr>
            <w:tcW w:w="580" w:type="dxa"/>
            <w:noWrap/>
            <w:vAlign w:val="center"/>
            <w:hideMark/>
          </w:tcPr>
          <w:p w14:paraId="6EEE4D7F"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2,03</w:t>
            </w:r>
          </w:p>
        </w:tc>
        <w:tc>
          <w:tcPr>
            <w:tcW w:w="580" w:type="dxa"/>
            <w:noWrap/>
            <w:vAlign w:val="center"/>
            <w:hideMark/>
          </w:tcPr>
          <w:p w14:paraId="471FE4B7"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3,35</w:t>
            </w:r>
          </w:p>
        </w:tc>
        <w:tc>
          <w:tcPr>
            <w:tcW w:w="580" w:type="dxa"/>
            <w:noWrap/>
            <w:vAlign w:val="center"/>
            <w:hideMark/>
          </w:tcPr>
          <w:p w14:paraId="2D9629C2"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1,60</w:t>
            </w:r>
          </w:p>
        </w:tc>
        <w:tc>
          <w:tcPr>
            <w:tcW w:w="580" w:type="dxa"/>
            <w:noWrap/>
            <w:vAlign w:val="center"/>
            <w:hideMark/>
          </w:tcPr>
          <w:p w14:paraId="74CCB2D1"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3,72</w:t>
            </w:r>
          </w:p>
        </w:tc>
        <w:tc>
          <w:tcPr>
            <w:tcW w:w="580" w:type="dxa"/>
            <w:noWrap/>
            <w:vAlign w:val="center"/>
            <w:hideMark/>
          </w:tcPr>
          <w:p w14:paraId="6BF4F6B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1,36</w:t>
            </w:r>
          </w:p>
        </w:tc>
        <w:tc>
          <w:tcPr>
            <w:tcW w:w="567" w:type="dxa"/>
            <w:noWrap/>
            <w:vAlign w:val="center"/>
            <w:hideMark/>
          </w:tcPr>
          <w:p w14:paraId="2FAA590C"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3,78</w:t>
            </w:r>
          </w:p>
        </w:tc>
        <w:tc>
          <w:tcPr>
            <w:tcW w:w="567" w:type="dxa"/>
            <w:noWrap/>
            <w:vAlign w:val="center"/>
            <w:hideMark/>
          </w:tcPr>
          <w:p w14:paraId="3526F79A"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1,36</w:t>
            </w:r>
          </w:p>
        </w:tc>
        <w:tc>
          <w:tcPr>
            <w:tcW w:w="580" w:type="dxa"/>
            <w:vAlign w:val="center"/>
            <w:hideMark/>
          </w:tcPr>
          <w:p w14:paraId="32F5AB68"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1,63</w:t>
            </w:r>
          </w:p>
        </w:tc>
        <w:tc>
          <w:tcPr>
            <w:tcW w:w="567" w:type="dxa"/>
            <w:noWrap/>
            <w:vAlign w:val="center"/>
            <w:hideMark/>
          </w:tcPr>
          <w:p w14:paraId="15BD942B"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1,70</w:t>
            </w:r>
          </w:p>
        </w:tc>
        <w:tc>
          <w:tcPr>
            <w:tcW w:w="541" w:type="dxa"/>
            <w:vAlign w:val="center"/>
            <w:hideMark/>
          </w:tcPr>
          <w:p w14:paraId="24E9F1DE" w14:textId="77777777" w:rsidR="00207B43" w:rsidRPr="00207B43" w:rsidRDefault="00207B43" w:rsidP="00207B4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16"/>
                <w:szCs w:val="16"/>
                <w:lang w:val="en-US"/>
              </w:rPr>
            </w:pPr>
            <w:r w:rsidRPr="00207B43">
              <w:rPr>
                <w:rFonts w:asciiTheme="majorHAnsi" w:eastAsia="Times New Roman" w:hAnsiTheme="majorHAnsi" w:cstheme="majorHAnsi"/>
                <w:color w:val="000000"/>
                <w:sz w:val="16"/>
                <w:szCs w:val="16"/>
                <w:lang w:val="en-US"/>
              </w:rPr>
              <w:t>2,23</w:t>
            </w:r>
          </w:p>
        </w:tc>
      </w:tr>
    </w:tbl>
    <w:p w14:paraId="69387A36" w14:textId="6EF78742" w:rsidR="00207B43" w:rsidRPr="00DC20CF" w:rsidRDefault="00207B43" w:rsidP="000A7C06">
      <w:pPr>
        <w:tabs>
          <w:tab w:val="left" w:pos="4333"/>
        </w:tabs>
        <w:rPr>
          <w:lang w:val="en-US"/>
        </w:rPr>
        <w:sectPr w:rsidR="00207B43" w:rsidRPr="00DC20CF" w:rsidSect="002D5302">
          <w:pgSz w:w="16838" w:h="11906" w:orient="landscape"/>
          <w:pgMar w:top="1417" w:right="1417" w:bottom="1417" w:left="1134" w:header="708" w:footer="708" w:gutter="0"/>
          <w:cols w:space="708"/>
          <w:docGrid w:linePitch="360"/>
        </w:sectPr>
      </w:pPr>
    </w:p>
    <w:sdt>
      <w:sdtPr>
        <w:rPr>
          <w:smallCaps w:val="0"/>
          <w:spacing w:val="0"/>
          <w:sz w:val="20"/>
          <w:szCs w:val="20"/>
          <w:lang w:val="en-US"/>
        </w:rPr>
        <w:tag w:val="CitaviBibliography"/>
        <w:id w:val="759333850"/>
        <w:placeholder>
          <w:docPart w:val="DefaultPlaceholder_-1854013440"/>
        </w:placeholder>
      </w:sdtPr>
      <w:sdtEndPr/>
      <w:sdtContent>
        <w:p w14:paraId="221A463E" w14:textId="77777777" w:rsidR="000D2D86" w:rsidRDefault="00FB0019" w:rsidP="000D2D86">
          <w:pPr>
            <w:pStyle w:val="CitaviBibliographyHeading"/>
            <w:rPr>
              <w:lang w:val="en-US"/>
            </w:rPr>
          </w:pPr>
          <w:r>
            <w:rPr>
              <w:lang w:val="en-US"/>
            </w:rPr>
            <w:fldChar w:fldCharType="begin"/>
          </w:r>
          <w:r w:rsidRPr="00DC20CF">
            <w:rPr>
              <w:lang w:val="en-US"/>
            </w:rPr>
            <w:instrText>ADDIN CitaviBibliography</w:instrText>
          </w:r>
          <w:r>
            <w:rPr>
              <w:lang w:val="en-US"/>
            </w:rPr>
            <w:fldChar w:fldCharType="separate"/>
          </w:r>
          <w:r w:rsidR="000D2D86">
            <w:rPr>
              <w:lang w:val="en-US"/>
            </w:rPr>
            <w:t>References</w:t>
          </w:r>
        </w:p>
        <w:p w14:paraId="434ECC06" w14:textId="77777777" w:rsidR="000D2D86" w:rsidRDefault="000D2D86" w:rsidP="000D2D86">
          <w:pPr>
            <w:pStyle w:val="CitaviBibliographyEntry"/>
            <w:rPr>
              <w:lang w:val="en-US"/>
            </w:rPr>
          </w:pPr>
          <w:bookmarkStart w:id="5" w:name="_CTVL001cb3bfdf5ef094413afd52331c348a6e9"/>
          <w:r>
            <w:rPr>
              <w:lang w:val="en-US"/>
            </w:rPr>
            <w:t>Mair-Bauernfeind C, Zimek M, Lettner M, Hesser F, Baumgartner RJ, Stern T (202X) Comparing the incomparable? Assessing Social and Environmental Impacts of Wood in Automotive Applications. Manuscript submitted for publication</w:t>
          </w:r>
        </w:p>
        <w:p w14:paraId="622D9073" w14:textId="77777777" w:rsidR="000D2D86" w:rsidRDefault="000D2D86" w:rsidP="000D2D86">
          <w:pPr>
            <w:pStyle w:val="CitaviBibliographyEntry"/>
            <w:rPr>
              <w:lang w:val="en-US"/>
            </w:rPr>
          </w:pPr>
          <w:bookmarkStart w:id="6" w:name="_CTVL0013df10363b5f14757aecb20158c348306"/>
          <w:bookmarkEnd w:id="5"/>
          <w:r>
            <w:rPr>
              <w:lang w:val="en-US"/>
            </w:rPr>
            <w:t>Rafiaani P, Kuppens T, van Dael M, Azadi H, Lebailly P, van Passel S (2018) Social sustainability assessments in the biobased economy: Towards a systemic approach. RENEW SUST ENERG REV 82:1839–1853. https://doi.org/10.1016/j.rser.2017.06.118</w:t>
          </w:r>
        </w:p>
        <w:p w14:paraId="796B4C2B" w14:textId="77777777" w:rsidR="000D2D86" w:rsidRDefault="000D2D86" w:rsidP="000D2D86">
          <w:pPr>
            <w:pStyle w:val="CitaviBibliographyEntry"/>
            <w:rPr>
              <w:lang w:val="en-US"/>
            </w:rPr>
          </w:pPr>
          <w:bookmarkStart w:id="7" w:name="_CTVL001afa502d602f34e9e90cb82fe3dde8d23"/>
          <w:bookmarkEnd w:id="6"/>
          <w:r>
            <w:rPr>
              <w:lang w:val="en-US"/>
            </w:rPr>
            <w:t>SHDB (2019) Social Hotspot Database Home Page. socialhotspot.org</w:t>
          </w:r>
        </w:p>
        <w:p w14:paraId="126DF289" w14:textId="77777777" w:rsidR="000D2D86" w:rsidRDefault="000D2D86" w:rsidP="000D2D86">
          <w:pPr>
            <w:pStyle w:val="CitaviBibliographyEntry"/>
            <w:rPr>
              <w:lang w:val="en-US"/>
            </w:rPr>
          </w:pPr>
          <w:bookmarkStart w:id="8" w:name="_CTVL001a026e7a1cc3d458b8490f7e52ef1a44c"/>
          <w:bookmarkEnd w:id="7"/>
          <w:r>
            <w:rPr>
              <w:lang w:val="en-US"/>
            </w:rPr>
            <w:t>UNEP/SETAC (2009) Guidelines for social life cycle assessment of products. UNEP DTIE, Sustainable Consumption and Production Branch, France</w:t>
          </w:r>
        </w:p>
        <w:p w14:paraId="7B02BC92" w14:textId="5FC57361" w:rsidR="00FB0019" w:rsidRDefault="000D2D86" w:rsidP="000D2D86">
          <w:pPr>
            <w:pStyle w:val="CitaviBibliographyEntry"/>
            <w:rPr>
              <w:lang w:val="en-US"/>
            </w:rPr>
          </w:pPr>
          <w:bookmarkStart w:id="9" w:name="_CTVL001c006525108d5447cb6e8a0f4046a0dbf"/>
          <w:bookmarkEnd w:id="8"/>
          <w:r>
            <w:rPr>
              <w:lang w:val="en-US"/>
            </w:rPr>
            <w:t>von der Linden W, von Toussaint U, Dose V (2014) Bayesian probability theory: Applications in the physical sciences. Cambridge University Press, Cambridg</w:t>
          </w:r>
          <w:bookmarkEnd w:id="9"/>
          <w:r>
            <w:rPr>
              <w:lang w:val="en-US"/>
            </w:rPr>
            <w:t>e</w:t>
          </w:r>
          <w:r w:rsidR="00FB0019">
            <w:rPr>
              <w:lang w:val="en-US"/>
            </w:rPr>
            <w:fldChar w:fldCharType="end"/>
          </w:r>
        </w:p>
      </w:sdtContent>
    </w:sdt>
    <w:p w14:paraId="77C291EB" w14:textId="77777777" w:rsidR="00FB0019" w:rsidRPr="00AF0292" w:rsidRDefault="00FB0019" w:rsidP="00FB0019">
      <w:pPr>
        <w:rPr>
          <w:lang w:val="en-US"/>
        </w:rPr>
      </w:pPr>
    </w:p>
    <w:sectPr w:rsidR="00FB0019" w:rsidRPr="00AF0292" w:rsidSect="00F705B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30E482" w14:textId="77777777" w:rsidR="00207B43" w:rsidRDefault="00207B43" w:rsidP="00DC20CF">
      <w:pPr>
        <w:spacing w:after="0" w:line="240" w:lineRule="auto"/>
      </w:pPr>
      <w:r>
        <w:separator/>
      </w:r>
    </w:p>
  </w:endnote>
  <w:endnote w:type="continuationSeparator" w:id="0">
    <w:p w14:paraId="125CEBC6" w14:textId="77777777" w:rsidR="00207B43" w:rsidRDefault="00207B43" w:rsidP="00DC20CF">
      <w:pPr>
        <w:spacing w:after="0" w:line="240" w:lineRule="auto"/>
      </w:pPr>
      <w:r>
        <w:continuationSeparator/>
      </w:r>
    </w:p>
  </w:endnote>
  <w:endnote w:type="continuationNotice" w:id="1">
    <w:p w14:paraId="1F5BB2F2" w14:textId="77777777" w:rsidR="00207B43" w:rsidRDefault="00207B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FC3EE" w14:textId="77777777" w:rsidR="00207B43" w:rsidRDefault="00207B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3094820"/>
      <w:docPartObj>
        <w:docPartGallery w:val="Page Numbers (Bottom of Page)"/>
        <w:docPartUnique/>
      </w:docPartObj>
    </w:sdtPr>
    <w:sdtEndPr/>
    <w:sdtContent>
      <w:p w14:paraId="1669B257" w14:textId="36FAC9FD" w:rsidR="00207B43" w:rsidRDefault="00207B43">
        <w:pPr>
          <w:pStyle w:val="Fuzeile"/>
          <w:jc w:val="right"/>
        </w:pPr>
        <w:r>
          <w:fldChar w:fldCharType="begin"/>
        </w:r>
        <w:r>
          <w:instrText>PAGE   \* MERGEFORMAT</w:instrText>
        </w:r>
        <w:r>
          <w:fldChar w:fldCharType="separate"/>
        </w:r>
        <w:r>
          <w:rPr>
            <w:lang w:val="de-DE"/>
          </w:rPr>
          <w:t>2</w:t>
        </w:r>
        <w:r>
          <w:fldChar w:fldCharType="end"/>
        </w:r>
      </w:p>
    </w:sdtContent>
  </w:sdt>
  <w:p w14:paraId="2F5A54FE" w14:textId="77777777" w:rsidR="00207B43" w:rsidRDefault="00207B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BC6F1" w14:textId="77777777" w:rsidR="00207B43" w:rsidRDefault="00207B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E5E57" w14:textId="77777777" w:rsidR="00207B43" w:rsidRDefault="00207B43" w:rsidP="00DC20CF">
      <w:pPr>
        <w:spacing w:after="0" w:line="240" w:lineRule="auto"/>
      </w:pPr>
      <w:r>
        <w:separator/>
      </w:r>
    </w:p>
  </w:footnote>
  <w:footnote w:type="continuationSeparator" w:id="0">
    <w:p w14:paraId="4546EC04" w14:textId="77777777" w:rsidR="00207B43" w:rsidRDefault="00207B43" w:rsidP="00DC20CF">
      <w:pPr>
        <w:spacing w:after="0" w:line="240" w:lineRule="auto"/>
      </w:pPr>
      <w:r>
        <w:continuationSeparator/>
      </w:r>
    </w:p>
  </w:footnote>
  <w:footnote w:type="continuationNotice" w:id="1">
    <w:p w14:paraId="4254494A" w14:textId="77777777" w:rsidR="00207B43" w:rsidRDefault="00207B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853FE" w14:textId="77777777" w:rsidR="00207B43" w:rsidRDefault="00207B4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E4EE0" w14:textId="77777777" w:rsidR="00207B43" w:rsidRDefault="00207B4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13810" w14:textId="77777777" w:rsidR="00207B43" w:rsidRDefault="00207B4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30A3D2"/>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8463CF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96E0AC3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C3839F6"/>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1F962D3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6762D0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2CBA3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FAD47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5C7C0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EE7835C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227FF2"/>
    <w:multiLevelType w:val="hybridMultilevel"/>
    <w:tmpl w:val="8E9200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482775B"/>
    <w:multiLevelType w:val="multilevel"/>
    <w:tmpl w:val="69600DF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14F4220"/>
    <w:multiLevelType w:val="hybridMultilevel"/>
    <w:tmpl w:val="2EEEF1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0"/>
  </w:num>
  <w:num w:numId="12">
    <w:abstractNumId w:val="0"/>
  </w:num>
  <w:num w:numId="13">
    <w:abstractNumId w:val="1"/>
  </w:num>
  <w:num w:numId="14">
    <w:abstractNumId w:val="2"/>
  </w:num>
  <w:num w:numId="15">
    <w:abstractNumId w:val="3"/>
  </w:num>
  <w:num w:numId="16">
    <w:abstractNumId w:val="4"/>
  </w:num>
  <w:num w:numId="17">
    <w:abstractNumId w:val="5"/>
  </w:num>
  <w:num w:numId="18">
    <w:abstractNumId w:val="6"/>
  </w:num>
  <w:num w:numId="19">
    <w:abstractNumId w:val="7"/>
  </w:num>
  <w:num w:numId="20">
    <w:abstractNumId w:val="8"/>
  </w:num>
  <w:num w:numId="21">
    <w:abstractNumId w:val="9"/>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D39"/>
    <w:rsid w:val="00021DBD"/>
    <w:rsid w:val="0003086F"/>
    <w:rsid w:val="000727E2"/>
    <w:rsid w:val="00080704"/>
    <w:rsid w:val="00096C00"/>
    <w:rsid w:val="000A7C06"/>
    <w:rsid w:val="000D0760"/>
    <w:rsid w:val="000D2D86"/>
    <w:rsid w:val="00116EEB"/>
    <w:rsid w:val="00155395"/>
    <w:rsid w:val="001932B8"/>
    <w:rsid w:val="001A0C66"/>
    <w:rsid w:val="00207B43"/>
    <w:rsid w:val="00215082"/>
    <w:rsid w:val="002263DE"/>
    <w:rsid w:val="002427FF"/>
    <w:rsid w:val="00285D39"/>
    <w:rsid w:val="00286E51"/>
    <w:rsid w:val="002A2B17"/>
    <w:rsid w:val="002D5302"/>
    <w:rsid w:val="00366BF2"/>
    <w:rsid w:val="00370753"/>
    <w:rsid w:val="00375562"/>
    <w:rsid w:val="003D7EAB"/>
    <w:rsid w:val="004347B0"/>
    <w:rsid w:val="00451C2B"/>
    <w:rsid w:val="00572639"/>
    <w:rsid w:val="005F77DD"/>
    <w:rsid w:val="00613E41"/>
    <w:rsid w:val="00647DA9"/>
    <w:rsid w:val="0076568B"/>
    <w:rsid w:val="00773F23"/>
    <w:rsid w:val="007A3AA6"/>
    <w:rsid w:val="007F2957"/>
    <w:rsid w:val="00836D9B"/>
    <w:rsid w:val="00844320"/>
    <w:rsid w:val="0087251C"/>
    <w:rsid w:val="008827F6"/>
    <w:rsid w:val="00912E34"/>
    <w:rsid w:val="00942A61"/>
    <w:rsid w:val="009B2924"/>
    <w:rsid w:val="009B4818"/>
    <w:rsid w:val="009D3ECE"/>
    <w:rsid w:val="00AA750E"/>
    <w:rsid w:val="00AB143A"/>
    <w:rsid w:val="00AF0292"/>
    <w:rsid w:val="00B23334"/>
    <w:rsid w:val="00B35E7D"/>
    <w:rsid w:val="00BC45C0"/>
    <w:rsid w:val="00BC5CAD"/>
    <w:rsid w:val="00C4009F"/>
    <w:rsid w:val="00C57942"/>
    <w:rsid w:val="00C70F4B"/>
    <w:rsid w:val="00CF1A8E"/>
    <w:rsid w:val="00D4732B"/>
    <w:rsid w:val="00D510F3"/>
    <w:rsid w:val="00D8134B"/>
    <w:rsid w:val="00DC20CF"/>
    <w:rsid w:val="00DD01A1"/>
    <w:rsid w:val="00ED2A31"/>
    <w:rsid w:val="00F17411"/>
    <w:rsid w:val="00F705BE"/>
    <w:rsid w:val="00FB0019"/>
    <w:rsid w:val="00FE711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2CE00"/>
  <w15:chartTrackingRefBased/>
  <w15:docId w15:val="{8417C9AC-1356-4416-B8D5-C292B37A8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de-AT" w:eastAsia="en-US"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15082"/>
  </w:style>
  <w:style w:type="paragraph" w:styleId="berschrift1">
    <w:name w:val="heading 1"/>
    <w:basedOn w:val="Standard"/>
    <w:next w:val="Standard"/>
    <w:link w:val="berschrift1Zchn"/>
    <w:uiPriority w:val="9"/>
    <w:qFormat/>
    <w:rsid w:val="00215082"/>
    <w:pPr>
      <w:spacing w:before="300" w:after="40"/>
      <w:jc w:val="left"/>
      <w:outlineLvl w:val="0"/>
    </w:pPr>
    <w:rPr>
      <w:smallCaps/>
      <w:spacing w:val="5"/>
      <w:sz w:val="32"/>
      <w:szCs w:val="32"/>
    </w:rPr>
  </w:style>
  <w:style w:type="paragraph" w:styleId="berschrift2">
    <w:name w:val="heading 2"/>
    <w:basedOn w:val="Standard"/>
    <w:next w:val="Standard"/>
    <w:link w:val="berschrift2Zchn"/>
    <w:uiPriority w:val="9"/>
    <w:unhideWhenUsed/>
    <w:qFormat/>
    <w:rsid w:val="00215082"/>
    <w:pPr>
      <w:spacing w:after="0"/>
      <w:jc w:val="left"/>
      <w:outlineLvl w:val="1"/>
    </w:pPr>
    <w:rPr>
      <w:smallCaps/>
      <w:spacing w:val="5"/>
      <w:sz w:val="28"/>
      <w:szCs w:val="28"/>
    </w:rPr>
  </w:style>
  <w:style w:type="paragraph" w:styleId="berschrift3">
    <w:name w:val="heading 3"/>
    <w:basedOn w:val="Standard"/>
    <w:next w:val="Standard"/>
    <w:link w:val="berschrift3Zchn"/>
    <w:uiPriority w:val="9"/>
    <w:unhideWhenUsed/>
    <w:qFormat/>
    <w:rsid w:val="00215082"/>
    <w:pPr>
      <w:spacing w:after="0"/>
      <w:jc w:val="left"/>
      <w:outlineLvl w:val="2"/>
    </w:pPr>
    <w:rPr>
      <w:smallCaps/>
      <w:spacing w:val="5"/>
      <w:sz w:val="24"/>
      <w:szCs w:val="24"/>
    </w:rPr>
  </w:style>
  <w:style w:type="paragraph" w:styleId="berschrift4">
    <w:name w:val="heading 4"/>
    <w:basedOn w:val="Standard"/>
    <w:next w:val="Standard"/>
    <w:link w:val="berschrift4Zchn"/>
    <w:uiPriority w:val="9"/>
    <w:semiHidden/>
    <w:unhideWhenUsed/>
    <w:qFormat/>
    <w:rsid w:val="00215082"/>
    <w:pPr>
      <w:spacing w:after="0"/>
      <w:jc w:val="left"/>
      <w:outlineLvl w:val="3"/>
    </w:pPr>
    <w:rPr>
      <w:i/>
      <w:iCs/>
      <w:smallCaps/>
      <w:spacing w:val="10"/>
      <w:sz w:val="22"/>
      <w:szCs w:val="22"/>
    </w:rPr>
  </w:style>
  <w:style w:type="paragraph" w:styleId="berschrift5">
    <w:name w:val="heading 5"/>
    <w:basedOn w:val="Standard"/>
    <w:next w:val="Standard"/>
    <w:link w:val="berschrift5Zchn"/>
    <w:uiPriority w:val="9"/>
    <w:semiHidden/>
    <w:unhideWhenUsed/>
    <w:qFormat/>
    <w:rsid w:val="00215082"/>
    <w:pPr>
      <w:spacing w:after="0"/>
      <w:jc w:val="left"/>
      <w:outlineLvl w:val="4"/>
    </w:pPr>
    <w:rPr>
      <w:smallCaps/>
      <w:color w:val="538135" w:themeColor="accent6" w:themeShade="BF"/>
      <w:spacing w:val="10"/>
      <w:sz w:val="22"/>
      <w:szCs w:val="22"/>
    </w:rPr>
  </w:style>
  <w:style w:type="paragraph" w:styleId="berschrift6">
    <w:name w:val="heading 6"/>
    <w:basedOn w:val="Standard"/>
    <w:next w:val="Standard"/>
    <w:link w:val="berschrift6Zchn"/>
    <w:uiPriority w:val="9"/>
    <w:semiHidden/>
    <w:unhideWhenUsed/>
    <w:qFormat/>
    <w:rsid w:val="00215082"/>
    <w:pPr>
      <w:spacing w:after="0"/>
      <w:jc w:val="left"/>
      <w:outlineLvl w:val="5"/>
    </w:pPr>
    <w:rPr>
      <w:smallCaps/>
      <w:color w:val="70AD47" w:themeColor="accent6"/>
      <w:spacing w:val="5"/>
      <w:sz w:val="22"/>
      <w:szCs w:val="22"/>
    </w:rPr>
  </w:style>
  <w:style w:type="paragraph" w:styleId="berschrift7">
    <w:name w:val="heading 7"/>
    <w:basedOn w:val="Standard"/>
    <w:next w:val="Standard"/>
    <w:link w:val="berschrift7Zchn"/>
    <w:uiPriority w:val="9"/>
    <w:semiHidden/>
    <w:unhideWhenUsed/>
    <w:qFormat/>
    <w:rsid w:val="00215082"/>
    <w:pPr>
      <w:spacing w:after="0"/>
      <w:jc w:val="left"/>
      <w:outlineLvl w:val="6"/>
    </w:pPr>
    <w:rPr>
      <w:b/>
      <w:bCs/>
      <w:smallCaps/>
      <w:color w:val="70AD47" w:themeColor="accent6"/>
      <w:spacing w:val="10"/>
    </w:rPr>
  </w:style>
  <w:style w:type="paragraph" w:styleId="berschrift8">
    <w:name w:val="heading 8"/>
    <w:basedOn w:val="Standard"/>
    <w:next w:val="Standard"/>
    <w:link w:val="berschrift8Zchn"/>
    <w:uiPriority w:val="9"/>
    <w:semiHidden/>
    <w:unhideWhenUsed/>
    <w:qFormat/>
    <w:rsid w:val="00215082"/>
    <w:pPr>
      <w:spacing w:after="0"/>
      <w:jc w:val="left"/>
      <w:outlineLvl w:val="7"/>
    </w:pPr>
    <w:rPr>
      <w:b/>
      <w:bCs/>
      <w:i/>
      <w:iCs/>
      <w:smallCaps/>
      <w:color w:val="538135" w:themeColor="accent6" w:themeShade="BF"/>
    </w:rPr>
  </w:style>
  <w:style w:type="paragraph" w:styleId="berschrift9">
    <w:name w:val="heading 9"/>
    <w:basedOn w:val="Standard"/>
    <w:next w:val="Standard"/>
    <w:link w:val="berschrift9Zchn"/>
    <w:uiPriority w:val="9"/>
    <w:semiHidden/>
    <w:unhideWhenUsed/>
    <w:qFormat/>
    <w:rsid w:val="00215082"/>
    <w:pPr>
      <w:spacing w:after="0"/>
      <w:jc w:val="left"/>
      <w:outlineLvl w:val="8"/>
    </w:pPr>
    <w:rPr>
      <w:b/>
      <w:bCs/>
      <w:i/>
      <w:iCs/>
      <w:smallCaps/>
      <w:color w:val="385623"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215082"/>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elZchn">
    <w:name w:val="Titel Zchn"/>
    <w:basedOn w:val="Absatz-Standardschriftart"/>
    <w:link w:val="Titel"/>
    <w:uiPriority w:val="10"/>
    <w:rsid w:val="00215082"/>
    <w:rPr>
      <w:smallCaps/>
      <w:color w:val="262626" w:themeColor="text1" w:themeTint="D9"/>
      <w:sz w:val="52"/>
      <w:szCs w:val="52"/>
    </w:rPr>
  </w:style>
  <w:style w:type="character" w:customStyle="1" w:styleId="berschrift1Zchn">
    <w:name w:val="Überschrift 1 Zchn"/>
    <w:basedOn w:val="Absatz-Standardschriftart"/>
    <w:link w:val="berschrift1"/>
    <w:uiPriority w:val="9"/>
    <w:rsid w:val="00215082"/>
    <w:rPr>
      <w:smallCaps/>
      <w:spacing w:val="5"/>
      <w:sz w:val="32"/>
      <w:szCs w:val="32"/>
    </w:rPr>
  </w:style>
  <w:style w:type="character" w:customStyle="1" w:styleId="berschrift2Zchn">
    <w:name w:val="Überschrift 2 Zchn"/>
    <w:basedOn w:val="Absatz-Standardschriftart"/>
    <w:link w:val="berschrift2"/>
    <w:uiPriority w:val="9"/>
    <w:rsid w:val="00215082"/>
    <w:rPr>
      <w:smallCaps/>
      <w:spacing w:val="5"/>
      <w:sz w:val="28"/>
      <w:szCs w:val="28"/>
    </w:rPr>
  </w:style>
  <w:style w:type="character" w:customStyle="1" w:styleId="berschrift3Zchn">
    <w:name w:val="Überschrift 3 Zchn"/>
    <w:basedOn w:val="Absatz-Standardschriftart"/>
    <w:link w:val="berschrift3"/>
    <w:uiPriority w:val="9"/>
    <w:rsid w:val="00215082"/>
    <w:rPr>
      <w:smallCaps/>
      <w:spacing w:val="5"/>
      <w:sz w:val="24"/>
      <w:szCs w:val="24"/>
    </w:rPr>
  </w:style>
  <w:style w:type="character" w:customStyle="1" w:styleId="berschrift4Zchn">
    <w:name w:val="Überschrift 4 Zchn"/>
    <w:basedOn w:val="Absatz-Standardschriftart"/>
    <w:link w:val="berschrift4"/>
    <w:uiPriority w:val="9"/>
    <w:semiHidden/>
    <w:rsid w:val="00215082"/>
    <w:rPr>
      <w:i/>
      <w:iCs/>
      <w:smallCaps/>
      <w:spacing w:val="10"/>
      <w:sz w:val="22"/>
      <w:szCs w:val="22"/>
    </w:rPr>
  </w:style>
  <w:style w:type="character" w:customStyle="1" w:styleId="berschrift5Zchn">
    <w:name w:val="Überschrift 5 Zchn"/>
    <w:basedOn w:val="Absatz-Standardschriftart"/>
    <w:link w:val="berschrift5"/>
    <w:uiPriority w:val="9"/>
    <w:semiHidden/>
    <w:rsid w:val="00215082"/>
    <w:rPr>
      <w:smallCaps/>
      <w:color w:val="538135" w:themeColor="accent6" w:themeShade="BF"/>
      <w:spacing w:val="10"/>
      <w:sz w:val="22"/>
      <w:szCs w:val="22"/>
    </w:rPr>
  </w:style>
  <w:style w:type="character" w:customStyle="1" w:styleId="berschrift6Zchn">
    <w:name w:val="Überschrift 6 Zchn"/>
    <w:basedOn w:val="Absatz-Standardschriftart"/>
    <w:link w:val="berschrift6"/>
    <w:uiPriority w:val="9"/>
    <w:semiHidden/>
    <w:rsid w:val="00215082"/>
    <w:rPr>
      <w:smallCaps/>
      <w:color w:val="70AD47" w:themeColor="accent6"/>
      <w:spacing w:val="5"/>
      <w:sz w:val="22"/>
      <w:szCs w:val="22"/>
    </w:rPr>
  </w:style>
  <w:style w:type="character" w:customStyle="1" w:styleId="berschrift7Zchn">
    <w:name w:val="Überschrift 7 Zchn"/>
    <w:basedOn w:val="Absatz-Standardschriftart"/>
    <w:link w:val="berschrift7"/>
    <w:uiPriority w:val="9"/>
    <w:semiHidden/>
    <w:rsid w:val="00215082"/>
    <w:rPr>
      <w:b/>
      <w:bCs/>
      <w:smallCaps/>
      <w:color w:val="70AD47" w:themeColor="accent6"/>
      <w:spacing w:val="10"/>
    </w:rPr>
  </w:style>
  <w:style w:type="character" w:customStyle="1" w:styleId="berschrift8Zchn">
    <w:name w:val="Überschrift 8 Zchn"/>
    <w:basedOn w:val="Absatz-Standardschriftart"/>
    <w:link w:val="berschrift8"/>
    <w:uiPriority w:val="9"/>
    <w:semiHidden/>
    <w:rsid w:val="00215082"/>
    <w:rPr>
      <w:b/>
      <w:bCs/>
      <w:i/>
      <w:iCs/>
      <w:smallCaps/>
      <w:color w:val="538135" w:themeColor="accent6" w:themeShade="BF"/>
    </w:rPr>
  </w:style>
  <w:style w:type="character" w:customStyle="1" w:styleId="berschrift9Zchn">
    <w:name w:val="Überschrift 9 Zchn"/>
    <w:basedOn w:val="Absatz-Standardschriftart"/>
    <w:link w:val="berschrift9"/>
    <w:uiPriority w:val="9"/>
    <w:semiHidden/>
    <w:rsid w:val="00215082"/>
    <w:rPr>
      <w:b/>
      <w:bCs/>
      <w:i/>
      <w:iCs/>
      <w:smallCaps/>
      <w:color w:val="385623" w:themeColor="accent6" w:themeShade="80"/>
    </w:rPr>
  </w:style>
  <w:style w:type="paragraph" w:styleId="Beschriftung">
    <w:name w:val="caption"/>
    <w:basedOn w:val="Standard"/>
    <w:next w:val="Standard"/>
    <w:uiPriority w:val="35"/>
    <w:unhideWhenUsed/>
    <w:qFormat/>
    <w:rsid w:val="00215082"/>
    <w:rPr>
      <w:b/>
      <w:bCs/>
      <w:caps/>
      <w:sz w:val="16"/>
      <w:szCs w:val="16"/>
    </w:rPr>
  </w:style>
  <w:style w:type="paragraph" w:styleId="Untertitel">
    <w:name w:val="Subtitle"/>
    <w:basedOn w:val="Standard"/>
    <w:next w:val="Standard"/>
    <w:link w:val="UntertitelZchn"/>
    <w:uiPriority w:val="11"/>
    <w:qFormat/>
    <w:rsid w:val="00215082"/>
    <w:pPr>
      <w:spacing w:after="720" w:line="240" w:lineRule="auto"/>
      <w:jc w:val="right"/>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215082"/>
    <w:rPr>
      <w:rFonts w:asciiTheme="majorHAnsi" w:eastAsiaTheme="majorEastAsia" w:hAnsiTheme="majorHAnsi" w:cstheme="majorBidi"/>
    </w:rPr>
  </w:style>
  <w:style w:type="character" w:styleId="Fett">
    <w:name w:val="Strong"/>
    <w:uiPriority w:val="22"/>
    <w:qFormat/>
    <w:rsid w:val="00215082"/>
    <w:rPr>
      <w:b/>
      <w:bCs/>
      <w:color w:val="70AD47" w:themeColor="accent6"/>
    </w:rPr>
  </w:style>
  <w:style w:type="character" w:styleId="Hervorhebung">
    <w:name w:val="Emphasis"/>
    <w:uiPriority w:val="20"/>
    <w:qFormat/>
    <w:rsid w:val="00215082"/>
    <w:rPr>
      <w:b/>
      <w:bCs/>
      <w:i/>
      <w:iCs/>
      <w:spacing w:val="10"/>
    </w:rPr>
  </w:style>
  <w:style w:type="paragraph" w:styleId="KeinLeerraum">
    <w:name w:val="No Spacing"/>
    <w:uiPriority w:val="1"/>
    <w:qFormat/>
    <w:rsid w:val="00215082"/>
    <w:pPr>
      <w:spacing w:after="0" w:line="240" w:lineRule="auto"/>
    </w:pPr>
  </w:style>
  <w:style w:type="paragraph" w:styleId="Zitat">
    <w:name w:val="Quote"/>
    <w:basedOn w:val="Standard"/>
    <w:next w:val="Standard"/>
    <w:link w:val="ZitatZchn"/>
    <w:uiPriority w:val="29"/>
    <w:qFormat/>
    <w:rsid w:val="00215082"/>
    <w:rPr>
      <w:i/>
      <w:iCs/>
    </w:rPr>
  </w:style>
  <w:style w:type="character" w:customStyle="1" w:styleId="ZitatZchn">
    <w:name w:val="Zitat Zchn"/>
    <w:basedOn w:val="Absatz-Standardschriftart"/>
    <w:link w:val="Zitat"/>
    <w:uiPriority w:val="29"/>
    <w:rsid w:val="00215082"/>
    <w:rPr>
      <w:i/>
      <w:iCs/>
    </w:rPr>
  </w:style>
  <w:style w:type="paragraph" w:styleId="IntensivesZitat">
    <w:name w:val="Intense Quote"/>
    <w:basedOn w:val="Standard"/>
    <w:next w:val="Standard"/>
    <w:link w:val="IntensivesZitatZchn"/>
    <w:uiPriority w:val="30"/>
    <w:qFormat/>
    <w:rsid w:val="00215082"/>
    <w:pPr>
      <w:pBdr>
        <w:top w:val="single" w:sz="8" w:space="1" w:color="70AD47" w:themeColor="accent6"/>
      </w:pBdr>
      <w:spacing w:before="140" w:after="140"/>
      <w:ind w:left="1440" w:right="1440"/>
    </w:pPr>
    <w:rPr>
      <w:b/>
      <w:bCs/>
      <w:i/>
      <w:iCs/>
    </w:rPr>
  </w:style>
  <w:style w:type="character" w:customStyle="1" w:styleId="IntensivesZitatZchn">
    <w:name w:val="Intensives Zitat Zchn"/>
    <w:basedOn w:val="Absatz-Standardschriftart"/>
    <w:link w:val="IntensivesZitat"/>
    <w:uiPriority w:val="30"/>
    <w:rsid w:val="00215082"/>
    <w:rPr>
      <w:b/>
      <w:bCs/>
      <w:i/>
      <w:iCs/>
    </w:rPr>
  </w:style>
  <w:style w:type="character" w:styleId="SchwacheHervorhebung">
    <w:name w:val="Subtle Emphasis"/>
    <w:uiPriority w:val="19"/>
    <w:qFormat/>
    <w:rsid w:val="00215082"/>
    <w:rPr>
      <w:i/>
      <w:iCs/>
    </w:rPr>
  </w:style>
  <w:style w:type="character" w:styleId="IntensiveHervorhebung">
    <w:name w:val="Intense Emphasis"/>
    <w:uiPriority w:val="21"/>
    <w:qFormat/>
    <w:rsid w:val="00215082"/>
    <w:rPr>
      <w:b/>
      <w:bCs/>
      <w:i/>
      <w:iCs/>
      <w:color w:val="70AD47" w:themeColor="accent6"/>
      <w:spacing w:val="10"/>
    </w:rPr>
  </w:style>
  <w:style w:type="character" w:styleId="SchwacherVerweis">
    <w:name w:val="Subtle Reference"/>
    <w:uiPriority w:val="31"/>
    <w:qFormat/>
    <w:rsid w:val="00215082"/>
    <w:rPr>
      <w:b/>
      <w:bCs/>
    </w:rPr>
  </w:style>
  <w:style w:type="character" w:styleId="IntensiverVerweis">
    <w:name w:val="Intense Reference"/>
    <w:uiPriority w:val="32"/>
    <w:qFormat/>
    <w:rsid w:val="00215082"/>
    <w:rPr>
      <w:b/>
      <w:bCs/>
      <w:smallCaps/>
      <w:spacing w:val="5"/>
      <w:sz w:val="22"/>
      <w:szCs w:val="22"/>
      <w:u w:val="single"/>
    </w:rPr>
  </w:style>
  <w:style w:type="character" w:styleId="Buchtitel">
    <w:name w:val="Book Title"/>
    <w:uiPriority w:val="33"/>
    <w:qFormat/>
    <w:rsid w:val="00215082"/>
    <w:rPr>
      <w:rFonts w:asciiTheme="majorHAnsi" w:eastAsiaTheme="majorEastAsia" w:hAnsiTheme="majorHAnsi" w:cstheme="majorBidi"/>
      <w:i/>
      <w:iCs/>
      <w:sz w:val="20"/>
      <w:szCs w:val="20"/>
    </w:rPr>
  </w:style>
  <w:style w:type="paragraph" w:styleId="Inhaltsverzeichnisberschrift">
    <w:name w:val="TOC Heading"/>
    <w:basedOn w:val="berschrift1"/>
    <w:next w:val="Standard"/>
    <w:uiPriority w:val="39"/>
    <w:semiHidden/>
    <w:unhideWhenUsed/>
    <w:qFormat/>
    <w:rsid w:val="00215082"/>
    <w:pPr>
      <w:outlineLvl w:val="9"/>
    </w:pPr>
  </w:style>
  <w:style w:type="paragraph" w:styleId="Listenabsatz">
    <w:name w:val="List Paragraph"/>
    <w:basedOn w:val="Standard"/>
    <w:uiPriority w:val="34"/>
    <w:qFormat/>
    <w:rsid w:val="003D7EAB"/>
    <w:pPr>
      <w:ind w:left="720"/>
      <w:contextualSpacing/>
    </w:pPr>
  </w:style>
  <w:style w:type="numbering" w:customStyle="1" w:styleId="KeineListe1">
    <w:name w:val="Keine Liste1"/>
    <w:next w:val="KeineListe"/>
    <w:uiPriority w:val="99"/>
    <w:semiHidden/>
    <w:unhideWhenUsed/>
    <w:rsid w:val="005F77DD"/>
  </w:style>
  <w:style w:type="paragraph" w:customStyle="1" w:styleId="msonormal0">
    <w:name w:val="msonormal"/>
    <w:basedOn w:val="Standard"/>
    <w:rsid w:val="005F77D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oa1">
    <w:name w:val="oa1"/>
    <w:basedOn w:val="Standard"/>
    <w:rsid w:val="005F77DD"/>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oa2">
    <w:name w:val="oa2"/>
    <w:basedOn w:val="Standard"/>
    <w:rsid w:val="005F77DD"/>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oa3">
    <w:name w:val="oa3"/>
    <w:basedOn w:val="Standard"/>
    <w:rsid w:val="005F77DD"/>
    <w:pP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oa4">
    <w:name w:val="oa4"/>
    <w:basedOn w:val="Standard"/>
    <w:rsid w:val="005F77DD"/>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oa5">
    <w:name w:val="oa5"/>
    <w:basedOn w:val="Standard"/>
    <w:rsid w:val="005F77DD"/>
    <w:pPr>
      <w:shd w:val="clear" w:color="auto" w:fill="FCE4D6"/>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oa6">
    <w:name w:val="oa6"/>
    <w:basedOn w:val="Standard"/>
    <w:rsid w:val="005F77DD"/>
    <w:pPr>
      <w:shd w:val="clear" w:color="auto" w:fill="E2EFDA"/>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oa7">
    <w:name w:val="oa7"/>
    <w:basedOn w:val="Standard"/>
    <w:rsid w:val="005F77DD"/>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oa8">
    <w:name w:val="oa8"/>
    <w:basedOn w:val="Standard"/>
    <w:rsid w:val="005F77DD"/>
    <w:pPr>
      <w:shd w:val="clear" w:color="auto" w:fill="FCE4D6"/>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oa9">
    <w:name w:val="oa9"/>
    <w:basedOn w:val="Standard"/>
    <w:rsid w:val="005F77DD"/>
    <w:pPr>
      <w:shd w:val="clear" w:color="auto" w:fill="E2EFDA"/>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oa10">
    <w:name w:val="oa10"/>
    <w:basedOn w:val="Standard"/>
    <w:rsid w:val="005F77D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StandardWeb">
    <w:name w:val="Normal (Web)"/>
    <w:basedOn w:val="Standard"/>
    <w:uiPriority w:val="99"/>
    <w:semiHidden/>
    <w:unhideWhenUsed/>
    <w:rsid w:val="005F77DD"/>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KeineListe2">
    <w:name w:val="Keine Liste2"/>
    <w:next w:val="KeineListe"/>
    <w:uiPriority w:val="99"/>
    <w:semiHidden/>
    <w:unhideWhenUsed/>
    <w:rsid w:val="005F77DD"/>
  </w:style>
  <w:style w:type="numbering" w:customStyle="1" w:styleId="KeineListe11">
    <w:name w:val="Keine Liste11"/>
    <w:next w:val="KeineListe"/>
    <w:uiPriority w:val="99"/>
    <w:semiHidden/>
    <w:unhideWhenUsed/>
    <w:rsid w:val="005F77DD"/>
  </w:style>
  <w:style w:type="table" w:styleId="TabellemithellemGitternetz">
    <w:name w:val="Grid Table Light"/>
    <w:basedOn w:val="NormaleTabelle"/>
    <w:uiPriority w:val="40"/>
    <w:rsid w:val="005F77DD"/>
    <w:pPr>
      <w:spacing w:after="0" w:line="240" w:lineRule="auto"/>
    </w:pPr>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KeineListe21">
    <w:name w:val="Keine Liste21"/>
    <w:next w:val="KeineListe"/>
    <w:uiPriority w:val="99"/>
    <w:semiHidden/>
    <w:unhideWhenUsed/>
    <w:rsid w:val="005F77DD"/>
  </w:style>
  <w:style w:type="paragraph" w:styleId="Sprechblasentext">
    <w:name w:val="Balloon Text"/>
    <w:basedOn w:val="Standard"/>
    <w:link w:val="SprechblasentextZchn"/>
    <w:uiPriority w:val="99"/>
    <w:semiHidden/>
    <w:unhideWhenUsed/>
    <w:rsid w:val="005F77DD"/>
    <w:pPr>
      <w:spacing w:after="0" w:line="240" w:lineRule="auto"/>
    </w:pPr>
    <w:rPr>
      <w:rFonts w:ascii="Segoe UI" w:eastAsiaTheme="minorHAnsi" w:hAnsi="Segoe UI" w:cs="Segoe UI"/>
      <w:sz w:val="18"/>
      <w:szCs w:val="18"/>
      <w:lang w:val="en-US"/>
    </w:rPr>
  </w:style>
  <w:style w:type="character" w:customStyle="1" w:styleId="SprechblasentextZchn">
    <w:name w:val="Sprechblasentext Zchn"/>
    <w:basedOn w:val="Absatz-Standardschriftart"/>
    <w:link w:val="Sprechblasentext"/>
    <w:uiPriority w:val="99"/>
    <w:semiHidden/>
    <w:rsid w:val="005F77DD"/>
    <w:rPr>
      <w:rFonts w:ascii="Segoe UI" w:eastAsiaTheme="minorHAnsi" w:hAnsi="Segoe UI" w:cs="Segoe UI"/>
      <w:sz w:val="18"/>
      <w:szCs w:val="18"/>
      <w:lang w:val="en-US"/>
    </w:rPr>
  </w:style>
  <w:style w:type="paragraph" w:customStyle="1" w:styleId="CitaviBibliographyEntry">
    <w:name w:val="Citavi Bibliography Entry"/>
    <w:basedOn w:val="Standard"/>
    <w:link w:val="CitaviBibliographyEntryZchn"/>
    <w:rsid w:val="00D4732B"/>
    <w:pPr>
      <w:tabs>
        <w:tab w:val="left" w:pos="397"/>
      </w:tabs>
      <w:spacing w:after="0"/>
      <w:ind w:left="397" w:hanging="397"/>
    </w:pPr>
  </w:style>
  <w:style w:type="character" w:customStyle="1" w:styleId="CitaviBibliographyEntryZchn">
    <w:name w:val="Citavi Bibliography Entry Zchn"/>
    <w:basedOn w:val="Absatz-Standardschriftart"/>
    <w:link w:val="CitaviBibliographyEntry"/>
    <w:rsid w:val="00D4732B"/>
  </w:style>
  <w:style w:type="paragraph" w:customStyle="1" w:styleId="CitaviBibliographyHeading">
    <w:name w:val="Citavi Bibliography Heading"/>
    <w:basedOn w:val="berschrift1"/>
    <w:link w:val="CitaviBibliographyHeadingZchn"/>
    <w:rsid w:val="00D4732B"/>
  </w:style>
  <w:style w:type="character" w:customStyle="1" w:styleId="CitaviBibliographyHeadingZchn">
    <w:name w:val="Citavi Bibliography Heading Zchn"/>
    <w:basedOn w:val="Absatz-Standardschriftart"/>
    <w:link w:val="CitaviBibliographyHeading"/>
    <w:rsid w:val="00D4732B"/>
    <w:rPr>
      <w:smallCaps/>
      <w:spacing w:val="5"/>
      <w:sz w:val="32"/>
      <w:szCs w:val="32"/>
    </w:rPr>
  </w:style>
  <w:style w:type="paragraph" w:customStyle="1" w:styleId="CitaviBibliographySubheading1">
    <w:name w:val="Citavi Bibliography Subheading 1"/>
    <w:basedOn w:val="berschrift2"/>
    <w:link w:val="CitaviBibliographySubheading1Zchn"/>
    <w:rsid w:val="00D4732B"/>
    <w:pPr>
      <w:spacing w:line="240" w:lineRule="auto"/>
      <w:textAlignment w:val="center"/>
      <w:outlineLvl w:val="9"/>
    </w:pPr>
    <w:rPr>
      <w:rFonts w:ascii="Calibri Light" w:eastAsia="Times New Roman" w:hAnsi="Calibri Light" w:cs="Calibri Light"/>
      <w:color w:val="000000"/>
      <w:kern w:val="24"/>
      <w:sz w:val="14"/>
      <w:szCs w:val="14"/>
      <w:lang w:val="en-US"/>
    </w:rPr>
  </w:style>
  <w:style w:type="character" w:customStyle="1" w:styleId="CitaviBibliographySubheading1Zchn">
    <w:name w:val="Citavi Bibliography Subheading 1 Zchn"/>
    <w:basedOn w:val="Absatz-Standardschriftart"/>
    <w:link w:val="CitaviBibliographySubheading1"/>
    <w:rsid w:val="00D4732B"/>
    <w:rPr>
      <w:rFonts w:ascii="Calibri Light" w:eastAsia="Times New Roman" w:hAnsi="Calibri Light" w:cs="Calibri Light"/>
      <w:smallCaps/>
      <w:color w:val="000000"/>
      <w:spacing w:val="5"/>
      <w:kern w:val="24"/>
      <w:sz w:val="14"/>
      <w:szCs w:val="14"/>
      <w:lang w:val="en-US"/>
    </w:rPr>
  </w:style>
  <w:style w:type="paragraph" w:customStyle="1" w:styleId="CitaviBibliographySubheading2">
    <w:name w:val="Citavi Bibliography Subheading 2"/>
    <w:basedOn w:val="berschrift3"/>
    <w:link w:val="CitaviBibliographySubheading2Zchn"/>
    <w:rsid w:val="00D4732B"/>
    <w:pPr>
      <w:spacing w:line="240" w:lineRule="auto"/>
      <w:textAlignment w:val="center"/>
      <w:outlineLvl w:val="9"/>
    </w:pPr>
    <w:rPr>
      <w:rFonts w:ascii="Calibri Light" w:eastAsia="Times New Roman" w:hAnsi="Calibri Light" w:cs="Calibri Light"/>
      <w:color w:val="000000"/>
      <w:kern w:val="24"/>
      <w:sz w:val="14"/>
      <w:szCs w:val="14"/>
      <w:lang w:val="en-US"/>
    </w:rPr>
  </w:style>
  <w:style w:type="character" w:customStyle="1" w:styleId="CitaviBibliographySubheading2Zchn">
    <w:name w:val="Citavi Bibliography Subheading 2 Zchn"/>
    <w:basedOn w:val="Absatz-Standardschriftart"/>
    <w:link w:val="CitaviBibliographySubheading2"/>
    <w:rsid w:val="00D4732B"/>
    <w:rPr>
      <w:rFonts w:ascii="Calibri Light" w:eastAsia="Times New Roman" w:hAnsi="Calibri Light" w:cs="Calibri Light"/>
      <w:smallCaps/>
      <w:color w:val="000000"/>
      <w:spacing w:val="5"/>
      <w:kern w:val="24"/>
      <w:sz w:val="14"/>
      <w:szCs w:val="14"/>
      <w:lang w:val="en-US"/>
    </w:rPr>
  </w:style>
  <w:style w:type="paragraph" w:customStyle="1" w:styleId="CitaviBibliographySubheading3">
    <w:name w:val="Citavi Bibliography Subheading 3"/>
    <w:basedOn w:val="berschrift4"/>
    <w:link w:val="CitaviBibliographySubheading3Zchn"/>
    <w:rsid w:val="00D4732B"/>
    <w:pPr>
      <w:spacing w:line="240" w:lineRule="auto"/>
      <w:textAlignment w:val="center"/>
      <w:outlineLvl w:val="9"/>
    </w:pPr>
    <w:rPr>
      <w:rFonts w:ascii="Calibri Light" w:eastAsia="Times New Roman" w:hAnsi="Calibri Light" w:cs="Calibri Light"/>
      <w:color w:val="000000"/>
      <w:kern w:val="24"/>
      <w:sz w:val="14"/>
      <w:szCs w:val="14"/>
      <w:lang w:val="en-US"/>
    </w:rPr>
  </w:style>
  <w:style w:type="character" w:customStyle="1" w:styleId="CitaviBibliographySubheading3Zchn">
    <w:name w:val="Citavi Bibliography Subheading 3 Zchn"/>
    <w:basedOn w:val="Absatz-Standardschriftart"/>
    <w:link w:val="CitaviBibliographySubheading3"/>
    <w:rsid w:val="00D4732B"/>
    <w:rPr>
      <w:rFonts w:ascii="Calibri Light" w:eastAsia="Times New Roman" w:hAnsi="Calibri Light" w:cs="Calibri Light"/>
      <w:i/>
      <w:iCs/>
      <w:smallCaps/>
      <w:color w:val="000000"/>
      <w:spacing w:val="10"/>
      <w:kern w:val="24"/>
      <w:sz w:val="14"/>
      <w:szCs w:val="14"/>
      <w:lang w:val="en-US"/>
    </w:rPr>
  </w:style>
  <w:style w:type="paragraph" w:customStyle="1" w:styleId="CitaviBibliographySubheading4">
    <w:name w:val="Citavi Bibliography Subheading 4"/>
    <w:basedOn w:val="berschrift5"/>
    <w:link w:val="CitaviBibliographySubheading4Zchn"/>
    <w:rsid w:val="00D4732B"/>
    <w:pPr>
      <w:spacing w:line="240" w:lineRule="auto"/>
      <w:textAlignment w:val="center"/>
      <w:outlineLvl w:val="9"/>
    </w:pPr>
    <w:rPr>
      <w:rFonts w:ascii="Calibri Light" w:eastAsia="Times New Roman" w:hAnsi="Calibri Light" w:cs="Calibri Light"/>
      <w:color w:val="000000"/>
      <w:kern w:val="24"/>
      <w:sz w:val="14"/>
      <w:szCs w:val="14"/>
      <w:lang w:val="en-US"/>
    </w:rPr>
  </w:style>
  <w:style w:type="character" w:customStyle="1" w:styleId="CitaviBibliographySubheading4Zchn">
    <w:name w:val="Citavi Bibliography Subheading 4 Zchn"/>
    <w:basedOn w:val="Absatz-Standardschriftart"/>
    <w:link w:val="CitaviBibliographySubheading4"/>
    <w:rsid w:val="00D4732B"/>
    <w:rPr>
      <w:rFonts w:ascii="Calibri Light" w:eastAsia="Times New Roman" w:hAnsi="Calibri Light" w:cs="Calibri Light"/>
      <w:smallCaps/>
      <w:color w:val="000000"/>
      <w:spacing w:val="10"/>
      <w:kern w:val="24"/>
      <w:sz w:val="14"/>
      <w:szCs w:val="14"/>
      <w:lang w:val="en-US"/>
    </w:rPr>
  </w:style>
  <w:style w:type="paragraph" w:customStyle="1" w:styleId="CitaviBibliographySubheading5">
    <w:name w:val="Citavi Bibliography Subheading 5"/>
    <w:basedOn w:val="berschrift6"/>
    <w:link w:val="CitaviBibliographySubheading5Zchn"/>
    <w:rsid w:val="00D4732B"/>
    <w:pPr>
      <w:spacing w:line="240" w:lineRule="auto"/>
      <w:jc w:val="center"/>
      <w:textAlignment w:val="center"/>
      <w:outlineLvl w:val="9"/>
    </w:pPr>
    <w:rPr>
      <w:rFonts w:ascii="Calibri Light" w:eastAsia="Times New Roman" w:hAnsi="Calibri Light" w:cs="Calibri Light"/>
      <w:color w:val="000000"/>
      <w:kern w:val="24"/>
      <w:sz w:val="14"/>
      <w:szCs w:val="14"/>
      <w:lang w:val="en-US"/>
    </w:rPr>
  </w:style>
  <w:style w:type="character" w:customStyle="1" w:styleId="CitaviBibliographySubheading5Zchn">
    <w:name w:val="Citavi Bibliography Subheading 5 Zchn"/>
    <w:basedOn w:val="Absatz-Standardschriftart"/>
    <w:link w:val="CitaviBibliographySubheading5"/>
    <w:rsid w:val="00D4732B"/>
    <w:rPr>
      <w:rFonts w:ascii="Calibri Light" w:eastAsia="Times New Roman" w:hAnsi="Calibri Light" w:cs="Calibri Light"/>
      <w:i/>
      <w:iCs/>
      <w:color w:val="000000"/>
      <w:kern w:val="24"/>
      <w:sz w:val="14"/>
      <w:szCs w:val="14"/>
      <w:lang w:val="en-US"/>
    </w:rPr>
  </w:style>
  <w:style w:type="paragraph" w:customStyle="1" w:styleId="CitaviBibliographySubheading6">
    <w:name w:val="Citavi Bibliography Subheading 6"/>
    <w:basedOn w:val="berschrift7"/>
    <w:link w:val="CitaviBibliographySubheading6Zchn"/>
    <w:rsid w:val="00D4732B"/>
    <w:pPr>
      <w:spacing w:line="240" w:lineRule="auto"/>
      <w:jc w:val="center"/>
      <w:textAlignment w:val="center"/>
      <w:outlineLvl w:val="9"/>
    </w:pPr>
    <w:rPr>
      <w:rFonts w:ascii="Calibri Light" w:eastAsia="Times New Roman" w:hAnsi="Calibri Light" w:cs="Calibri Light"/>
      <w:color w:val="000000"/>
      <w:kern w:val="24"/>
      <w:sz w:val="14"/>
      <w:szCs w:val="14"/>
      <w:lang w:val="en-US"/>
    </w:rPr>
  </w:style>
  <w:style w:type="character" w:customStyle="1" w:styleId="CitaviBibliographySubheading6Zchn">
    <w:name w:val="Citavi Bibliography Subheading 6 Zchn"/>
    <w:basedOn w:val="Absatz-Standardschriftart"/>
    <w:link w:val="CitaviBibliographySubheading6"/>
    <w:rsid w:val="00D4732B"/>
    <w:rPr>
      <w:rFonts w:ascii="Calibri Light" w:eastAsia="Times New Roman" w:hAnsi="Calibri Light" w:cs="Calibri Light"/>
      <w:i/>
      <w:iCs/>
      <w:color w:val="000000"/>
      <w:kern w:val="24"/>
      <w:sz w:val="14"/>
      <w:szCs w:val="14"/>
      <w:lang w:val="en-US"/>
    </w:rPr>
  </w:style>
  <w:style w:type="paragraph" w:customStyle="1" w:styleId="CitaviBibliographySubheading7">
    <w:name w:val="Citavi Bibliography Subheading 7"/>
    <w:basedOn w:val="berschrift8"/>
    <w:link w:val="CitaviBibliographySubheading7Zchn"/>
    <w:rsid w:val="00D4732B"/>
    <w:pPr>
      <w:spacing w:line="240" w:lineRule="auto"/>
      <w:jc w:val="center"/>
      <w:textAlignment w:val="center"/>
      <w:outlineLvl w:val="9"/>
    </w:pPr>
    <w:rPr>
      <w:rFonts w:ascii="Calibri Light" w:eastAsia="Times New Roman" w:hAnsi="Calibri Light" w:cs="Calibri Light"/>
      <w:color w:val="000000"/>
      <w:kern w:val="24"/>
      <w:sz w:val="14"/>
      <w:szCs w:val="14"/>
      <w:lang w:val="en-US"/>
    </w:rPr>
  </w:style>
  <w:style w:type="character" w:customStyle="1" w:styleId="CitaviBibliographySubheading7Zchn">
    <w:name w:val="Citavi Bibliography Subheading 7 Zchn"/>
    <w:basedOn w:val="Absatz-Standardschriftart"/>
    <w:link w:val="CitaviBibliographySubheading7"/>
    <w:rsid w:val="00D4732B"/>
    <w:rPr>
      <w:rFonts w:ascii="Calibri Light" w:eastAsia="Times New Roman" w:hAnsi="Calibri Light" w:cs="Calibri Light"/>
      <w:color w:val="000000"/>
      <w:kern w:val="24"/>
      <w:sz w:val="14"/>
      <w:szCs w:val="14"/>
      <w:lang w:val="en-US"/>
    </w:rPr>
  </w:style>
  <w:style w:type="paragraph" w:customStyle="1" w:styleId="CitaviBibliographySubheading8">
    <w:name w:val="Citavi Bibliography Subheading 8"/>
    <w:basedOn w:val="berschrift9"/>
    <w:link w:val="CitaviBibliographySubheading8Zchn"/>
    <w:rsid w:val="00D4732B"/>
    <w:pPr>
      <w:spacing w:line="240" w:lineRule="auto"/>
      <w:jc w:val="center"/>
      <w:textAlignment w:val="center"/>
      <w:outlineLvl w:val="9"/>
    </w:pPr>
    <w:rPr>
      <w:rFonts w:ascii="Calibri Light" w:eastAsia="Times New Roman" w:hAnsi="Calibri Light" w:cs="Calibri Light"/>
      <w:color w:val="000000"/>
      <w:kern w:val="24"/>
      <w:sz w:val="14"/>
      <w:szCs w:val="14"/>
      <w:lang w:val="en-US"/>
    </w:rPr>
  </w:style>
  <w:style w:type="character" w:customStyle="1" w:styleId="CitaviBibliographySubheading8Zchn">
    <w:name w:val="Citavi Bibliography Subheading 8 Zchn"/>
    <w:basedOn w:val="Absatz-Standardschriftart"/>
    <w:link w:val="CitaviBibliographySubheading8"/>
    <w:rsid w:val="00D4732B"/>
    <w:rPr>
      <w:rFonts w:ascii="Calibri Light" w:eastAsia="Times New Roman" w:hAnsi="Calibri Light" w:cs="Calibri Light"/>
      <w:i/>
      <w:iCs/>
      <w:color w:val="000000"/>
      <w:kern w:val="24"/>
      <w:sz w:val="14"/>
      <w:szCs w:val="14"/>
      <w:lang w:val="en-US"/>
    </w:rPr>
  </w:style>
  <w:style w:type="paragraph" w:styleId="Literaturverzeichnis">
    <w:name w:val="Bibliography"/>
    <w:basedOn w:val="Standard"/>
    <w:next w:val="Standard"/>
    <w:uiPriority w:val="37"/>
    <w:semiHidden/>
    <w:unhideWhenUsed/>
    <w:rsid w:val="00D4732B"/>
  </w:style>
  <w:style w:type="table" w:styleId="MittlereListe1-Akzent1">
    <w:name w:val="Medium List 1 Accent 1"/>
    <w:basedOn w:val="NormaleTabelle"/>
    <w:uiPriority w:val="65"/>
    <w:semiHidden/>
    <w:unhideWhenUsed/>
    <w:rsid w:val="00D4732B"/>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ittlereSchattierung2-Akzent1">
    <w:name w:val="Medium Shading 2 Accent 1"/>
    <w:basedOn w:val="NormaleTabelle"/>
    <w:uiPriority w:val="64"/>
    <w:semiHidden/>
    <w:unhideWhenUsed/>
    <w:rsid w:val="00D4732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1-Akzent1">
    <w:name w:val="Medium Shading 1 Accent 1"/>
    <w:basedOn w:val="NormaleTabelle"/>
    <w:uiPriority w:val="63"/>
    <w:semiHidden/>
    <w:unhideWhenUsed/>
    <w:rsid w:val="00D4732B"/>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D4732B"/>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HelleListe-Akzent1">
    <w:name w:val="Light List Accent 1"/>
    <w:basedOn w:val="NormaleTabelle"/>
    <w:uiPriority w:val="61"/>
    <w:semiHidden/>
    <w:unhideWhenUsed/>
    <w:rsid w:val="00D4732B"/>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HelleSchattierung-Akzent1">
    <w:name w:val="Light Shading Accent 1"/>
    <w:basedOn w:val="NormaleTabelle"/>
    <w:uiPriority w:val="60"/>
    <w:semiHidden/>
    <w:unhideWhenUsed/>
    <w:rsid w:val="00D4732B"/>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FarbigesRaster">
    <w:name w:val="Colorful Grid"/>
    <w:basedOn w:val="NormaleTabelle"/>
    <w:uiPriority w:val="73"/>
    <w:semiHidden/>
    <w:unhideWhenUsed/>
    <w:rsid w:val="00D4732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D4732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D4732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D4732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D4732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D4732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D4732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D4732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D4732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D4732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1">
    <w:name w:val="Medium Shading 1"/>
    <w:basedOn w:val="NormaleTabelle"/>
    <w:uiPriority w:val="63"/>
    <w:semiHidden/>
    <w:unhideWhenUsed/>
    <w:rsid w:val="00D4732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D4732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D4732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D4732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Variable">
    <w:name w:val="HTML Variable"/>
    <w:basedOn w:val="Absatz-Standardschriftart"/>
    <w:uiPriority w:val="99"/>
    <w:semiHidden/>
    <w:unhideWhenUsed/>
    <w:rsid w:val="00D4732B"/>
    <w:rPr>
      <w:i/>
      <w:iCs/>
    </w:rPr>
  </w:style>
  <w:style w:type="character" w:styleId="HTMLSchreibmaschine">
    <w:name w:val="HTML Typewriter"/>
    <w:basedOn w:val="Absatz-Standardschriftart"/>
    <w:uiPriority w:val="99"/>
    <w:semiHidden/>
    <w:unhideWhenUsed/>
    <w:rsid w:val="00D4732B"/>
    <w:rPr>
      <w:rFonts w:ascii="Consolas" w:hAnsi="Consolas"/>
      <w:sz w:val="20"/>
      <w:szCs w:val="20"/>
    </w:rPr>
  </w:style>
  <w:style w:type="character" w:styleId="HTMLBeispiel">
    <w:name w:val="HTML Sample"/>
    <w:basedOn w:val="Absatz-Standardschriftart"/>
    <w:uiPriority w:val="99"/>
    <w:semiHidden/>
    <w:unhideWhenUsed/>
    <w:rsid w:val="00D4732B"/>
    <w:rPr>
      <w:rFonts w:ascii="Consolas" w:hAnsi="Consolas"/>
      <w:sz w:val="24"/>
      <w:szCs w:val="24"/>
    </w:rPr>
  </w:style>
  <w:style w:type="paragraph" w:styleId="HTMLVorformatiert">
    <w:name w:val="HTML Preformatted"/>
    <w:basedOn w:val="Standard"/>
    <w:link w:val="HTMLVorformatiertZchn"/>
    <w:uiPriority w:val="99"/>
    <w:semiHidden/>
    <w:unhideWhenUsed/>
    <w:rsid w:val="00D4732B"/>
    <w:pPr>
      <w:spacing w:after="0" w:line="240" w:lineRule="auto"/>
    </w:pPr>
    <w:rPr>
      <w:rFonts w:ascii="Consolas" w:hAnsi="Consolas"/>
    </w:rPr>
  </w:style>
  <w:style w:type="character" w:customStyle="1" w:styleId="HTMLVorformatiertZchn">
    <w:name w:val="HTML Vorformatiert Zchn"/>
    <w:basedOn w:val="Absatz-Standardschriftart"/>
    <w:link w:val="HTMLVorformatiert"/>
    <w:uiPriority w:val="99"/>
    <w:semiHidden/>
    <w:rsid w:val="00D4732B"/>
    <w:rPr>
      <w:rFonts w:ascii="Consolas" w:hAnsi="Consolas"/>
      <w:sz w:val="20"/>
      <w:szCs w:val="20"/>
    </w:rPr>
  </w:style>
  <w:style w:type="character" w:styleId="HTMLTastatur">
    <w:name w:val="HTML Keyboard"/>
    <w:basedOn w:val="Absatz-Standardschriftart"/>
    <w:uiPriority w:val="99"/>
    <w:semiHidden/>
    <w:unhideWhenUsed/>
    <w:rsid w:val="00D4732B"/>
    <w:rPr>
      <w:rFonts w:ascii="Consolas" w:hAnsi="Consolas"/>
      <w:sz w:val="20"/>
      <w:szCs w:val="20"/>
    </w:rPr>
  </w:style>
  <w:style w:type="character" w:styleId="HTMLDefinition">
    <w:name w:val="HTML Definition"/>
    <w:basedOn w:val="Absatz-Standardschriftart"/>
    <w:uiPriority w:val="99"/>
    <w:semiHidden/>
    <w:unhideWhenUsed/>
    <w:rsid w:val="00D4732B"/>
    <w:rPr>
      <w:i/>
      <w:iCs/>
    </w:rPr>
  </w:style>
  <w:style w:type="character" w:styleId="HTMLCode">
    <w:name w:val="HTML Code"/>
    <w:basedOn w:val="Absatz-Standardschriftart"/>
    <w:uiPriority w:val="99"/>
    <w:semiHidden/>
    <w:unhideWhenUsed/>
    <w:rsid w:val="00D4732B"/>
    <w:rPr>
      <w:rFonts w:ascii="Consolas" w:hAnsi="Consolas"/>
      <w:sz w:val="20"/>
      <w:szCs w:val="20"/>
    </w:rPr>
  </w:style>
  <w:style w:type="character" w:styleId="HTMLZitat">
    <w:name w:val="HTML Cite"/>
    <w:basedOn w:val="Absatz-Standardschriftart"/>
    <w:uiPriority w:val="99"/>
    <w:semiHidden/>
    <w:unhideWhenUsed/>
    <w:rsid w:val="00D4732B"/>
    <w:rPr>
      <w:i/>
      <w:iCs/>
    </w:rPr>
  </w:style>
  <w:style w:type="paragraph" w:styleId="HTMLAdresse">
    <w:name w:val="HTML Address"/>
    <w:basedOn w:val="Standard"/>
    <w:link w:val="HTMLAdresseZchn"/>
    <w:uiPriority w:val="99"/>
    <w:semiHidden/>
    <w:unhideWhenUsed/>
    <w:rsid w:val="00D4732B"/>
    <w:pPr>
      <w:spacing w:after="0" w:line="240" w:lineRule="auto"/>
    </w:pPr>
    <w:rPr>
      <w:i/>
      <w:iCs/>
    </w:rPr>
  </w:style>
  <w:style w:type="character" w:customStyle="1" w:styleId="HTMLAdresseZchn">
    <w:name w:val="HTML Adresse Zchn"/>
    <w:basedOn w:val="Absatz-Standardschriftart"/>
    <w:link w:val="HTMLAdresse"/>
    <w:uiPriority w:val="99"/>
    <w:semiHidden/>
    <w:rsid w:val="00D4732B"/>
    <w:rPr>
      <w:i/>
      <w:iCs/>
    </w:rPr>
  </w:style>
  <w:style w:type="character" w:styleId="HTMLAkronym">
    <w:name w:val="HTML Acronym"/>
    <w:basedOn w:val="Absatz-Standardschriftart"/>
    <w:uiPriority w:val="99"/>
    <w:semiHidden/>
    <w:unhideWhenUsed/>
    <w:rsid w:val="00D4732B"/>
  </w:style>
  <w:style w:type="paragraph" w:styleId="NurText">
    <w:name w:val="Plain Text"/>
    <w:basedOn w:val="Standard"/>
    <w:link w:val="NurTextZchn"/>
    <w:uiPriority w:val="99"/>
    <w:semiHidden/>
    <w:unhideWhenUsed/>
    <w:rsid w:val="00D4732B"/>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D4732B"/>
    <w:rPr>
      <w:rFonts w:ascii="Consolas" w:hAnsi="Consolas"/>
      <w:sz w:val="21"/>
      <w:szCs w:val="21"/>
    </w:rPr>
  </w:style>
  <w:style w:type="paragraph" w:styleId="Dokumentstruktur">
    <w:name w:val="Document Map"/>
    <w:basedOn w:val="Standard"/>
    <w:link w:val="DokumentstrukturZchn"/>
    <w:uiPriority w:val="99"/>
    <w:semiHidden/>
    <w:unhideWhenUsed/>
    <w:rsid w:val="00D4732B"/>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D4732B"/>
    <w:rPr>
      <w:rFonts w:ascii="Segoe UI" w:hAnsi="Segoe UI" w:cs="Segoe UI"/>
      <w:sz w:val="16"/>
      <w:szCs w:val="16"/>
    </w:rPr>
  </w:style>
  <w:style w:type="character" w:styleId="BesuchterLink">
    <w:name w:val="FollowedHyperlink"/>
    <w:basedOn w:val="Absatz-Standardschriftart"/>
    <w:uiPriority w:val="99"/>
    <w:semiHidden/>
    <w:unhideWhenUsed/>
    <w:rsid w:val="00D4732B"/>
    <w:rPr>
      <w:color w:val="954F72" w:themeColor="followedHyperlink"/>
      <w:u w:val="single"/>
    </w:rPr>
  </w:style>
  <w:style w:type="character" w:styleId="Hyperlink">
    <w:name w:val="Hyperlink"/>
    <w:basedOn w:val="Absatz-Standardschriftart"/>
    <w:uiPriority w:val="99"/>
    <w:unhideWhenUsed/>
    <w:rsid w:val="00D4732B"/>
    <w:rPr>
      <w:color w:val="0563C1" w:themeColor="hyperlink"/>
      <w:u w:val="single"/>
    </w:rPr>
  </w:style>
  <w:style w:type="paragraph" w:styleId="Blocktext">
    <w:name w:val="Block Text"/>
    <w:basedOn w:val="Standard"/>
    <w:uiPriority w:val="99"/>
    <w:semiHidden/>
    <w:unhideWhenUsed/>
    <w:rsid w:val="00D4732B"/>
    <w:pPr>
      <w:pBdr>
        <w:top w:val="single" w:sz="2" w:space="10" w:color="5B9BD5" w:themeColor="accent1" w:frame="1"/>
        <w:left w:val="single" w:sz="2" w:space="10" w:color="5B9BD5" w:themeColor="accent1" w:frame="1"/>
        <w:bottom w:val="single" w:sz="2" w:space="10" w:color="5B9BD5" w:themeColor="accent1" w:frame="1"/>
        <w:right w:val="single" w:sz="2" w:space="10" w:color="5B9BD5" w:themeColor="accent1" w:frame="1"/>
      </w:pBdr>
      <w:ind w:left="1152" w:right="1152"/>
    </w:pPr>
    <w:rPr>
      <w:i/>
      <w:iCs/>
      <w:color w:val="5B9BD5" w:themeColor="accent1"/>
    </w:rPr>
  </w:style>
  <w:style w:type="paragraph" w:styleId="Textkrper-Einzug3">
    <w:name w:val="Body Text Indent 3"/>
    <w:basedOn w:val="Standard"/>
    <w:link w:val="Textkrper-Einzug3Zchn"/>
    <w:uiPriority w:val="99"/>
    <w:semiHidden/>
    <w:unhideWhenUsed/>
    <w:rsid w:val="00D4732B"/>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D4732B"/>
    <w:rPr>
      <w:sz w:val="16"/>
      <w:szCs w:val="16"/>
    </w:rPr>
  </w:style>
  <w:style w:type="paragraph" w:styleId="Textkrper-Einzug2">
    <w:name w:val="Body Text Indent 2"/>
    <w:basedOn w:val="Standard"/>
    <w:link w:val="Textkrper-Einzug2Zchn"/>
    <w:uiPriority w:val="99"/>
    <w:semiHidden/>
    <w:unhideWhenUsed/>
    <w:rsid w:val="00D4732B"/>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D4732B"/>
  </w:style>
  <w:style w:type="paragraph" w:styleId="Textkrper3">
    <w:name w:val="Body Text 3"/>
    <w:basedOn w:val="Standard"/>
    <w:link w:val="Textkrper3Zchn"/>
    <w:uiPriority w:val="99"/>
    <w:semiHidden/>
    <w:unhideWhenUsed/>
    <w:rsid w:val="00D4732B"/>
    <w:pPr>
      <w:spacing w:after="120"/>
    </w:pPr>
    <w:rPr>
      <w:sz w:val="16"/>
      <w:szCs w:val="16"/>
    </w:rPr>
  </w:style>
  <w:style w:type="character" w:customStyle="1" w:styleId="Textkrper3Zchn">
    <w:name w:val="Textkörper 3 Zchn"/>
    <w:basedOn w:val="Absatz-Standardschriftart"/>
    <w:link w:val="Textkrper3"/>
    <w:uiPriority w:val="99"/>
    <w:semiHidden/>
    <w:rsid w:val="00D4732B"/>
    <w:rPr>
      <w:sz w:val="16"/>
      <w:szCs w:val="16"/>
    </w:rPr>
  </w:style>
  <w:style w:type="paragraph" w:styleId="Textkrper2">
    <w:name w:val="Body Text 2"/>
    <w:basedOn w:val="Standard"/>
    <w:link w:val="Textkrper2Zchn"/>
    <w:uiPriority w:val="99"/>
    <w:semiHidden/>
    <w:unhideWhenUsed/>
    <w:rsid w:val="00D4732B"/>
    <w:pPr>
      <w:spacing w:after="120" w:line="480" w:lineRule="auto"/>
    </w:pPr>
  </w:style>
  <w:style w:type="character" w:customStyle="1" w:styleId="Textkrper2Zchn">
    <w:name w:val="Textkörper 2 Zchn"/>
    <w:basedOn w:val="Absatz-Standardschriftart"/>
    <w:link w:val="Textkrper2"/>
    <w:uiPriority w:val="99"/>
    <w:semiHidden/>
    <w:rsid w:val="00D4732B"/>
  </w:style>
  <w:style w:type="paragraph" w:styleId="Fu-Endnotenberschrift">
    <w:name w:val="Note Heading"/>
    <w:basedOn w:val="Standard"/>
    <w:next w:val="Standard"/>
    <w:link w:val="Fu-EndnotenberschriftZchn"/>
    <w:uiPriority w:val="99"/>
    <w:semiHidden/>
    <w:unhideWhenUsed/>
    <w:rsid w:val="00D4732B"/>
    <w:pPr>
      <w:spacing w:after="0" w:line="240" w:lineRule="auto"/>
    </w:pPr>
  </w:style>
  <w:style w:type="character" w:customStyle="1" w:styleId="Fu-EndnotenberschriftZchn">
    <w:name w:val="Fuß/-Endnotenüberschrift Zchn"/>
    <w:basedOn w:val="Absatz-Standardschriftart"/>
    <w:link w:val="Fu-Endnotenberschrift"/>
    <w:uiPriority w:val="99"/>
    <w:semiHidden/>
    <w:rsid w:val="00D4732B"/>
  </w:style>
  <w:style w:type="paragraph" w:styleId="Textkrper-Zeileneinzug">
    <w:name w:val="Body Text Indent"/>
    <w:basedOn w:val="Standard"/>
    <w:link w:val="Textkrper-ZeileneinzugZchn"/>
    <w:uiPriority w:val="99"/>
    <w:semiHidden/>
    <w:unhideWhenUsed/>
    <w:rsid w:val="00D4732B"/>
    <w:pPr>
      <w:spacing w:after="120"/>
      <w:ind w:left="283"/>
    </w:pPr>
  </w:style>
  <w:style w:type="character" w:customStyle="1" w:styleId="Textkrper-ZeileneinzugZchn">
    <w:name w:val="Textkörper-Zeileneinzug Zchn"/>
    <w:basedOn w:val="Absatz-Standardschriftart"/>
    <w:link w:val="Textkrper-Zeileneinzug"/>
    <w:uiPriority w:val="99"/>
    <w:semiHidden/>
    <w:rsid w:val="00D4732B"/>
  </w:style>
  <w:style w:type="paragraph" w:styleId="Textkrper-Erstzeileneinzug2">
    <w:name w:val="Body Text First Indent 2"/>
    <w:basedOn w:val="Textkrper-Zeileneinzug"/>
    <w:link w:val="Textkrper-Erstzeileneinzug2Zchn"/>
    <w:uiPriority w:val="99"/>
    <w:semiHidden/>
    <w:unhideWhenUsed/>
    <w:rsid w:val="00D4732B"/>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D4732B"/>
  </w:style>
  <w:style w:type="paragraph" w:styleId="Textkrper">
    <w:name w:val="Body Text"/>
    <w:basedOn w:val="Standard"/>
    <w:link w:val="TextkrperZchn"/>
    <w:uiPriority w:val="99"/>
    <w:semiHidden/>
    <w:unhideWhenUsed/>
    <w:rsid w:val="00D4732B"/>
    <w:pPr>
      <w:spacing w:after="120"/>
    </w:pPr>
  </w:style>
  <w:style w:type="character" w:customStyle="1" w:styleId="TextkrperZchn">
    <w:name w:val="Textkörper Zchn"/>
    <w:basedOn w:val="Absatz-Standardschriftart"/>
    <w:link w:val="Textkrper"/>
    <w:uiPriority w:val="99"/>
    <w:semiHidden/>
    <w:rsid w:val="00D4732B"/>
  </w:style>
  <w:style w:type="paragraph" w:styleId="Textkrper-Erstzeileneinzug">
    <w:name w:val="Body Text First Indent"/>
    <w:basedOn w:val="Textkrper"/>
    <w:link w:val="Textkrper-ErstzeileneinzugZchn"/>
    <w:uiPriority w:val="99"/>
    <w:semiHidden/>
    <w:unhideWhenUsed/>
    <w:rsid w:val="00D4732B"/>
    <w:pPr>
      <w:spacing w:after="160"/>
      <w:ind w:firstLine="360"/>
    </w:pPr>
  </w:style>
  <w:style w:type="character" w:customStyle="1" w:styleId="Textkrper-ErstzeileneinzugZchn">
    <w:name w:val="Textkörper-Erstzeileneinzug Zchn"/>
    <w:basedOn w:val="TextkrperZchn"/>
    <w:link w:val="Textkrper-Erstzeileneinzug"/>
    <w:uiPriority w:val="99"/>
    <w:semiHidden/>
    <w:rsid w:val="00D4732B"/>
  </w:style>
  <w:style w:type="paragraph" w:styleId="Datum">
    <w:name w:val="Date"/>
    <w:basedOn w:val="Standard"/>
    <w:next w:val="Standard"/>
    <w:link w:val="DatumZchn"/>
    <w:uiPriority w:val="99"/>
    <w:semiHidden/>
    <w:unhideWhenUsed/>
    <w:rsid w:val="00D4732B"/>
  </w:style>
  <w:style w:type="character" w:customStyle="1" w:styleId="DatumZchn">
    <w:name w:val="Datum Zchn"/>
    <w:basedOn w:val="Absatz-Standardschriftart"/>
    <w:link w:val="Datum"/>
    <w:uiPriority w:val="99"/>
    <w:semiHidden/>
    <w:rsid w:val="00D4732B"/>
  </w:style>
  <w:style w:type="paragraph" w:styleId="Anrede">
    <w:name w:val="Salutation"/>
    <w:basedOn w:val="Standard"/>
    <w:next w:val="Standard"/>
    <w:link w:val="AnredeZchn"/>
    <w:uiPriority w:val="99"/>
    <w:semiHidden/>
    <w:unhideWhenUsed/>
    <w:rsid w:val="00D4732B"/>
  </w:style>
  <w:style w:type="character" w:customStyle="1" w:styleId="AnredeZchn">
    <w:name w:val="Anrede Zchn"/>
    <w:basedOn w:val="Absatz-Standardschriftart"/>
    <w:link w:val="Anrede"/>
    <w:uiPriority w:val="99"/>
    <w:semiHidden/>
    <w:rsid w:val="00D4732B"/>
  </w:style>
  <w:style w:type="paragraph" w:styleId="Nachrichtenkopf">
    <w:name w:val="Message Header"/>
    <w:basedOn w:val="Standard"/>
    <w:link w:val="NachrichtenkopfZchn"/>
    <w:uiPriority w:val="99"/>
    <w:semiHidden/>
    <w:unhideWhenUsed/>
    <w:rsid w:val="00D473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D4732B"/>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rsid w:val="00D4732B"/>
    <w:pPr>
      <w:spacing w:after="120"/>
      <w:ind w:left="1415"/>
      <w:contextualSpacing/>
    </w:pPr>
  </w:style>
  <w:style w:type="paragraph" w:styleId="Listenfortsetzung4">
    <w:name w:val="List Continue 4"/>
    <w:basedOn w:val="Standard"/>
    <w:uiPriority w:val="99"/>
    <w:semiHidden/>
    <w:unhideWhenUsed/>
    <w:rsid w:val="00D4732B"/>
    <w:pPr>
      <w:spacing w:after="120"/>
      <w:ind w:left="1132"/>
      <w:contextualSpacing/>
    </w:pPr>
  </w:style>
  <w:style w:type="paragraph" w:styleId="Listenfortsetzung3">
    <w:name w:val="List Continue 3"/>
    <w:basedOn w:val="Standard"/>
    <w:uiPriority w:val="99"/>
    <w:semiHidden/>
    <w:unhideWhenUsed/>
    <w:rsid w:val="00D4732B"/>
    <w:pPr>
      <w:spacing w:after="120"/>
      <w:ind w:left="849"/>
      <w:contextualSpacing/>
    </w:pPr>
  </w:style>
  <w:style w:type="paragraph" w:styleId="Listenfortsetzung2">
    <w:name w:val="List Continue 2"/>
    <w:basedOn w:val="Standard"/>
    <w:uiPriority w:val="99"/>
    <w:semiHidden/>
    <w:unhideWhenUsed/>
    <w:rsid w:val="00D4732B"/>
    <w:pPr>
      <w:spacing w:after="120"/>
      <w:ind w:left="566"/>
      <w:contextualSpacing/>
    </w:pPr>
  </w:style>
  <w:style w:type="paragraph" w:styleId="Listenfortsetzung">
    <w:name w:val="List Continue"/>
    <w:basedOn w:val="Standard"/>
    <w:uiPriority w:val="99"/>
    <w:semiHidden/>
    <w:unhideWhenUsed/>
    <w:rsid w:val="00D4732B"/>
    <w:pPr>
      <w:spacing w:after="120"/>
      <w:ind w:left="283"/>
      <w:contextualSpacing/>
    </w:pPr>
  </w:style>
  <w:style w:type="paragraph" w:styleId="Unterschrift">
    <w:name w:val="Signature"/>
    <w:basedOn w:val="Standard"/>
    <w:link w:val="UnterschriftZchn"/>
    <w:uiPriority w:val="99"/>
    <w:semiHidden/>
    <w:unhideWhenUsed/>
    <w:rsid w:val="00D4732B"/>
    <w:pPr>
      <w:spacing w:after="0" w:line="240" w:lineRule="auto"/>
      <w:ind w:left="4252"/>
    </w:pPr>
  </w:style>
  <w:style w:type="character" w:customStyle="1" w:styleId="UnterschriftZchn">
    <w:name w:val="Unterschrift Zchn"/>
    <w:basedOn w:val="Absatz-Standardschriftart"/>
    <w:link w:val="Unterschrift"/>
    <w:uiPriority w:val="99"/>
    <w:semiHidden/>
    <w:rsid w:val="00D4732B"/>
  </w:style>
  <w:style w:type="paragraph" w:styleId="Gruformel">
    <w:name w:val="Closing"/>
    <w:basedOn w:val="Standard"/>
    <w:link w:val="GruformelZchn"/>
    <w:uiPriority w:val="99"/>
    <w:semiHidden/>
    <w:unhideWhenUsed/>
    <w:rsid w:val="00D4732B"/>
    <w:pPr>
      <w:spacing w:after="0" w:line="240" w:lineRule="auto"/>
      <w:ind w:left="4252"/>
    </w:pPr>
  </w:style>
  <w:style w:type="character" w:customStyle="1" w:styleId="GruformelZchn">
    <w:name w:val="Grußformel Zchn"/>
    <w:basedOn w:val="Absatz-Standardschriftart"/>
    <w:link w:val="Gruformel"/>
    <w:uiPriority w:val="99"/>
    <w:semiHidden/>
    <w:rsid w:val="00D4732B"/>
  </w:style>
  <w:style w:type="paragraph" w:styleId="Listennummer5">
    <w:name w:val="List Number 5"/>
    <w:basedOn w:val="Standard"/>
    <w:uiPriority w:val="99"/>
    <w:semiHidden/>
    <w:unhideWhenUsed/>
    <w:rsid w:val="00D4732B"/>
    <w:pPr>
      <w:numPr>
        <w:numId w:val="12"/>
      </w:numPr>
      <w:contextualSpacing/>
    </w:pPr>
  </w:style>
  <w:style w:type="paragraph" w:styleId="Listennummer4">
    <w:name w:val="List Number 4"/>
    <w:basedOn w:val="Standard"/>
    <w:uiPriority w:val="99"/>
    <w:semiHidden/>
    <w:unhideWhenUsed/>
    <w:rsid w:val="00D4732B"/>
    <w:pPr>
      <w:numPr>
        <w:numId w:val="13"/>
      </w:numPr>
      <w:contextualSpacing/>
    </w:pPr>
  </w:style>
  <w:style w:type="paragraph" w:styleId="Listennummer3">
    <w:name w:val="List Number 3"/>
    <w:basedOn w:val="Standard"/>
    <w:uiPriority w:val="99"/>
    <w:semiHidden/>
    <w:unhideWhenUsed/>
    <w:rsid w:val="00D4732B"/>
    <w:pPr>
      <w:numPr>
        <w:numId w:val="14"/>
      </w:numPr>
      <w:contextualSpacing/>
    </w:pPr>
  </w:style>
  <w:style w:type="paragraph" w:styleId="Listennummer2">
    <w:name w:val="List Number 2"/>
    <w:basedOn w:val="Standard"/>
    <w:uiPriority w:val="99"/>
    <w:semiHidden/>
    <w:unhideWhenUsed/>
    <w:rsid w:val="00D4732B"/>
    <w:pPr>
      <w:numPr>
        <w:numId w:val="15"/>
      </w:numPr>
      <w:contextualSpacing/>
    </w:pPr>
  </w:style>
  <w:style w:type="paragraph" w:styleId="Aufzhlungszeichen5">
    <w:name w:val="List Bullet 5"/>
    <w:basedOn w:val="Standard"/>
    <w:uiPriority w:val="99"/>
    <w:semiHidden/>
    <w:unhideWhenUsed/>
    <w:rsid w:val="00D4732B"/>
    <w:pPr>
      <w:numPr>
        <w:numId w:val="16"/>
      </w:numPr>
      <w:contextualSpacing/>
    </w:pPr>
  </w:style>
  <w:style w:type="paragraph" w:styleId="Aufzhlungszeichen4">
    <w:name w:val="List Bullet 4"/>
    <w:basedOn w:val="Standard"/>
    <w:uiPriority w:val="99"/>
    <w:semiHidden/>
    <w:unhideWhenUsed/>
    <w:rsid w:val="00D4732B"/>
    <w:pPr>
      <w:numPr>
        <w:numId w:val="17"/>
      </w:numPr>
      <w:contextualSpacing/>
    </w:pPr>
  </w:style>
  <w:style w:type="paragraph" w:styleId="Aufzhlungszeichen3">
    <w:name w:val="List Bullet 3"/>
    <w:basedOn w:val="Standard"/>
    <w:uiPriority w:val="99"/>
    <w:semiHidden/>
    <w:unhideWhenUsed/>
    <w:rsid w:val="00D4732B"/>
    <w:pPr>
      <w:numPr>
        <w:numId w:val="18"/>
      </w:numPr>
      <w:contextualSpacing/>
    </w:pPr>
  </w:style>
  <w:style w:type="paragraph" w:styleId="Aufzhlungszeichen2">
    <w:name w:val="List Bullet 2"/>
    <w:basedOn w:val="Standard"/>
    <w:uiPriority w:val="99"/>
    <w:semiHidden/>
    <w:unhideWhenUsed/>
    <w:rsid w:val="00D4732B"/>
    <w:pPr>
      <w:numPr>
        <w:numId w:val="19"/>
      </w:numPr>
      <w:contextualSpacing/>
    </w:pPr>
  </w:style>
  <w:style w:type="paragraph" w:styleId="Liste5">
    <w:name w:val="List 5"/>
    <w:basedOn w:val="Standard"/>
    <w:uiPriority w:val="99"/>
    <w:semiHidden/>
    <w:unhideWhenUsed/>
    <w:rsid w:val="00D4732B"/>
    <w:pPr>
      <w:ind w:left="1415" w:hanging="283"/>
      <w:contextualSpacing/>
    </w:pPr>
  </w:style>
  <w:style w:type="paragraph" w:styleId="Liste4">
    <w:name w:val="List 4"/>
    <w:basedOn w:val="Standard"/>
    <w:uiPriority w:val="99"/>
    <w:semiHidden/>
    <w:unhideWhenUsed/>
    <w:rsid w:val="00D4732B"/>
    <w:pPr>
      <w:ind w:left="1132" w:hanging="283"/>
      <w:contextualSpacing/>
    </w:pPr>
  </w:style>
  <w:style w:type="paragraph" w:styleId="Liste3">
    <w:name w:val="List 3"/>
    <w:basedOn w:val="Standard"/>
    <w:uiPriority w:val="99"/>
    <w:semiHidden/>
    <w:unhideWhenUsed/>
    <w:rsid w:val="00D4732B"/>
    <w:pPr>
      <w:ind w:left="849" w:hanging="283"/>
      <w:contextualSpacing/>
    </w:pPr>
  </w:style>
  <w:style w:type="paragraph" w:styleId="Liste2">
    <w:name w:val="List 2"/>
    <w:basedOn w:val="Standard"/>
    <w:uiPriority w:val="99"/>
    <w:semiHidden/>
    <w:unhideWhenUsed/>
    <w:rsid w:val="00D4732B"/>
    <w:pPr>
      <w:ind w:left="566" w:hanging="283"/>
      <w:contextualSpacing/>
    </w:pPr>
  </w:style>
  <w:style w:type="paragraph" w:styleId="Listennummer">
    <w:name w:val="List Number"/>
    <w:basedOn w:val="Standard"/>
    <w:uiPriority w:val="99"/>
    <w:semiHidden/>
    <w:unhideWhenUsed/>
    <w:rsid w:val="00D4732B"/>
    <w:pPr>
      <w:numPr>
        <w:numId w:val="20"/>
      </w:numPr>
      <w:contextualSpacing/>
    </w:pPr>
  </w:style>
  <w:style w:type="paragraph" w:styleId="Aufzhlungszeichen">
    <w:name w:val="List Bullet"/>
    <w:basedOn w:val="Standard"/>
    <w:uiPriority w:val="99"/>
    <w:semiHidden/>
    <w:unhideWhenUsed/>
    <w:rsid w:val="00D4732B"/>
    <w:pPr>
      <w:numPr>
        <w:numId w:val="21"/>
      </w:numPr>
      <w:contextualSpacing/>
    </w:pPr>
  </w:style>
  <w:style w:type="paragraph" w:styleId="Liste">
    <w:name w:val="List"/>
    <w:basedOn w:val="Standard"/>
    <w:uiPriority w:val="99"/>
    <w:semiHidden/>
    <w:unhideWhenUsed/>
    <w:rsid w:val="00D4732B"/>
    <w:pPr>
      <w:ind w:left="283" w:hanging="283"/>
      <w:contextualSpacing/>
    </w:pPr>
  </w:style>
  <w:style w:type="paragraph" w:styleId="RGV-berschrift">
    <w:name w:val="toa heading"/>
    <w:basedOn w:val="Standard"/>
    <w:next w:val="Standard"/>
    <w:uiPriority w:val="99"/>
    <w:semiHidden/>
    <w:unhideWhenUsed/>
    <w:rsid w:val="00D4732B"/>
    <w:pPr>
      <w:spacing w:before="120"/>
    </w:pPr>
    <w:rPr>
      <w:rFonts w:asciiTheme="majorHAnsi" w:eastAsiaTheme="majorEastAsia" w:hAnsiTheme="majorHAnsi" w:cstheme="majorBidi"/>
      <w:b/>
      <w:bCs/>
      <w:sz w:val="24"/>
      <w:szCs w:val="24"/>
    </w:rPr>
  </w:style>
  <w:style w:type="paragraph" w:styleId="Makrotext">
    <w:name w:val="macro"/>
    <w:link w:val="MakrotextZchn"/>
    <w:uiPriority w:val="99"/>
    <w:semiHidden/>
    <w:unhideWhenUsed/>
    <w:rsid w:val="00D4732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krotextZchn">
    <w:name w:val="Makrotext Zchn"/>
    <w:basedOn w:val="Absatz-Standardschriftart"/>
    <w:link w:val="Makrotext"/>
    <w:uiPriority w:val="99"/>
    <w:semiHidden/>
    <w:rsid w:val="00D4732B"/>
    <w:rPr>
      <w:rFonts w:ascii="Consolas" w:hAnsi="Consolas"/>
      <w:sz w:val="20"/>
      <w:szCs w:val="20"/>
    </w:rPr>
  </w:style>
  <w:style w:type="paragraph" w:styleId="Rechtsgrundlagenverzeichnis">
    <w:name w:val="table of authorities"/>
    <w:basedOn w:val="Standard"/>
    <w:next w:val="Standard"/>
    <w:uiPriority w:val="99"/>
    <w:semiHidden/>
    <w:unhideWhenUsed/>
    <w:rsid w:val="00D4732B"/>
    <w:pPr>
      <w:spacing w:after="0"/>
      <w:ind w:left="220" w:hanging="220"/>
    </w:pPr>
  </w:style>
  <w:style w:type="paragraph" w:styleId="Endnotentext">
    <w:name w:val="endnote text"/>
    <w:basedOn w:val="Standard"/>
    <w:link w:val="EndnotentextZchn"/>
    <w:uiPriority w:val="99"/>
    <w:semiHidden/>
    <w:unhideWhenUsed/>
    <w:rsid w:val="00D4732B"/>
    <w:pPr>
      <w:spacing w:after="0" w:line="240" w:lineRule="auto"/>
    </w:pPr>
  </w:style>
  <w:style w:type="character" w:customStyle="1" w:styleId="EndnotentextZchn">
    <w:name w:val="Endnotentext Zchn"/>
    <w:basedOn w:val="Absatz-Standardschriftart"/>
    <w:link w:val="Endnotentext"/>
    <w:uiPriority w:val="99"/>
    <w:semiHidden/>
    <w:rsid w:val="00D4732B"/>
    <w:rPr>
      <w:sz w:val="20"/>
      <w:szCs w:val="20"/>
    </w:rPr>
  </w:style>
  <w:style w:type="character" w:styleId="Endnotenzeichen">
    <w:name w:val="endnote reference"/>
    <w:basedOn w:val="Absatz-Standardschriftart"/>
    <w:uiPriority w:val="99"/>
    <w:semiHidden/>
    <w:unhideWhenUsed/>
    <w:rsid w:val="00D4732B"/>
    <w:rPr>
      <w:vertAlign w:val="superscript"/>
    </w:rPr>
  </w:style>
  <w:style w:type="character" w:styleId="Seitenzahl">
    <w:name w:val="page number"/>
    <w:basedOn w:val="Absatz-Standardschriftart"/>
    <w:uiPriority w:val="99"/>
    <w:semiHidden/>
    <w:unhideWhenUsed/>
    <w:rsid w:val="00D4732B"/>
  </w:style>
  <w:style w:type="character" w:styleId="Zeilennummer">
    <w:name w:val="line number"/>
    <w:basedOn w:val="Absatz-Standardschriftart"/>
    <w:uiPriority w:val="99"/>
    <w:semiHidden/>
    <w:unhideWhenUsed/>
    <w:rsid w:val="00D4732B"/>
  </w:style>
  <w:style w:type="character" w:styleId="Kommentarzeichen">
    <w:name w:val="annotation reference"/>
    <w:basedOn w:val="Absatz-Standardschriftart"/>
    <w:uiPriority w:val="99"/>
    <w:semiHidden/>
    <w:unhideWhenUsed/>
    <w:rsid w:val="00D4732B"/>
    <w:rPr>
      <w:sz w:val="16"/>
      <w:szCs w:val="16"/>
    </w:rPr>
  </w:style>
  <w:style w:type="character" w:styleId="Funotenzeichen">
    <w:name w:val="footnote reference"/>
    <w:basedOn w:val="Absatz-Standardschriftart"/>
    <w:uiPriority w:val="99"/>
    <w:semiHidden/>
    <w:unhideWhenUsed/>
    <w:rsid w:val="00D4732B"/>
    <w:rPr>
      <w:vertAlign w:val="superscript"/>
    </w:rPr>
  </w:style>
  <w:style w:type="paragraph" w:styleId="Umschlagabsenderadresse">
    <w:name w:val="envelope return"/>
    <w:basedOn w:val="Standard"/>
    <w:uiPriority w:val="99"/>
    <w:semiHidden/>
    <w:unhideWhenUsed/>
    <w:rsid w:val="00D4732B"/>
    <w:pPr>
      <w:spacing w:after="0" w:line="240" w:lineRule="auto"/>
    </w:pPr>
    <w:rPr>
      <w:rFonts w:asciiTheme="majorHAnsi" w:eastAsiaTheme="majorEastAsia" w:hAnsiTheme="majorHAnsi" w:cstheme="majorBidi"/>
    </w:rPr>
  </w:style>
  <w:style w:type="paragraph" w:styleId="Umschlagadresse">
    <w:name w:val="envelope address"/>
    <w:basedOn w:val="Standard"/>
    <w:uiPriority w:val="99"/>
    <w:semiHidden/>
    <w:unhideWhenUsed/>
    <w:rsid w:val="00D473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bbildungsverzeichnis">
    <w:name w:val="table of figures"/>
    <w:basedOn w:val="Standard"/>
    <w:next w:val="Standard"/>
    <w:uiPriority w:val="99"/>
    <w:semiHidden/>
    <w:unhideWhenUsed/>
    <w:rsid w:val="00D4732B"/>
    <w:pPr>
      <w:spacing w:after="0"/>
    </w:pPr>
  </w:style>
  <w:style w:type="paragraph" w:styleId="Index1">
    <w:name w:val="index 1"/>
    <w:basedOn w:val="Standard"/>
    <w:next w:val="Standard"/>
    <w:autoRedefine/>
    <w:uiPriority w:val="99"/>
    <w:semiHidden/>
    <w:unhideWhenUsed/>
    <w:rsid w:val="00D4732B"/>
    <w:pPr>
      <w:spacing w:after="0" w:line="240" w:lineRule="auto"/>
      <w:ind w:left="220" w:hanging="220"/>
    </w:pPr>
  </w:style>
  <w:style w:type="paragraph" w:styleId="Indexberschrift">
    <w:name w:val="index heading"/>
    <w:basedOn w:val="Standard"/>
    <w:next w:val="Index1"/>
    <w:uiPriority w:val="99"/>
    <w:semiHidden/>
    <w:unhideWhenUsed/>
    <w:rsid w:val="00D4732B"/>
    <w:rPr>
      <w:rFonts w:asciiTheme="majorHAnsi" w:eastAsiaTheme="majorEastAsia" w:hAnsiTheme="majorHAnsi" w:cstheme="majorBidi"/>
      <w:b/>
      <w:bCs/>
    </w:rPr>
  </w:style>
  <w:style w:type="paragraph" w:styleId="Fuzeile">
    <w:name w:val="footer"/>
    <w:basedOn w:val="Standard"/>
    <w:link w:val="FuzeileZchn"/>
    <w:uiPriority w:val="99"/>
    <w:unhideWhenUsed/>
    <w:rsid w:val="00D4732B"/>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D4732B"/>
  </w:style>
  <w:style w:type="paragraph" w:styleId="Kopfzeile">
    <w:name w:val="header"/>
    <w:basedOn w:val="Standard"/>
    <w:link w:val="KopfzeileZchn"/>
    <w:uiPriority w:val="99"/>
    <w:unhideWhenUsed/>
    <w:rsid w:val="00D4732B"/>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D4732B"/>
  </w:style>
  <w:style w:type="paragraph" w:styleId="Kommentartext">
    <w:name w:val="annotation text"/>
    <w:basedOn w:val="Standard"/>
    <w:link w:val="KommentartextZchn"/>
    <w:uiPriority w:val="99"/>
    <w:semiHidden/>
    <w:unhideWhenUsed/>
    <w:rsid w:val="00D4732B"/>
    <w:pPr>
      <w:spacing w:line="240" w:lineRule="auto"/>
    </w:pPr>
  </w:style>
  <w:style w:type="character" w:customStyle="1" w:styleId="KommentartextZchn">
    <w:name w:val="Kommentartext Zchn"/>
    <w:basedOn w:val="Absatz-Standardschriftart"/>
    <w:link w:val="Kommentartext"/>
    <w:uiPriority w:val="99"/>
    <w:semiHidden/>
    <w:rsid w:val="00D4732B"/>
    <w:rPr>
      <w:sz w:val="20"/>
      <w:szCs w:val="20"/>
    </w:rPr>
  </w:style>
  <w:style w:type="paragraph" w:styleId="Funotentext">
    <w:name w:val="footnote text"/>
    <w:basedOn w:val="Standard"/>
    <w:link w:val="FunotentextZchn"/>
    <w:uiPriority w:val="99"/>
    <w:semiHidden/>
    <w:unhideWhenUsed/>
    <w:rsid w:val="00D4732B"/>
    <w:pPr>
      <w:spacing w:after="0" w:line="240" w:lineRule="auto"/>
    </w:pPr>
  </w:style>
  <w:style w:type="character" w:customStyle="1" w:styleId="FunotentextZchn">
    <w:name w:val="Fußnotentext Zchn"/>
    <w:basedOn w:val="Absatz-Standardschriftart"/>
    <w:link w:val="Funotentext"/>
    <w:uiPriority w:val="99"/>
    <w:semiHidden/>
    <w:rsid w:val="00D4732B"/>
    <w:rPr>
      <w:sz w:val="20"/>
      <w:szCs w:val="20"/>
    </w:rPr>
  </w:style>
  <w:style w:type="paragraph" w:styleId="Standardeinzug">
    <w:name w:val="Normal Indent"/>
    <w:basedOn w:val="Standard"/>
    <w:uiPriority w:val="99"/>
    <w:semiHidden/>
    <w:unhideWhenUsed/>
    <w:rsid w:val="00D4732B"/>
    <w:pPr>
      <w:ind w:left="708"/>
    </w:pPr>
  </w:style>
  <w:style w:type="paragraph" w:styleId="Verzeichnis9">
    <w:name w:val="toc 9"/>
    <w:basedOn w:val="Standard"/>
    <w:next w:val="Standard"/>
    <w:autoRedefine/>
    <w:uiPriority w:val="39"/>
    <w:semiHidden/>
    <w:unhideWhenUsed/>
    <w:rsid w:val="00D4732B"/>
    <w:pPr>
      <w:spacing w:after="100"/>
      <w:ind w:left="1760"/>
    </w:pPr>
  </w:style>
  <w:style w:type="paragraph" w:styleId="Verzeichnis8">
    <w:name w:val="toc 8"/>
    <w:basedOn w:val="Standard"/>
    <w:next w:val="Standard"/>
    <w:autoRedefine/>
    <w:uiPriority w:val="39"/>
    <w:semiHidden/>
    <w:unhideWhenUsed/>
    <w:rsid w:val="00D4732B"/>
    <w:pPr>
      <w:spacing w:after="100"/>
      <w:ind w:left="1540"/>
    </w:pPr>
  </w:style>
  <w:style w:type="paragraph" w:styleId="Verzeichnis7">
    <w:name w:val="toc 7"/>
    <w:basedOn w:val="Standard"/>
    <w:next w:val="Standard"/>
    <w:autoRedefine/>
    <w:uiPriority w:val="39"/>
    <w:semiHidden/>
    <w:unhideWhenUsed/>
    <w:rsid w:val="00D4732B"/>
    <w:pPr>
      <w:spacing w:after="100"/>
      <w:ind w:left="1320"/>
    </w:pPr>
  </w:style>
  <w:style w:type="paragraph" w:styleId="Verzeichnis6">
    <w:name w:val="toc 6"/>
    <w:basedOn w:val="Standard"/>
    <w:next w:val="Standard"/>
    <w:autoRedefine/>
    <w:uiPriority w:val="39"/>
    <w:semiHidden/>
    <w:unhideWhenUsed/>
    <w:rsid w:val="00D4732B"/>
    <w:pPr>
      <w:spacing w:after="100"/>
      <w:ind w:left="1100"/>
    </w:pPr>
  </w:style>
  <w:style w:type="paragraph" w:styleId="Verzeichnis5">
    <w:name w:val="toc 5"/>
    <w:basedOn w:val="Standard"/>
    <w:next w:val="Standard"/>
    <w:autoRedefine/>
    <w:uiPriority w:val="39"/>
    <w:semiHidden/>
    <w:unhideWhenUsed/>
    <w:rsid w:val="00D4732B"/>
    <w:pPr>
      <w:spacing w:after="100"/>
      <w:ind w:left="880"/>
    </w:pPr>
  </w:style>
  <w:style w:type="paragraph" w:styleId="Verzeichnis4">
    <w:name w:val="toc 4"/>
    <w:basedOn w:val="Standard"/>
    <w:next w:val="Standard"/>
    <w:autoRedefine/>
    <w:uiPriority w:val="39"/>
    <w:semiHidden/>
    <w:unhideWhenUsed/>
    <w:rsid w:val="00D4732B"/>
    <w:pPr>
      <w:spacing w:after="100"/>
      <w:ind w:left="660"/>
    </w:pPr>
  </w:style>
  <w:style w:type="paragraph" w:styleId="Verzeichnis3">
    <w:name w:val="toc 3"/>
    <w:basedOn w:val="Standard"/>
    <w:next w:val="Standard"/>
    <w:autoRedefine/>
    <w:uiPriority w:val="39"/>
    <w:semiHidden/>
    <w:unhideWhenUsed/>
    <w:rsid w:val="00D4732B"/>
    <w:pPr>
      <w:spacing w:after="100"/>
      <w:ind w:left="440"/>
    </w:pPr>
  </w:style>
  <w:style w:type="paragraph" w:styleId="Verzeichnis2">
    <w:name w:val="toc 2"/>
    <w:basedOn w:val="Standard"/>
    <w:next w:val="Standard"/>
    <w:autoRedefine/>
    <w:uiPriority w:val="39"/>
    <w:semiHidden/>
    <w:unhideWhenUsed/>
    <w:rsid w:val="00D4732B"/>
    <w:pPr>
      <w:spacing w:after="100"/>
      <w:ind w:left="220"/>
    </w:pPr>
  </w:style>
  <w:style w:type="paragraph" w:styleId="Verzeichnis1">
    <w:name w:val="toc 1"/>
    <w:basedOn w:val="Standard"/>
    <w:next w:val="Standard"/>
    <w:autoRedefine/>
    <w:uiPriority w:val="39"/>
    <w:semiHidden/>
    <w:unhideWhenUsed/>
    <w:rsid w:val="00D4732B"/>
    <w:pPr>
      <w:spacing w:after="100"/>
    </w:pPr>
  </w:style>
  <w:style w:type="paragraph" w:styleId="Index9">
    <w:name w:val="index 9"/>
    <w:basedOn w:val="Standard"/>
    <w:next w:val="Standard"/>
    <w:autoRedefine/>
    <w:uiPriority w:val="99"/>
    <w:semiHidden/>
    <w:unhideWhenUsed/>
    <w:rsid w:val="00D4732B"/>
    <w:pPr>
      <w:spacing w:after="0" w:line="240" w:lineRule="auto"/>
      <w:ind w:left="1980" w:hanging="220"/>
    </w:pPr>
  </w:style>
  <w:style w:type="paragraph" w:styleId="Index8">
    <w:name w:val="index 8"/>
    <w:basedOn w:val="Standard"/>
    <w:next w:val="Standard"/>
    <w:autoRedefine/>
    <w:uiPriority w:val="99"/>
    <w:semiHidden/>
    <w:unhideWhenUsed/>
    <w:rsid w:val="00D4732B"/>
    <w:pPr>
      <w:spacing w:after="0" w:line="240" w:lineRule="auto"/>
      <w:ind w:left="1760" w:hanging="220"/>
    </w:pPr>
  </w:style>
  <w:style w:type="paragraph" w:styleId="Index7">
    <w:name w:val="index 7"/>
    <w:basedOn w:val="Standard"/>
    <w:next w:val="Standard"/>
    <w:autoRedefine/>
    <w:uiPriority w:val="99"/>
    <w:semiHidden/>
    <w:unhideWhenUsed/>
    <w:rsid w:val="00D4732B"/>
    <w:pPr>
      <w:spacing w:after="0" w:line="240" w:lineRule="auto"/>
      <w:ind w:left="1540" w:hanging="220"/>
    </w:pPr>
  </w:style>
  <w:style w:type="paragraph" w:styleId="Index6">
    <w:name w:val="index 6"/>
    <w:basedOn w:val="Standard"/>
    <w:next w:val="Standard"/>
    <w:autoRedefine/>
    <w:uiPriority w:val="99"/>
    <w:semiHidden/>
    <w:unhideWhenUsed/>
    <w:rsid w:val="00D4732B"/>
    <w:pPr>
      <w:spacing w:after="0" w:line="240" w:lineRule="auto"/>
      <w:ind w:left="1320" w:hanging="220"/>
    </w:pPr>
  </w:style>
  <w:style w:type="paragraph" w:styleId="Index5">
    <w:name w:val="index 5"/>
    <w:basedOn w:val="Standard"/>
    <w:next w:val="Standard"/>
    <w:autoRedefine/>
    <w:uiPriority w:val="99"/>
    <w:semiHidden/>
    <w:unhideWhenUsed/>
    <w:rsid w:val="00D4732B"/>
    <w:pPr>
      <w:spacing w:after="0" w:line="240" w:lineRule="auto"/>
      <w:ind w:left="1100" w:hanging="220"/>
    </w:pPr>
  </w:style>
  <w:style w:type="paragraph" w:styleId="Index4">
    <w:name w:val="index 4"/>
    <w:basedOn w:val="Standard"/>
    <w:next w:val="Standard"/>
    <w:autoRedefine/>
    <w:uiPriority w:val="99"/>
    <w:semiHidden/>
    <w:unhideWhenUsed/>
    <w:rsid w:val="00D4732B"/>
    <w:pPr>
      <w:spacing w:after="0" w:line="240" w:lineRule="auto"/>
      <w:ind w:left="880" w:hanging="220"/>
    </w:pPr>
  </w:style>
  <w:style w:type="paragraph" w:styleId="Index3">
    <w:name w:val="index 3"/>
    <w:basedOn w:val="Standard"/>
    <w:next w:val="Standard"/>
    <w:autoRedefine/>
    <w:uiPriority w:val="99"/>
    <w:semiHidden/>
    <w:unhideWhenUsed/>
    <w:rsid w:val="00D4732B"/>
    <w:pPr>
      <w:spacing w:after="0" w:line="240" w:lineRule="auto"/>
      <w:ind w:left="660" w:hanging="220"/>
    </w:pPr>
  </w:style>
  <w:style w:type="paragraph" w:styleId="Index2">
    <w:name w:val="index 2"/>
    <w:basedOn w:val="Standard"/>
    <w:next w:val="Standard"/>
    <w:autoRedefine/>
    <w:uiPriority w:val="99"/>
    <w:semiHidden/>
    <w:unhideWhenUsed/>
    <w:rsid w:val="00D4732B"/>
    <w:pPr>
      <w:spacing w:after="0" w:line="240" w:lineRule="auto"/>
      <w:ind w:left="440" w:hanging="220"/>
    </w:pPr>
  </w:style>
  <w:style w:type="table" w:styleId="Tabellenraster">
    <w:name w:val="Table Grid"/>
    <w:basedOn w:val="NormaleTabelle"/>
    <w:uiPriority w:val="39"/>
    <w:rsid w:val="00021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F705BE"/>
    <w:rPr>
      <w:b/>
      <w:bCs/>
    </w:rPr>
  </w:style>
  <w:style w:type="character" w:customStyle="1" w:styleId="KommentarthemaZchn">
    <w:name w:val="Kommentarthema Zchn"/>
    <w:basedOn w:val="KommentartextZchn"/>
    <w:link w:val="Kommentarthema"/>
    <w:uiPriority w:val="99"/>
    <w:semiHidden/>
    <w:rsid w:val="00F705BE"/>
    <w:rPr>
      <w:b/>
      <w:bCs/>
      <w:sz w:val="20"/>
      <w:szCs w:val="20"/>
    </w:rPr>
  </w:style>
  <w:style w:type="character" w:styleId="Platzhaltertext">
    <w:name w:val="Placeholder Text"/>
    <w:basedOn w:val="Absatz-Standardschriftart"/>
    <w:uiPriority w:val="99"/>
    <w:semiHidden/>
    <w:rsid w:val="00FB0019"/>
    <w:rPr>
      <w:color w:val="808080"/>
    </w:rPr>
  </w:style>
  <w:style w:type="paragraph" w:customStyle="1" w:styleId="CitaviChapterBibliographyHeading">
    <w:name w:val="Citavi Chapter Bibliography Heading"/>
    <w:basedOn w:val="berschrift2"/>
    <w:link w:val="CitaviChapterBibliographyHeadingZchn"/>
    <w:uiPriority w:val="99"/>
    <w:rsid w:val="000D2D86"/>
  </w:style>
  <w:style w:type="character" w:customStyle="1" w:styleId="CitaviChapterBibliographyHeadingZchn">
    <w:name w:val="Citavi Chapter Bibliography Heading Zchn"/>
    <w:basedOn w:val="Absatz-Standardschriftart"/>
    <w:link w:val="CitaviChapterBibliographyHeading"/>
    <w:uiPriority w:val="99"/>
    <w:rsid w:val="000D2D86"/>
    <w:rPr>
      <w:smallCaps/>
      <w:spacing w:val="5"/>
      <w:sz w:val="28"/>
      <w:szCs w:val="28"/>
    </w:rPr>
  </w:style>
  <w:style w:type="table" w:styleId="EinfacheTabelle2">
    <w:name w:val="Plain Table 2"/>
    <w:basedOn w:val="NormaleTabelle"/>
    <w:uiPriority w:val="42"/>
    <w:rsid w:val="002D530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10921">
      <w:bodyDiv w:val="1"/>
      <w:marLeft w:val="0"/>
      <w:marRight w:val="0"/>
      <w:marTop w:val="0"/>
      <w:marBottom w:val="0"/>
      <w:divBdr>
        <w:top w:val="none" w:sz="0" w:space="0" w:color="auto"/>
        <w:left w:val="none" w:sz="0" w:space="0" w:color="auto"/>
        <w:bottom w:val="none" w:sz="0" w:space="0" w:color="auto"/>
        <w:right w:val="none" w:sz="0" w:space="0" w:color="auto"/>
      </w:divBdr>
    </w:div>
    <w:div w:id="432670822">
      <w:bodyDiv w:val="1"/>
      <w:marLeft w:val="0"/>
      <w:marRight w:val="0"/>
      <w:marTop w:val="0"/>
      <w:marBottom w:val="0"/>
      <w:divBdr>
        <w:top w:val="none" w:sz="0" w:space="0" w:color="auto"/>
        <w:left w:val="none" w:sz="0" w:space="0" w:color="auto"/>
        <w:bottom w:val="none" w:sz="0" w:space="0" w:color="auto"/>
        <w:right w:val="none" w:sz="0" w:space="0" w:color="auto"/>
      </w:divBdr>
    </w:div>
    <w:div w:id="600189394">
      <w:bodyDiv w:val="1"/>
      <w:marLeft w:val="0"/>
      <w:marRight w:val="0"/>
      <w:marTop w:val="0"/>
      <w:marBottom w:val="0"/>
      <w:divBdr>
        <w:top w:val="none" w:sz="0" w:space="0" w:color="auto"/>
        <w:left w:val="none" w:sz="0" w:space="0" w:color="auto"/>
        <w:bottom w:val="none" w:sz="0" w:space="0" w:color="auto"/>
        <w:right w:val="none" w:sz="0" w:space="0" w:color="auto"/>
      </w:divBdr>
    </w:div>
    <w:div w:id="611325890">
      <w:bodyDiv w:val="1"/>
      <w:marLeft w:val="0"/>
      <w:marRight w:val="0"/>
      <w:marTop w:val="0"/>
      <w:marBottom w:val="0"/>
      <w:divBdr>
        <w:top w:val="none" w:sz="0" w:space="0" w:color="auto"/>
        <w:left w:val="none" w:sz="0" w:space="0" w:color="auto"/>
        <w:bottom w:val="none" w:sz="0" w:space="0" w:color="auto"/>
        <w:right w:val="none" w:sz="0" w:space="0" w:color="auto"/>
      </w:divBdr>
    </w:div>
    <w:div w:id="759257965">
      <w:bodyDiv w:val="1"/>
      <w:marLeft w:val="0"/>
      <w:marRight w:val="0"/>
      <w:marTop w:val="0"/>
      <w:marBottom w:val="0"/>
      <w:divBdr>
        <w:top w:val="none" w:sz="0" w:space="0" w:color="auto"/>
        <w:left w:val="none" w:sz="0" w:space="0" w:color="auto"/>
        <w:bottom w:val="none" w:sz="0" w:space="0" w:color="auto"/>
        <w:right w:val="none" w:sz="0" w:space="0" w:color="auto"/>
      </w:divBdr>
    </w:div>
    <w:div w:id="1134520961">
      <w:bodyDiv w:val="1"/>
      <w:marLeft w:val="0"/>
      <w:marRight w:val="0"/>
      <w:marTop w:val="0"/>
      <w:marBottom w:val="0"/>
      <w:divBdr>
        <w:top w:val="none" w:sz="0" w:space="0" w:color="auto"/>
        <w:left w:val="none" w:sz="0" w:space="0" w:color="auto"/>
        <w:bottom w:val="none" w:sz="0" w:space="0" w:color="auto"/>
        <w:right w:val="none" w:sz="0" w:space="0" w:color="auto"/>
      </w:divBdr>
    </w:div>
    <w:div w:id="1143540206">
      <w:bodyDiv w:val="1"/>
      <w:marLeft w:val="0"/>
      <w:marRight w:val="0"/>
      <w:marTop w:val="0"/>
      <w:marBottom w:val="0"/>
      <w:divBdr>
        <w:top w:val="none" w:sz="0" w:space="0" w:color="auto"/>
        <w:left w:val="none" w:sz="0" w:space="0" w:color="auto"/>
        <w:bottom w:val="none" w:sz="0" w:space="0" w:color="auto"/>
        <w:right w:val="none" w:sz="0" w:space="0" w:color="auto"/>
      </w:divBdr>
    </w:div>
    <w:div w:id="1146818025">
      <w:bodyDiv w:val="1"/>
      <w:marLeft w:val="0"/>
      <w:marRight w:val="0"/>
      <w:marTop w:val="0"/>
      <w:marBottom w:val="0"/>
      <w:divBdr>
        <w:top w:val="none" w:sz="0" w:space="0" w:color="auto"/>
        <w:left w:val="none" w:sz="0" w:space="0" w:color="auto"/>
        <w:bottom w:val="none" w:sz="0" w:space="0" w:color="auto"/>
        <w:right w:val="none" w:sz="0" w:space="0" w:color="auto"/>
      </w:divBdr>
    </w:div>
    <w:div w:id="1248273330">
      <w:bodyDiv w:val="1"/>
      <w:marLeft w:val="0"/>
      <w:marRight w:val="0"/>
      <w:marTop w:val="0"/>
      <w:marBottom w:val="0"/>
      <w:divBdr>
        <w:top w:val="none" w:sz="0" w:space="0" w:color="auto"/>
        <w:left w:val="none" w:sz="0" w:space="0" w:color="auto"/>
        <w:bottom w:val="none" w:sz="0" w:space="0" w:color="auto"/>
        <w:right w:val="none" w:sz="0" w:space="0" w:color="auto"/>
      </w:divBdr>
    </w:div>
    <w:div w:id="1444379446">
      <w:bodyDiv w:val="1"/>
      <w:marLeft w:val="0"/>
      <w:marRight w:val="0"/>
      <w:marTop w:val="0"/>
      <w:marBottom w:val="0"/>
      <w:divBdr>
        <w:top w:val="none" w:sz="0" w:space="0" w:color="auto"/>
        <w:left w:val="none" w:sz="0" w:space="0" w:color="auto"/>
        <w:bottom w:val="none" w:sz="0" w:space="0" w:color="auto"/>
        <w:right w:val="none" w:sz="0" w:space="0" w:color="auto"/>
      </w:divBdr>
    </w:div>
    <w:div w:id="1649049185">
      <w:bodyDiv w:val="1"/>
      <w:marLeft w:val="0"/>
      <w:marRight w:val="0"/>
      <w:marTop w:val="0"/>
      <w:marBottom w:val="0"/>
      <w:divBdr>
        <w:top w:val="none" w:sz="0" w:space="0" w:color="auto"/>
        <w:left w:val="none" w:sz="0" w:space="0" w:color="auto"/>
        <w:bottom w:val="none" w:sz="0" w:space="0" w:color="auto"/>
        <w:right w:val="none" w:sz="0" w:space="0" w:color="auto"/>
      </w:divBdr>
    </w:div>
    <w:div w:id="1897859266">
      <w:bodyDiv w:val="1"/>
      <w:marLeft w:val="0"/>
      <w:marRight w:val="0"/>
      <w:marTop w:val="0"/>
      <w:marBottom w:val="0"/>
      <w:divBdr>
        <w:top w:val="none" w:sz="0" w:space="0" w:color="auto"/>
        <w:left w:val="none" w:sz="0" w:space="0" w:color="auto"/>
        <w:bottom w:val="none" w:sz="0" w:space="0" w:color="auto"/>
        <w:right w:val="none" w:sz="0" w:space="0" w:color="auto"/>
      </w:divBdr>
    </w:div>
    <w:div w:id="200280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46EF0317B0840CABC5B9A51E8DB2DC7"/>
        <w:category>
          <w:name w:val="Allgemein"/>
          <w:gallery w:val="placeholder"/>
        </w:category>
        <w:types>
          <w:type w:val="bbPlcHdr"/>
        </w:types>
        <w:behaviors>
          <w:behavior w:val="content"/>
        </w:behaviors>
        <w:guid w:val="{72975106-0C38-40F9-8A58-7C7A351F3BA9}"/>
      </w:docPartPr>
      <w:docPartBody>
        <w:p w:rsidR="00CA4762" w:rsidRDefault="00CA4762" w:rsidP="00CA4762">
          <w:pPr>
            <w:pStyle w:val="B46EF0317B0840CABC5B9A51E8DB2DC7"/>
          </w:pPr>
          <w:r w:rsidRPr="003302B2">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7DAEE716-1751-42C7-8D99-24FC5D0169ED}"/>
      </w:docPartPr>
      <w:docPartBody>
        <w:p w:rsidR="00981AAD" w:rsidRDefault="00981AAD">
          <w:r w:rsidRPr="007725A7">
            <w:rPr>
              <w:rStyle w:val="Platzhaltertext"/>
            </w:rPr>
            <w:t>Klicken oder tippen Sie hier, um Text einzugeben.</w:t>
          </w:r>
        </w:p>
      </w:docPartBody>
    </w:docPart>
    <w:docPart>
      <w:docPartPr>
        <w:name w:val="3FD294299D054A8081A9DC662107C069"/>
        <w:category>
          <w:name w:val="Allgemein"/>
          <w:gallery w:val="placeholder"/>
        </w:category>
        <w:types>
          <w:type w:val="bbPlcHdr"/>
        </w:types>
        <w:behaviors>
          <w:behavior w:val="content"/>
        </w:behaviors>
        <w:guid w:val="{BC57894B-D789-40A4-A739-5FE8F60ECB0F}"/>
      </w:docPartPr>
      <w:docPartBody>
        <w:p w:rsidR="0008095C" w:rsidRDefault="0008095C" w:rsidP="0008095C">
          <w:pPr>
            <w:pStyle w:val="3FD294299D054A8081A9DC662107C069"/>
          </w:pPr>
          <w:r w:rsidRPr="007725A7">
            <w:rPr>
              <w:rStyle w:val="Platzhaltertext"/>
            </w:rPr>
            <w:t>Klicken oder tippen Sie hier, um Text einzugeben.</w:t>
          </w:r>
        </w:p>
      </w:docPartBody>
    </w:docPart>
    <w:docPart>
      <w:docPartPr>
        <w:name w:val="EB908C1B81AC429E80410297ECF857C5"/>
        <w:category>
          <w:name w:val="Allgemein"/>
          <w:gallery w:val="placeholder"/>
        </w:category>
        <w:types>
          <w:type w:val="bbPlcHdr"/>
        </w:types>
        <w:behaviors>
          <w:behavior w:val="content"/>
        </w:behaviors>
        <w:guid w:val="{0E8CE746-6FE5-4569-B3DA-B9AF59C8E4A4}"/>
      </w:docPartPr>
      <w:docPartBody>
        <w:p w:rsidR="0008095C" w:rsidRDefault="0008095C" w:rsidP="0008095C">
          <w:pPr>
            <w:pStyle w:val="EB908C1B81AC429E80410297ECF857C5"/>
          </w:pPr>
          <w:r w:rsidRPr="003302B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762"/>
    <w:rsid w:val="0008095C"/>
    <w:rsid w:val="001A4B2B"/>
    <w:rsid w:val="005558EE"/>
    <w:rsid w:val="00981AAD"/>
    <w:rsid w:val="00C20E52"/>
    <w:rsid w:val="00CA4762"/>
    <w:rsid w:val="00CE4E3E"/>
    <w:rsid w:val="00EC5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08095C"/>
    <w:rPr>
      <w:color w:val="808080"/>
    </w:rPr>
  </w:style>
  <w:style w:type="paragraph" w:customStyle="1" w:styleId="B46EF0317B0840CABC5B9A51E8DB2DC7">
    <w:name w:val="B46EF0317B0840CABC5B9A51E8DB2DC7"/>
    <w:rsid w:val="00CA4762"/>
  </w:style>
  <w:style w:type="paragraph" w:customStyle="1" w:styleId="3FD294299D054A8081A9DC662107C069">
    <w:name w:val="3FD294299D054A8081A9DC662107C069"/>
    <w:rsid w:val="0008095C"/>
  </w:style>
  <w:style w:type="paragraph" w:customStyle="1" w:styleId="EB908C1B81AC429E80410297ECF857C5">
    <w:name w:val="EB908C1B81AC429E80410297ECF857C5"/>
    <w:rsid w:val="000809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D693C-FC53-401D-9B6D-2EBAAF4C7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10413</Words>
  <Characters>59355</Characters>
  <Application>Microsoft Office Word</Application>
  <DocSecurity>0</DocSecurity>
  <Lines>494</Lines>
  <Paragraphs>139</Paragraphs>
  <ScaleCrop>false</ScaleCrop>
  <HeadingPairs>
    <vt:vector size="2" baseType="variant">
      <vt:variant>
        <vt:lpstr>Titel</vt:lpstr>
      </vt:variant>
      <vt:variant>
        <vt:i4>1</vt:i4>
      </vt:variant>
    </vt:vector>
  </HeadingPairs>
  <TitlesOfParts>
    <vt:vector size="1" baseType="lpstr">
      <vt:lpstr/>
    </vt:vector>
  </TitlesOfParts>
  <Company>Uni Graz</Company>
  <LinksUpToDate>false</LinksUpToDate>
  <CharactersWithSpaces>69629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Zimek, Martina</dc:creator>
  <cp:keywords/>
  <dc:description/>
  <cp:lastModifiedBy>Mair-Bauernfeind, Claudia (claudia.mair@uni-graz.at)</cp:lastModifiedBy>
  <cp:revision>41</cp:revision>
  <dcterms:created xsi:type="dcterms:W3CDTF">2019-05-27T11:29:00Z</dcterms:created>
  <dcterms:modified xsi:type="dcterms:W3CDTF">2020-05-15T08:16:00Z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Case Study E-LCA, S-LCS &amp; MRIO _ SIB Magna</vt:lpwstr>
  </property>
  <property fmtid="{D5CDD505-2E9C-101B-9397-08002B2CF9AE}" pid="3" name="CitaviDocumentProperty_11">
    <vt:lpwstr>Überschrift 1</vt:lpwstr>
  </property>
  <property fmtid="{D5CDD505-2E9C-101B-9397-08002B2CF9AE}" pid="4" name="CitaviDocumentProperty_12">
    <vt:lpwstr>Standard</vt:lpwstr>
  </property>
  <property fmtid="{D5CDD505-2E9C-101B-9397-08002B2CF9AE}" pid="5" name="CitaviDocumentProperty_16">
    <vt:lpwstr>Untertitel</vt:lpwstr>
  </property>
  <property fmtid="{D5CDD505-2E9C-101B-9397-08002B2CF9AE}" pid="6" name="CitaviDocumentProperty_13">
    <vt:lpwstr>Standard</vt:lpwstr>
  </property>
  <property fmtid="{D5CDD505-2E9C-101B-9397-08002B2CF9AE}" pid="7" name="CitaviDocumentProperty_15">
    <vt:lpwstr>Standard</vt:lpwstr>
  </property>
  <property fmtid="{D5CDD505-2E9C-101B-9397-08002B2CF9AE}" pid="8" name="CitaviDocumentProperty_17">
    <vt:lpwstr>Standard</vt:lpwstr>
  </property>
  <property fmtid="{D5CDD505-2E9C-101B-9397-08002B2CF9AE}" pid="9" name="CitaviDocumentProperty_0">
    <vt:lpwstr>eb6ceb06-f807-4c4c-81a8-fdaa406c911d</vt:lpwstr>
  </property>
  <property fmtid="{D5CDD505-2E9C-101B-9397-08002B2CF9AE}" pid="10" name="CitaviDocumentProperty_8">
    <vt:lpwstr>CloudProjectKey=jkjwcz3kmzwwbxcfoyn51ftj53shwmukuijzd8fc6cl25cut; ProjectName=Case Study E-LCA, S-LCS &amp; MRIO _ SIB Magna</vt:lpwstr>
  </property>
  <property fmtid="{D5CDD505-2E9C-101B-9397-08002B2CF9AE}" pid="11" name="CitaviDocumentProperty_1">
    <vt:lpwstr>6.4.0.35</vt:lpwstr>
  </property>
  <property fmtid="{D5CDD505-2E9C-101B-9397-08002B2CF9AE}" pid="12" name="CitaviDocumentProperty_6">
    <vt:lpwstr>True</vt:lpwstr>
  </property>
</Properties>
</file>