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_rels/item4.xml.rels" ContentType="application/vnd.openxmlformats-package.relationships+xml"/>
  <Override PartName="/customXml/_rels/item3.xml.rels" ContentType="application/vnd.openxmlformats-package.relationships+xml"/>
  <Override PartName="/customXml/_rels/item1.xml.rels" ContentType="application/vnd.openxmlformats-package.relationships+xml"/>
  <Override PartName="/customXml/_rels/item2.xml.rels" ContentType="application/vnd.openxmlformats-package.relationships+xml"/>
  <Override PartName="/customXml/itemProps1.xml" ContentType="application/vnd.openxmlformats-officedocument.customXmlProperties+xml"/>
  <Override PartName="/customXml/item2.xml" ContentType="application/xml"/>
  <Override PartName="/customXml/itemProps3.xml" ContentType="application/vnd.openxmlformats-officedocument.customXmlProperties+xml"/>
  <Override PartName="/customXml/itemProps2.xml" ContentType="application/vnd.openxmlformats-officedocument.customXmlProperties+xml"/>
  <Override PartName="/customXml/item1.xml" ContentType="application/xml"/>
  <Override PartName="/customXml/item3.xml" ContentType="application/xml"/>
  <Override PartName="/customXml/itemProps4.xml" ContentType="application/vnd.openxmlformats-officedocument.customXmlProperties+xml"/>
  <Override PartName="/customXml/item4.xml" ContentType="application/xml"/>
  <Override PartName="/word/styles.xml" ContentType="application/vnd.openxmlformats-officedocument.wordprocessingml.styles+xml"/>
  <Override PartName="/word/footnotes.xml" ContentType="application/vnd.openxmlformats-officedocument.wordprocessingml.footnotes+xml"/>
  <Override PartName="/word/theme/theme1.xml" ContentType="application/vnd.openxmlformats-officedocument.theme+xml"/>
  <Override PartName="/word/fontTable.xml" ContentType="application/vnd.openxmlformats-officedocument.wordprocessingml.fontTable+xml"/>
  <Override PartName="/word/numbering.xml" ContentType="application/vnd.openxmlformats-officedocument.wordprocessingml.numbering+xml"/>
  <Override PartName="/word/document.xml" ContentType="application/vnd.openxmlformats-officedocument.wordprocessingml.document.main+xml"/>
  <Override PartName="/word/_rels/document.xml.rels" ContentType="application/vnd.openxmlformats-package.relationships+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pacing w:before="240" w:after="0"/>
        <w:rPr/>
      </w:pPr>
      <w:r>
        <w:rPr/>
        <w:t>ANNEX 1</w:t>
      </w:r>
    </w:p>
    <w:p>
      <w:pPr>
        <w:pStyle w:val="Normal"/>
        <w:rPr/>
      </w:pPr>
      <w:r>
        <w:rPr/>
        <w:t xml:space="preserve">The following table reports the input data and the related measurement unit requested by the LANCA®  method (Bos et al., 2016). </w:t>
      </w:r>
    </w:p>
    <w:p>
      <w:pPr>
        <w:pStyle w:val="Caption1"/>
        <w:keepNext w:val="true"/>
        <w:rPr/>
      </w:pPr>
      <w:r>
        <w:rPr/>
        <w:t xml:space="preserve">Table </w:t>
      </w:r>
      <w:r>
        <w:rPr/>
        <w:fldChar w:fldCharType="begin"/>
      </w:r>
      <w:r>
        <w:rPr/>
        <w:instrText> SEQ Table \* ARABIC </w:instrText>
      </w:r>
      <w:r>
        <w:rPr/>
        <w:fldChar w:fldCharType="separate"/>
      </w:r>
      <w:r>
        <w:rPr/>
        <w:t>1</w:t>
      </w:r>
      <w:r>
        <w:rPr/>
        <w:fldChar w:fldCharType="end"/>
      </w:r>
      <w:r>
        <w:rPr/>
        <w:t>S - Requested input data for the calculation of the soil quality level</w:t>
      </w:r>
    </w:p>
    <w:tbl>
      <w:tblPr>
        <w:tblStyle w:val="Grigliatabella"/>
        <w:tblW w:w="9628"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1925"/>
        <w:gridCol w:w="1926"/>
        <w:gridCol w:w="1925"/>
        <w:gridCol w:w="1926"/>
        <w:gridCol w:w="1926"/>
      </w:tblGrid>
      <w:tr>
        <w:trPr/>
        <w:tc>
          <w:tcPr>
            <w:tcW w:w="1925" w:type="dxa"/>
            <w:tcBorders/>
          </w:tcPr>
          <w:p>
            <w:pPr>
              <w:pStyle w:val="Normal"/>
              <w:widowControl w:val="false"/>
              <w:suppressAutoHyphens w:val="true"/>
              <w:spacing w:lineRule="auto" w:line="240" w:before="0" w:after="0"/>
              <w:jc w:val="center"/>
              <w:rPr>
                <w:b/>
                <w:b/>
              </w:rPr>
            </w:pPr>
            <w:r>
              <w:rPr>
                <w:rFonts w:eastAsia="Calibri" w:cs=""/>
                <w:b/>
                <w:kern w:val="0"/>
                <w:sz w:val="22"/>
                <w:szCs w:val="22"/>
                <w:lang w:eastAsia="en-US" w:bidi="ar-SA"/>
              </w:rPr>
              <w:t>Erosion resistance</w:t>
            </w:r>
          </w:p>
        </w:tc>
        <w:tc>
          <w:tcPr>
            <w:tcW w:w="1926" w:type="dxa"/>
            <w:tcBorders/>
          </w:tcPr>
          <w:p>
            <w:pPr>
              <w:pStyle w:val="Normal"/>
              <w:widowControl w:val="false"/>
              <w:suppressAutoHyphens w:val="true"/>
              <w:spacing w:lineRule="auto" w:line="240" w:before="0" w:after="0"/>
              <w:jc w:val="center"/>
              <w:rPr>
                <w:b/>
                <w:b/>
              </w:rPr>
            </w:pPr>
            <w:r>
              <w:rPr>
                <w:rFonts w:eastAsia="Calibri" w:cs=""/>
                <w:b/>
                <w:kern w:val="0"/>
                <w:sz w:val="22"/>
                <w:szCs w:val="22"/>
                <w:lang w:eastAsia="en-US" w:bidi="ar-SA"/>
              </w:rPr>
              <w:t>Mechanical filtration</w:t>
            </w:r>
          </w:p>
        </w:tc>
        <w:tc>
          <w:tcPr>
            <w:tcW w:w="1925" w:type="dxa"/>
            <w:tcBorders/>
          </w:tcPr>
          <w:p>
            <w:pPr>
              <w:pStyle w:val="Normal"/>
              <w:widowControl w:val="false"/>
              <w:suppressAutoHyphens w:val="true"/>
              <w:spacing w:lineRule="auto" w:line="240" w:before="0" w:after="0"/>
              <w:jc w:val="center"/>
              <w:rPr>
                <w:b/>
                <w:b/>
              </w:rPr>
            </w:pPr>
            <w:r>
              <w:rPr>
                <w:rFonts w:eastAsia="Calibri" w:cs=""/>
                <w:b/>
                <w:kern w:val="0"/>
                <w:sz w:val="22"/>
                <w:szCs w:val="22"/>
                <w:lang w:eastAsia="en-US" w:bidi="ar-SA"/>
              </w:rPr>
              <w:t>Physicochemical filtration</w:t>
            </w:r>
          </w:p>
        </w:tc>
        <w:tc>
          <w:tcPr>
            <w:tcW w:w="1926" w:type="dxa"/>
            <w:tcBorders/>
          </w:tcPr>
          <w:p>
            <w:pPr>
              <w:pStyle w:val="Normal"/>
              <w:widowControl w:val="false"/>
              <w:suppressAutoHyphens w:val="true"/>
              <w:spacing w:lineRule="auto" w:line="240" w:before="0" w:after="0"/>
              <w:jc w:val="center"/>
              <w:rPr>
                <w:b/>
                <w:b/>
              </w:rPr>
            </w:pPr>
            <w:r>
              <w:rPr>
                <w:rFonts w:eastAsia="Calibri" w:cs=""/>
                <w:b/>
                <w:kern w:val="0"/>
                <w:sz w:val="22"/>
                <w:szCs w:val="22"/>
                <w:lang w:eastAsia="en-US" w:bidi="ar-SA"/>
              </w:rPr>
              <w:t>Groundwater regeneration</w:t>
            </w:r>
          </w:p>
        </w:tc>
        <w:tc>
          <w:tcPr>
            <w:tcW w:w="1926" w:type="dxa"/>
            <w:tcBorders/>
          </w:tcPr>
          <w:p>
            <w:pPr>
              <w:pStyle w:val="Normal"/>
              <w:widowControl w:val="false"/>
              <w:suppressAutoHyphens w:val="true"/>
              <w:spacing w:lineRule="auto" w:line="240" w:before="0" w:after="0"/>
              <w:jc w:val="center"/>
              <w:rPr>
                <w:b/>
                <w:b/>
              </w:rPr>
            </w:pPr>
            <w:r>
              <w:rPr>
                <w:rFonts w:eastAsia="Calibri" w:cs=""/>
                <w:b/>
                <w:kern w:val="0"/>
                <w:sz w:val="22"/>
                <w:szCs w:val="22"/>
                <w:lang w:eastAsia="en-US" w:bidi="ar-SA"/>
              </w:rPr>
              <w:t>Biotic production</w:t>
            </w:r>
          </w:p>
        </w:tc>
      </w:tr>
      <w:tr>
        <w:trPr/>
        <w:tc>
          <w:tcPr>
            <w:tcW w:w="1925"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t>Very fine sand content [%]</w:t>
            </w:r>
          </w:p>
        </w:tc>
        <w:tc>
          <w:tcPr>
            <w:tcW w:w="1926" w:type="dxa"/>
            <w:tcBorders/>
          </w:tcPr>
          <w:p>
            <w:pPr>
              <w:pStyle w:val="Normal"/>
              <w:widowControl w:val="false"/>
              <w:suppressAutoHyphens w:val="true"/>
              <w:spacing w:lineRule="auto" w:line="240" w:before="0" w:after="0"/>
              <w:jc w:val="center"/>
              <w:rPr>
                <w:b/>
                <w:b/>
              </w:rPr>
            </w:pPr>
            <w:r>
              <w:rPr>
                <w:b/>
              </w:rPr>
            </w:r>
          </w:p>
        </w:tc>
        <w:tc>
          <w:tcPr>
            <w:tcW w:w="1925" w:type="dxa"/>
            <w:tcBorders/>
          </w:tcPr>
          <w:p>
            <w:pPr>
              <w:pStyle w:val="Normal"/>
              <w:widowControl w:val="false"/>
              <w:suppressAutoHyphens w:val="true"/>
              <w:spacing w:lineRule="auto" w:line="240" w:before="0" w:after="0"/>
              <w:jc w:val="center"/>
              <w:rPr>
                <w:b/>
                <w:b/>
              </w:rPr>
            </w:pPr>
            <w:r>
              <w:rPr>
                <w:b/>
              </w:rPr>
            </w:r>
          </w:p>
        </w:tc>
        <w:tc>
          <w:tcPr>
            <w:tcW w:w="1926" w:type="dxa"/>
            <w:tcBorders/>
          </w:tcPr>
          <w:p>
            <w:pPr>
              <w:pStyle w:val="Normal"/>
              <w:widowControl w:val="false"/>
              <w:suppressAutoHyphens w:val="true"/>
              <w:spacing w:lineRule="auto" w:line="240" w:before="0" w:after="0"/>
              <w:jc w:val="center"/>
              <w:rPr>
                <w:b/>
                <w:b/>
              </w:rPr>
            </w:pPr>
            <w:r>
              <w:rPr>
                <w:b/>
              </w:rPr>
            </w:r>
          </w:p>
        </w:tc>
        <w:tc>
          <w:tcPr>
            <w:tcW w:w="1926" w:type="dxa"/>
            <w:tcBorders/>
          </w:tcPr>
          <w:p>
            <w:pPr>
              <w:pStyle w:val="Normal"/>
              <w:widowControl w:val="false"/>
              <w:suppressAutoHyphens w:val="true"/>
              <w:spacing w:lineRule="auto" w:line="240" w:before="0" w:after="0"/>
              <w:jc w:val="center"/>
              <w:rPr>
                <w:b/>
                <w:b/>
              </w:rPr>
            </w:pPr>
            <w:r>
              <w:rPr>
                <w:b/>
              </w:rPr>
            </w:r>
          </w:p>
        </w:tc>
      </w:tr>
      <w:tr>
        <w:trPr/>
        <w:tc>
          <w:tcPr>
            <w:tcW w:w="1925"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t>Silt content [%]</w:t>
            </w:r>
          </w:p>
        </w:tc>
        <w:tc>
          <w:tcPr>
            <w:tcW w:w="1926" w:type="dxa"/>
            <w:tcBorders/>
          </w:tcPr>
          <w:p>
            <w:pPr>
              <w:pStyle w:val="Normal"/>
              <w:widowControl w:val="false"/>
              <w:suppressAutoHyphens w:val="true"/>
              <w:spacing w:lineRule="auto" w:line="240" w:before="0" w:after="0"/>
              <w:jc w:val="center"/>
              <w:rPr>
                <w:b/>
                <w:b/>
              </w:rPr>
            </w:pPr>
            <w:r>
              <w:rPr>
                <w:rFonts w:eastAsia="Calibri" w:cs=""/>
                <w:kern w:val="0"/>
                <w:sz w:val="22"/>
                <w:szCs w:val="22"/>
                <w:lang w:eastAsia="en-US" w:bidi="ar-SA"/>
              </w:rPr>
              <w:t>Silt content [%]</w:t>
            </w:r>
          </w:p>
        </w:tc>
        <w:tc>
          <w:tcPr>
            <w:tcW w:w="1925" w:type="dxa"/>
            <w:tcBorders/>
          </w:tcPr>
          <w:p>
            <w:pPr>
              <w:pStyle w:val="Normal"/>
              <w:widowControl w:val="false"/>
              <w:suppressAutoHyphens w:val="true"/>
              <w:spacing w:lineRule="auto" w:line="240" w:before="0" w:after="0"/>
              <w:jc w:val="center"/>
              <w:rPr>
                <w:b/>
                <w:b/>
              </w:rPr>
            </w:pPr>
            <w:r>
              <w:rPr>
                <w:rFonts w:eastAsia="Calibri" w:cs=""/>
                <w:kern w:val="0"/>
                <w:sz w:val="22"/>
                <w:szCs w:val="22"/>
                <w:lang w:eastAsia="en-US" w:bidi="ar-SA"/>
              </w:rPr>
              <w:t>Silt content [%]</w:t>
            </w:r>
          </w:p>
        </w:tc>
        <w:tc>
          <w:tcPr>
            <w:tcW w:w="1926" w:type="dxa"/>
            <w:tcBorders/>
          </w:tcPr>
          <w:p>
            <w:pPr>
              <w:pStyle w:val="Normal"/>
              <w:widowControl w:val="false"/>
              <w:suppressAutoHyphens w:val="true"/>
              <w:spacing w:lineRule="auto" w:line="240" w:before="0" w:after="0"/>
              <w:jc w:val="center"/>
              <w:rPr>
                <w:b/>
                <w:b/>
              </w:rPr>
            </w:pPr>
            <w:r>
              <w:rPr>
                <w:b/>
              </w:rPr>
            </w:r>
          </w:p>
        </w:tc>
        <w:tc>
          <w:tcPr>
            <w:tcW w:w="1926" w:type="dxa"/>
            <w:tcBorders/>
          </w:tcPr>
          <w:p>
            <w:pPr>
              <w:pStyle w:val="Normal"/>
              <w:widowControl w:val="false"/>
              <w:suppressAutoHyphens w:val="true"/>
              <w:spacing w:lineRule="auto" w:line="240" w:before="0" w:after="0"/>
              <w:jc w:val="center"/>
              <w:rPr>
                <w:b/>
                <w:b/>
              </w:rPr>
            </w:pPr>
            <w:r>
              <w:rPr>
                <w:b/>
              </w:rPr>
            </w:r>
          </w:p>
        </w:tc>
      </w:tr>
      <w:tr>
        <w:trPr/>
        <w:tc>
          <w:tcPr>
            <w:tcW w:w="1925"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t>Clay content [%]</w:t>
            </w:r>
          </w:p>
        </w:tc>
        <w:tc>
          <w:tcPr>
            <w:tcW w:w="1926" w:type="dxa"/>
            <w:tcBorders/>
          </w:tcPr>
          <w:p>
            <w:pPr>
              <w:pStyle w:val="Normal"/>
              <w:widowControl w:val="false"/>
              <w:suppressAutoHyphens w:val="true"/>
              <w:spacing w:lineRule="auto" w:line="240" w:before="0" w:after="0"/>
              <w:jc w:val="center"/>
              <w:rPr>
                <w:b/>
                <w:b/>
              </w:rPr>
            </w:pPr>
            <w:r>
              <w:rPr>
                <w:rFonts w:eastAsia="Calibri" w:cs=""/>
                <w:kern w:val="0"/>
                <w:sz w:val="22"/>
                <w:szCs w:val="22"/>
                <w:lang w:eastAsia="en-US" w:bidi="ar-SA"/>
              </w:rPr>
              <w:t>Clay content [%]</w:t>
            </w:r>
          </w:p>
        </w:tc>
        <w:tc>
          <w:tcPr>
            <w:tcW w:w="1925" w:type="dxa"/>
            <w:tcBorders/>
          </w:tcPr>
          <w:p>
            <w:pPr>
              <w:pStyle w:val="Normal"/>
              <w:widowControl w:val="false"/>
              <w:suppressAutoHyphens w:val="true"/>
              <w:spacing w:lineRule="auto" w:line="240" w:before="0" w:after="0"/>
              <w:jc w:val="center"/>
              <w:rPr>
                <w:b/>
                <w:b/>
              </w:rPr>
            </w:pPr>
            <w:r>
              <w:rPr>
                <w:rFonts w:eastAsia="Calibri" w:cs=""/>
                <w:kern w:val="0"/>
                <w:sz w:val="22"/>
                <w:szCs w:val="22"/>
                <w:lang w:eastAsia="en-US" w:bidi="ar-SA"/>
              </w:rPr>
              <w:t>Clay content [%]</w:t>
            </w:r>
          </w:p>
        </w:tc>
        <w:tc>
          <w:tcPr>
            <w:tcW w:w="1926" w:type="dxa"/>
            <w:tcBorders/>
          </w:tcPr>
          <w:p>
            <w:pPr>
              <w:pStyle w:val="Normal"/>
              <w:widowControl w:val="false"/>
              <w:suppressAutoHyphens w:val="true"/>
              <w:spacing w:lineRule="auto" w:line="240" w:before="0" w:after="0"/>
              <w:jc w:val="center"/>
              <w:rPr>
                <w:b/>
                <w:b/>
              </w:rPr>
            </w:pPr>
            <w:r>
              <w:rPr>
                <w:b/>
              </w:rPr>
            </w:r>
          </w:p>
        </w:tc>
        <w:tc>
          <w:tcPr>
            <w:tcW w:w="1926" w:type="dxa"/>
            <w:tcBorders/>
          </w:tcPr>
          <w:p>
            <w:pPr>
              <w:pStyle w:val="Normal"/>
              <w:widowControl w:val="false"/>
              <w:suppressAutoHyphens w:val="true"/>
              <w:spacing w:lineRule="auto" w:line="240" w:before="0" w:after="0"/>
              <w:jc w:val="center"/>
              <w:rPr>
                <w:b/>
                <w:b/>
              </w:rPr>
            </w:pPr>
            <w:r>
              <w:rPr>
                <w:b/>
              </w:rPr>
            </w:r>
          </w:p>
        </w:tc>
      </w:tr>
      <w:tr>
        <w:trPr/>
        <w:tc>
          <w:tcPr>
            <w:tcW w:w="1925"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t>Gravel content [%]</w:t>
            </w:r>
          </w:p>
        </w:tc>
        <w:tc>
          <w:tcPr>
            <w:tcW w:w="1926"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r>
          </w:p>
        </w:tc>
        <w:tc>
          <w:tcPr>
            <w:tcW w:w="1925"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r>
          </w:p>
        </w:tc>
        <w:tc>
          <w:tcPr>
            <w:tcW w:w="1926"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r>
          </w:p>
        </w:tc>
        <w:tc>
          <w:tcPr>
            <w:tcW w:w="1926"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r>
          </w:p>
        </w:tc>
      </w:tr>
      <w:tr>
        <w:trPr/>
        <w:tc>
          <w:tcPr>
            <w:tcW w:w="1925"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t>Structure class</w:t>
            </w:r>
          </w:p>
        </w:tc>
        <w:tc>
          <w:tcPr>
            <w:tcW w:w="1926"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r>
          </w:p>
        </w:tc>
        <w:tc>
          <w:tcPr>
            <w:tcW w:w="1925"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r>
          </w:p>
        </w:tc>
        <w:tc>
          <w:tcPr>
            <w:tcW w:w="1926"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r>
          </w:p>
        </w:tc>
        <w:tc>
          <w:tcPr>
            <w:tcW w:w="1926"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r>
          </w:p>
        </w:tc>
      </w:tr>
      <w:tr>
        <w:trPr/>
        <w:tc>
          <w:tcPr>
            <w:tcW w:w="1925"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t>Organic matter content [%]</w:t>
            </w:r>
          </w:p>
        </w:tc>
        <w:tc>
          <w:tcPr>
            <w:tcW w:w="1926"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r>
          </w:p>
        </w:tc>
        <w:tc>
          <w:tcPr>
            <w:tcW w:w="1925"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r>
          </w:p>
        </w:tc>
        <w:tc>
          <w:tcPr>
            <w:tcW w:w="1926"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r>
          </w:p>
        </w:tc>
        <w:tc>
          <w:tcPr>
            <w:tcW w:w="1926"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r>
          </w:p>
        </w:tc>
      </w:tr>
      <w:tr>
        <w:trPr/>
        <w:tc>
          <w:tcPr>
            <w:tcW w:w="1925"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r>
          </w:p>
        </w:tc>
        <w:tc>
          <w:tcPr>
            <w:tcW w:w="1926"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r>
          </w:p>
        </w:tc>
        <w:tc>
          <w:tcPr>
            <w:tcW w:w="1925"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t>Humus content [%]</w:t>
            </w:r>
          </w:p>
        </w:tc>
        <w:tc>
          <w:tcPr>
            <w:tcW w:w="1926"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r>
          </w:p>
        </w:tc>
        <w:tc>
          <w:tcPr>
            <w:tcW w:w="1926"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r>
          </w:p>
        </w:tc>
      </w:tr>
      <w:tr>
        <w:trPr/>
        <w:tc>
          <w:tcPr>
            <w:tcW w:w="1925"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r>
          </w:p>
        </w:tc>
        <w:tc>
          <w:tcPr>
            <w:tcW w:w="1926"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r>
          </w:p>
        </w:tc>
        <w:tc>
          <w:tcPr>
            <w:tcW w:w="1925"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t xml:space="preserve">pH </w:t>
            </w:r>
          </w:p>
        </w:tc>
        <w:tc>
          <w:tcPr>
            <w:tcW w:w="1926"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r>
          </w:p>
        </w:tc>
        <w:tc>
          <w:tcPr>
            <w:tcW w:w="1926"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r>
          </w:p>
        </w:tc>
      </w:tr>
      <w:tr>
        <w:trPr/>
        <w:tc>
          <w:tcPr>
            <w:tcW w:w="1925"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t>Annual precipitation</w:t>
            </w:r>
          </w:p>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t>[mm y</w:t>
            </w:r>
            <w:r>
              <w:rPr>
                <w:rFonts w:eastAsia="Calibri" w:cs=""/>
                <w:kern w:val="0"/>
                <w:sz w:val="22"/>
                <w:szCs w:val="22"/>
                <w:vertAlign w:val="superscript"/>
                <w:lang w:eastAsia="en-US" w:bidi="ar-SA"/>
              </w:rPr>
              <w:t>-1</w:t>
            </w:r>
            <w:r>
              <w:rPr>
                <w:rFonts w:eastAsia="Calibri" w:cs=""/>
                <w:kern w:val="0"/>
                <w:sz w:val="22"/>
                <w:szCs w:val="22"/>
                <w:lang w:eastAsia="en-US" w:bidi="ar-SA"/>
              </w:rPr>
              <w:t>]</w:t>
            </w:r>
          </w:p>
        </w:tc>
        <w:tc>
          <w:tcPr>
            <w:tcW w:w="1926"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r>
          </w:p>
        </w:tc>
        <w:tc>
          <w:tcPr>
            <w:tcW w:w="1925"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r>
          </w:p>
        </w:tc>
        <w:tc>
          <w:tcPr>
            <w:tcW w:w="1926"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t>Annual precipitation</w:t>
            </w:r>
          </w:p>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t>[mm y</w:t>
            </w:r>
            <w:r>
              <w:rPr>
                <w:rFonts w:eastAsia="Calibri" w:cs=""/>
                <w:kern w:val="0"/>
                <w:sz w:val="22"/>
                <w:szCs w:val="22"/>
                <w:vertAlign w:val="superscript"/>
                <w:lang w:eastAsia="en-US" w:bidi="ar-SA"/>
              </w:rPr>
              <w:t>-1</w:t>
            </w:r>
            <w:r>
              <w:rPr>
                <w:rFonts w:eastAsia="Calibri" w:cs=""/>
                <w:kern w:val="0"/>
                <w:sz w:val="22"/>
                <w:szCs w:val="22"/>
                <w:lang w:eastAsia="en-US" w:bidi="ar-SA"/>
              </w:rPr>
              <w:t>]</w:t>
            </w:r>
          </w:p>
        </w:tc>
        <w:tc>
          <w:tcPr>
            <w:tcW w:w="1926"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r>
          </w:p>
        </w:tc>
      </w:tr>
      <w:tr>
        <w:trPr/>
        <w:tc>
          <w:tcPr>
            <w:tcW w:w="1925"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t>Annual wet days</w:t>
            </w:r>
          </w:p>
        </w:tc>
        <w:tc>
          <w:tcPr>
            <w:tcW w:w="1926"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r>
          </w:p>
        </w:tc>
        <w:tc>
          <w:tcPr>
            <w:tcW w:w="1925"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r>
          </w:p>
        </w:tc>
        <w:tc>
          <w:tcPr>
            <w:tcW w:w="1926"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r>
          </w:p>
        </w:tc>
        <w:tc>
          <w:tcPr>
            <w:tcW w:w="1926"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r>
          </w:p>
        </w:tc>
      </w:tr>
      <w:tr>
        <w:trPr/>
        <w:tc>
          <w:tcPr>
            <w:tcW w:w="1925"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r>
          </w:p>
        </w:tc>
        <w:tc>
          <w:tcPr>
            <w:tcW w:w="1926"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r>
          </w:p>
        </w:tc>
        <w:tc>
          <w:tcPr>
            <w:tcW w:w="1925"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r>
          </w:p>
        </w:tc>
        <w:tc>
          <w:tcPr>
            <w:tcW w:w="1926"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t>Annual Evapotranspiration [mm y</w:t>
            </w:r>
            <w:r>
              <w:rPr>
                <w:rFonts w:eastAsia="Calibri" w:cs=""/>
                <w:kern w:val="0"/>
                <w:sz w:val="22"/>
                <w:szCs w:val="22"/>
                <w:vertAlign w:val="superscript"/>
                <w:lang w:eastAsia="en-US" w:bidi="ar-SA"/>
              </w:rPr>
              <w:t>-1</w:t>
            </w:r>
            <w:r>
              <w:rPr>
                <w:rFonts w:eastAsia="Calibri" w:cs=""/>
                <w:kern w:val="0"/>
                <w:sz w:val="22"/>
                <w:szCs w:val="22"/>
                <w:lang w:eastAsia="en-US" w:bidi="ar-SA"/>
              </w:rPr>
              <w:t>]</w:t>
            </w:r>
          </w:p>
        </w:tc>
        <w:tc>
          <w:tcPr>
            <w:tcW w:w="1926"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r>
          </w:p>
        </w:tc>
      </w:tr>
      <w:tr>
        <w:trPr/>
        <w:tc>
          <w:tcPr>
            <w:tcW w:w="1925"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r>
          </w:p>
        </w:tc>
        <w:tc>
          <w:tcPr>
            <w:tcW w:w="1926"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t>Groundwater distance [m]</w:t>
            </w:r>
          </w:p>
        </w:tc>
        <w:tc>
          <w:tcPr>
            <w:tcW w:w="1925"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r>
          </w:p>
        </w:tc>
        <w:tc>
          <w:tcPr>
            <w:tcW w:w="1926"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r>
          </w:p>
        </w:tc>
        <w:tc>
          <w:tcPr>
            <w:tcW w:w="1926"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r>
          </w:p>
        </w:tc>
      </w:tr>
      <w:tr>
        <w:trPr/>
        <w:tc>
          <w:tcPr>
            <w:tcW w:w="1925"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t>Mean elevation [m]</w:t>
            </w:r>
          </w:p>
        </w:tc>
        <w:tc>
          <w:tcPr>
            <w:tcW w:w="1926"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r>
          </w:p>
        </w:tc>
        <w:tc>
          <w:tcPr>
            <w:tcW w:w="1925"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r>
          </w:p>
        </w:tc>
        <w:tc>
          <w:tcPr>
            <w:tcW w:w="1926"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r>
          </w:p>
        </w:tc>
        <w:tc>
          <w:tcPr>
            <w:tcW w:w="1926"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r>
          </w:p>
        </w:tc>
      </w:tr>
      <w:tr>
        <w:trPr/>
        <w:tc>
          <w:tcPr>
            <w:tcW w:w="1925"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t>Slope [%]</w:t>
            </w:r>
          </w:p>
        </w:tc>
        <w:tc>
          <w:tcPr>
            <w:tcW w:w="1926"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r>
          </w:p>
        </w:tc>
        <w:tc>
          <w:tcPr>
            <w:tcW w:w="1925"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r>
          </w:p>
        </w:tc>
        <w:tc>
          <w:tcPr>
            <w:tcW w:w="1926"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t>Slope [%]</w:t>
            </w:r>
          </w:p>
        </w:tc>
        <w:tc>
          <w:tcPr>
            <w:tcW w:w="1926"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r>
          </w:p>
        </w:tc>
      </w:tr>
      <w:tr>
        <w:trPr/>
        <w:tc>
          <w:tcPr>
            <w:tcW w:w="1925"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t>C-factor</w:t>
            </w:r>
          </w:p>
        </w:tc>
        <w:tc>
          <w:tcPr>
            <w:tcW w:w="1926"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r>
          </w:p>
        </w:tc>
        <w:tc>
          <w:tcPr>
            <w:tcW w:w="1925"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r>
          </w:p>
        </w:tc>
        <w:tc>
          <w:tcPr>
            <w:tcW w:w="1926"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r>
          </w:p>
        </w:tc>
        <w:tc>
          <w:tcPr>
            <w:tcW w:w="1926"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r>
          </w:p>
        </w:tc>
      </w:tr>
      <w:tr>
        <w:trPr/>
        <w:tc>
          <w:tcPr>
            <w:tcW w:w="1925"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t>P-factor</w:t>
            </w:r>
          </w:p>
        </w:tc>
        <w:tc>
          <w:tcPr>
            <w:tcW w:w="1926"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r>
          </w:p>
        </w:tc>
        <w:tc>
          <w:tcPr>
            <w:tcW w:w="1925"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r>
          </w:p>
        </w:tc>
        <w:tc>
          <w:tcPr>
            <w:tcW w:w="1926"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r>
          </w:p>
        </w:tc>
        <w:tc>
          <w:tcPr>
            <w:tcW w:w="1926"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r>
            <w:bookmarkStart w:id="0" w:name="_Hlk40293004"/>
            <w:bookmarkStart w:id="1" w:name="_Hlk40293004"/>
            <w:bookmarkEnd w:id="1"/>
          </w:p>
        </w:tc>
      </w:tr>
      <w:tr>
        <w:trPr/>
        <w:tc>
          <w:tcPr>
            <w:tcW w:w="1925"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r>
          </w:p>
        </w:tc>
        <w:tc>
          <w:tcPr>
            <w:tcW w:w="1926"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t>Land use type</w:t>
            </w:r>
          </w:p>
        </w:tc>
        <w:tc>
          <w:tcPr>
            <w:tcW w:w="1925"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r>
          </w:p>
        </w:tc>
        <w:tc>
          <w:tcPr>
            <w:tcW w:w="1926"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t>Land use type</w:t>
            </w:r>
          </w:p>
        </w:tc>
        <w:tc>
          <w:tcPr>
            <w:tcW w:w="1926"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t>Land use type</w:t>
            </w:r>
            <w:bookmarkStart w:id="2" w:name="_Hlk40292852"/>
            <w:bookmarkEnd w:id="2"/>
          </w:p>
        </w:tc>
      </w:tr>
    </w:tbl>
    <w:p>
      <w:pPr>
        <w:pStyle w:val="Normal"/>
        <w:rPr/>
      </w:pPr>
      <w:r>
        <w:rPr/>
      </w:r>
    </w:p>
    <w:p>
      <w:pPr>
        <w:pStyle w:val="Normal"/>
        <w:rPr/>
      </w:pPr>
      <w:r>
        <w:rPr/>
        <w:t>Table 2S reports the input values for the calculation of the 5 soil quality indicators in the reference situation (the Mesola wood) and the studied land use type (multiple-crop).</w:t>
      </w:r>
    </w:p>
    <w:p>
      <w:pPr>
        <w:pStyle w:val="Caption1"/>
        <w:keepNext w:val="true"/>
        <w:rPr/>
      </w:pPr>
      <w:r>
        <w:rPr/>
        <w:t xml:space="preserve">Table </w:t>
      </w:r>
      <w:r>
        <w:rPr/>
        <w:fldChar w:fldCharType="begin"/>
      </w:r>
      <w:r>
        <w:rPr/>
        <w:instrText> SEQ Table \* ARABIC </w:instrText>
      </w:r>
      <w:r>
        <w:rPr/>
        <w:fldChar w:fldCharType="separate"/>
      </w:r>
      <w:r>
        <w:rPr/>
        <w:t>2</w:t>
      </w:r>
      <w:r>
        <w:rPr/>
        <w:fldChar w:fldCharType="end"/>
      </w:r>
      <w:r>
        <w:rPr/>
        <w:t>S - Input values for the Mesola wood and the multiple-crop soil</w:t>
      </w:r>
    </w:p>
    <w:tbl>
      <w:tblPr>
        <w:tblStyle w:val="Grigliatabella"/>
        <w:tblW w:w="5775"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1925"/>
        <w:gridCol w:w="1925"/>
        <w:gridCol w:w="1925"/>
      </w:tblGrid>
      <w:tr>
        <w:trPr/>
        <w:tc>
          <w:tcPr>
            <w:tcW w:w="1925"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r>
          </w:p>
        </w:tc>
        <w:tc>
          <w:tcPr>
            <w:tcW w:w="1925"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t>Mesola wood</w:t>
            </w:r>
          </w:p>
        </w:tc>
        <w:tc>
          <w:tcPr>
            <w:tcW w:w="1925"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t>Multiple-crop</w:t>
            </w:r>
          </w:p>
        </w:tc>
      </w:tr>
      <w:tr>
        <w:trPr/>
        <w:tc>
          <w:tcPr>
            <w:tcW w:w="1925"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t>Very fine sand content [%]</w:t>
            </w:r>
          </w:p>
        </w:tc>
        <w:tc>
          <w:tcPr>
            <w:tcW w:w="1925"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t>5,81</w:t>
            </w:r>
          </w:p>
        </w:tc>
        <w:tc>
          <w:tcPr>
            <w:tcW w:w="1925"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t>0,5</w:t>
            </w:r>
          </w:p>
        </w:tc>
      </w:tr>
      <w:tr>
        <w:trPr/>
        <w:tc>
          <w:tcPr>
            <w:tcW w:w="1925"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t>Silt content [%]</w:t>
            </w:r>
          </w:p>
        </w:tc>
        <w:tc>
          <w:tcPr>
            <w:tcW w:w="1925"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t>10</w:t>
            </w:r>
          </w:p>
        </w:tc>
        <w:tc>
          <w:tcPr>
            <w:tcW w:w="1925"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t>40</w:t>
            </w:r>
          </w:p>
        </w:tc>
      </w:tr>
      <w:tr>
        <w:trPr/>
        <w:tc>
          <w:tcPr>
            <w:tcW w:w="1925"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t>Clay content [%]</w:t>
            </w:r>
          </w:p>
        </w:tc>
        <w:tc>
          <w:tcPr>
            <w:tcW w:w="1925"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t>5</w:t>
            </w:r>
          </w:p>
        </w:tc>
        <w:tc>
          <w:tcPr>
            <w:tcW w:w="1925"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t>26</w:t>
            </w:r>
          </w:p>
        </w:tc>
      </w:tr>
      <w:tr>
        <w:trPr/>
        <w:tc>
          <w:tcPr>
            <w:tcW w:w="1925"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t>Gravel content [%]</w:t>
            </w:r>
          </w:p>
        </w:tc>
        <w:tc>
          <w:tcPr>
            <w:tcW w:w="1925"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t>1</w:t>
            </w:r>
          </w:p>
        </w:tc>
        <w:tc>
          <w:tcPr>
            <w:tcW w:w="1925"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t>6</w:t>
            </w:r>
          </w:p>
        </w:tc>
      </w:tr>
      <w:tr>
        <w:trPr/>
        <w:tc>
          <w:tcPr>
            <w:tcW w:w="1925"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t>Structure class</w:t>
            </w:r>
          </w:p>
        </w:tc>
        <w:tc>
          <w:tcPr>
            <w:tcW w:w="1925"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t>2</w:t>
            </w:r>
          </w:p>
        </w:tc>
        <w:tc>
          <w:tcPr>
            <w:tcW w:w="1925"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t>3</w:t>
            </w:r>
          </w:p>
        </w:tc>
      </w:tr>
      <w:tr>
        <w:trPr/>
        <w:tc>
          <w:tcPr>
            <w:tcW w:w="1925"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t>Organic matter content [%]</w:t>
            </w:r>
          </w:p>
        </w:tc>
        <w:tc>
          <w:tcPr>
            <w:tcW w:w="1925"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t>1,07</w:t>
            </w:r>
          </w:p>
        </w:tc>
        <w:tc>
          <w:tcPr>
            <w:tcW w:w="1925"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t>1.34</w:t>
            </w:r>
          </w:p>
        </w:tc>
      </w:tr>
      <w:tr>
        <w:trPr/>
        <w:tc>
          <w:tcPr>
            <w:tcW w:w="1925"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t>Humus content [%]</w:t>
            </w:r>
          </w:p>
        </w:tc>
        <w:tc>
          <w:tcPr>
            <w:tcW w:w="1925"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t>0,02</w:t>
            </w:r>
          </w:p>
        </w:tc>
        <w:tc>
          <w:tcPr>
            <w:tcW w:w="1925"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t>0,02</w:t>
            </w:r>
          </w:p>
        </w:tc>
      </w:tr>
      <w:tr>
        <w:trPr/>
        <w:tc>
          <w:tcPr>
            <w:tcW w:w="1925"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t>pH</w:t>
            </w:r>
          </w:p>
        </w:tc>
        <w:tc>
          <w:tcPr>
            <w:tcW w:w="1925"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t>8,17</w:t>
            </w:r>
          </w:p>
        </w:tc>
        <w:tc>
          <w:tcPr>
            <w:tcW w:w="1925"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t>8,02</w:t>
            </w:r>
          </w:p>
        </w:tc>
      </w:tr>
      <w:tr>
        <w:trPr/>
        <w:tc>
          <w:tcPr>
            <w:tcW w:w="1925"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t>Annual precipitation</w:t>
            </w:r>
          </w:p>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t>[mm y</w:t>
            </w:r>
            <w:r>
              <w:rPr>
                <w:rFonts w:eastAsia="Calibri" w:cs=""/>
                <w:kern w:val="0"/>
                <w:sz w:val="22"/>
                <w:szCs w:val="22"/>
                <w:vertAlign w:val="superscript"/>
                <w:lang w:eastAsia="en-US" w:bidi="ar-SA"/>
              </w:rPr>
              <w:t>-1</w:t>
            </w:r>
            <w:r>
              <w:rPr>
                <w:rFonts w:eastAsia="Calibri" w:cs=""/>
                <w:kern w:val="0"/>
                <w:sz w:val="22"/>
                <w:szCs w:val="22"/>
                <w:lang w:eastAsia="en-US" w:bidi="ar-SA"/>
              </w:rPr>
              <w:t>]</w:t>
            </w:r>
          </w:p>
        </w:tc>
        <w:tc>
          <w:tcPr>
            <w:tcW w:w="1925"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t>901,6</w:t>
            </w:r>
          </w:p>
        </w:tc>
        <w:tc>
          <w:tcPr>
            <w:tcW w:w="1925"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t>655,2</w:t>
            </w:r>
          </w:p>
        </w:tc>
      </w:tr>
      <w:tr>
        <w:trPr/>
        <w:tc>
          <w:tcPr>
            <w:tcW w:w="1925"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t>Annual wet days</w:t>
            </w:r>
          </w:p>
        </w:tc>
        <w:tc>
          <w:tcPr>
            <w:tcW w:w="1925"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t>87</w:t>
            </w:r>
          </w:p>
        </w:tc>
        <w:tc>
          <w:tcPr>
            <w:tcW w:w="1925"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t>77</w:t>
            </w:r>
          </w:p>
        </w:tc>
      </w:tr>
      <w:tr>
        <w:trPr/>
        <w:tc>
          <w:tcPr>
            <w:tcW w:w="1925"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t>Annual Evapotranspiration [mm y</w:t>
            </w:r>
            <w:r>
              <w:rPr>
                <w:rFonts w:eastAsia="Calibri" w:cs=""/>
                <w:kern w:val="0"/>
                <w:sz w:val="22"/>
                <w:szCs w:val="22"/>
                <w:vertAlign w:val="superscript"/>
                <w:lang w:eastAsia="en-US" w:bidi="ar-SA"/>
              </w:rPr>
              <w:t>-1</w:t>
            </w:r>
            <w:r>
              <w:rPr>
                <w:rFonts w:eastAsia="Calibri" w:cs=""/>
                <w:kern w:val="0"/>
                <w:sz w:val="22"/>
                <w:szCs w:val="22"/>
                <w:lang w:eastAsia="en-US" w:bidi="ar-SA"/>
              </w:rPr>
              <w:t>]</w:t>
            </w:r>
          </w:p>
        </w:tc>
        <w:tc>
          <w:tcPr>
            <w:tcW w:w="1925"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t>665,3</w:t>
            </w:r>
          </w:p>
        </w:tc>
        <w:tc>
          <w:tcPr>
            <w:tcW w:w="1925"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t>642,1</w:t>
            </w:r>
          </w:p>
        </w:tc>
      </w:tr>
      <w:tr>
        <w:trPr/>
        <w:tc>
          <w:tcPr>
            <w:tcW w:w="1925"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t>Groundwater distance [m]</w:t>
            </w:r>
          </w:p>
        </w:tc>
        <w:tc>
          <w:tcPr>
            <w:tcW w:w="1925"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t>1,5</w:t>
            </w:r>
          </w:p>
        </w:tc>
        <w:tc>
          <w:tcPr>
            <w:tcW w:w="1925"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t>2,4</w:t>
            </w:r>
          </w:p>
        </w:tc>
      </w:tr>
      <w:tr>
        <w:trPr/>
        <w:tc>
          <w:tcPr>
            <w:tcW w:w="1925"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t>Mean elevation [m]</w:t>
            </w:r>
          </w:p>
        </w:tc>
        <w:tc>
          <w:tcPr>
            <w:tcW w:w="1925"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t>1,34</w:t>
            </w:r>
          </w:p>
        </w:tc>
        <w:tc>
          <w:tcPr>
            <w:tcW w:w="1925"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t>11,13</w:t>
            </w:r>
          </w:p>
        </w:tc>
      </w:tr>
      <w:tr>
        <w:trPr/>
        <w:tc>
          <w:tcPr>
            <w:tcW w:w="1925"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t>Slope [%]</w:t>
            </w:r>
          </w:p>
        </w:tc>
        <w:tc>
          <w:tcPr>
            <w:tcW w:w="1925"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t>0,17</w:t>
            </w:r>
          </w:p>
        </w:tc>
        <w:tc>
          <w:tcPr>
            <w:tcW w:w="1925"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t>0,09</w:t>
            </w:r>
          </w:p>
        </w:tc>
      </w:tr>
      <w:tr>
        <w:trPr/>
        <w:tc>
          <w:tcPr>
            <w:tcW w:w="1925"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t>C-factor</w:t>
            </w:r>
          </w:p>
        </w:tc>
        <w:tc>
          <w:tcPr>
            <w:tcW w:w="1925"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t>0,011</w:t>
            </w:r>
          </w:p>
        </w:tc>
        <w:tc>
          <w:tcPr>
            <w:tcW w:w="1925"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t>0,197</w:t>
            </w:r>
          </w:p>
        </w:tc>
      </w:tr>
      <w:tr>
        <w:trPr/>
        <w:tc>
          <w:tcPr>
            <w:tcW w:w="1925"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t>P-factor</w:t>
            </w:r>
          </w:p>
        </w:tc>
        <w:tc>
          <w:tcPr>
            <w:tcW w:w="1925"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t>0,988</w:t>
            </w:r>
          </w:p>
        </w:tc>
        <w:tc>
          <w:tcPr>
            <w:tcW w:w="1925"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t>0,995</w:t>
            </w:r>
          </w:p>
        </w:tc>
      </w:tr>
      <w:tr>
        <w:trPr/>
        <w:tc>
          <w:tcPr>
            <w:tcW w:w="1925"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t>Land use type</w:t>
            </w:r>
          </w:p>
        </w:tc>
        <w:tc>
          <w:tcPr>
            <w:tcW w:w="1925"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t>Wood: Deciduous woodlands, unspecific</w:t>
            </w:r>
          </w:p>
        </w:tc>
        <w:tc>
          <w:tcPr>
            <w:tcW w:w="1925" w:type="dxa"/>
            <w:tcBorders/>
          </w:tcPr>
          <w:p>
            <w:pPr>
              <w:pStyle w:val="Normal"/>
              <w:widowControl w:val="false"/>
              <w:suppressAutoHyphens w:val="true"/>
              <w:spacing w:lineRule="auto" w:line="240" w:before="0" w:after="0"/>
              <w:jc w:val="center"/>
              <w:rPr>
                <w:rFonts w:ascii="Calibri" w:hAnsi="Calibri" w:eastAsia="Calibri" w:cs=""/>
                <w:kern w:val="0"/>
                <w:sz w:val="22"/>
                <w:szCs w:val="22"/>
                <w:lang w:eastAsia="en-US" w:bidi="ar-SA"/>
              </w:rPr>
            </w:pPr>
            <w:r>
              <w:rPr>
                <w:rFonts w:eastAsia="Calibri" w:cs=""/>
                <w:kern w:val="0"/>
                <w:sz w:val="22"/>
                <w:szCs w:val="22"/>
                <w:lang w:eastAsia="en-US" w:bidi="ar-SA"/>
              </w:rPr>
              <w:t>Farmland (no complete surface vegetation)</w:t>
            </w:r>
          </w:p>
        </w:tc>
      </w:tr>
    </w:tbl>
    <w:p>
      <w:pPr>
        <w:pStyle w:val="Normal"/>
        <w:rPr/>
      </w:pPr>
      <w:r>
        <w:rPr/>
      </w:r>
    </w:p>
    <w:p>
      <w:pPr>
        <w:pStyle w:val="Normal"/>
        <w:rPr/>
      </w:pPr>
      <w:r>
        <w:rPr/>
        <w:t xml:space="preserve">Hereafter a detailed explanation of the calculation processes in LANCA®  is reported.  </w:t>
      </w:r>
    </w:p>
    <w:p>
      <w:pPr>
        <w:pStyle w:val="Heading2"/>
        <w:rPr/>
      </w:pPr>
      <w:r>
        <w:rPr/>
        <w:t>Erosion resistance</w:t>
      </w:r>
    </w:p>
    <w:p>
      <w:pPr>
        <w:pStyle w:val="Normal"/>
        <w:rPr/>
      </w:pPr>
      <w:r>
        <w:rPr/>
        <w:t xml:space="preserve">Soil erosion is the phenomenon of mechanical removal and transport of soil particles by water or wind. Soil erosion represents one of the major environmental threats, mainly caused by agricultural activities that make use of unsustainable farming practices </w:t>
      </w:r>
      <w:r>
        <w:fldChar w:fldCharType="begin"/>
      </w:r>
      <w:r>
        <w:rPr/>
        <w:instrText>ADDIN CSL_CITATION {"citationItems":[{"id":"ITEM-1","itemData":{"DOI":"10.1126/science.267.5201.1117","ISSN":"00368075","abstract":"Soil erosion is a major environmental threat to the sustainability and productive capacity of agriculture. During the last 40 years, nearly one-third of the world's arable land has been lost by erosion and continues to be lost at a rate of more than 10 million hectares per year. With the addition of a quarter of a million people each day, the world population's food demand is increasing at a time when per capita food productivity is beginning to decline.","author":[{"dropping-particle":"","family":"Pimentel","given":"David","non-dropping-particle":"","parse-names":false,"suffix":""},{"dropping-particle":"","family":"Harvey","given":"C.","non-dropping-particle":"","parse-names":false,"suffix":""},{"dropping-particle":"","family":"Resosudarmo","given":"P.","non-dropping-particle":"","parse-names":false,"suffix":""},{"dropping-particle":"","family":"Sinclair","given":"K.","non-dropping-particle":"","parse-names":false,"suffix":""},{"dropping-particle":"","family":"Kurz","given":"D.","non-dropping-particle":"","parse-names":false,"suffix":""},{"dropping-particle":"","family":"McNair","given":"M.","non-dropping-particle":"","parse-names":false,"suffix":""},{"dropping-particle":"","family":"Crist","given":"S.","non-dropping-particle":"","parse-names":false,"suffix":""},{"dropping-particle":"","family":"Shpritz","given":"L.","non-dropping-particle":"","parse-names":false,"suffix":""},{"dropping-particle":"","family":"Fitton","given":"L.","non-dropping-particle":"","parse-names":false,"suffix":""},{"dropping-particle":"","family":"Saffouri","given":"R.","non-dropping-particle":"","parse-names":false,"suffix":""},{"dropping-particle":"","family":"Blair","given":"R.","non-dropping-particle":"","parse-names":false,"suffix":""}],"container-title":"Science","id":"ITEM-1","issue":"5201","issued":{"date-parts":[["1995"]]},"page":"1117-1123","title":"Environmental and economic costs of soil erosion and conservation benefits","type":"article-journal","volume":"267"},"uris":["http://www.mendeley.com/documents/?uuid=13355ddb-46de-4a87-b005-0ebd4f452a2b"]}],"mendeley":{"formattedCitation":"(Pimentel et al., 1995)","plainTextFormattedCitation":"(Pimentel et al., 1995)","previouslyFormattedCitation":"(Pimentel et al., 1995)"},"properties":{"noteIndex":0},"schema":"https://github.com/citation-style-language/schema/raw/master/csl-citation.json"}</w:instrText>
      </w:r>
      <w:r>
        <w:rPr/>
      </w:r>
      <w:r>
        <w:rPr/>
        <w:fldChar w:fldCharType="separate"/>
      </w:r>
      <w:r>
        <w:rPr/>
        <w:t>(Pimentel et al., 1995)</w:t>
      </w:r>
      <w:r>
        <w:rPr/>
      </w:r>
      <w:r>
        <w:rPr/>
        <w:fldChar w:fldCharType="end"/>
      </w:r>
      <w:r>
        <w:rPr/>
        <w:t>. Considering the several environmental risks linked to erosion, such as nutrient cycles alteration and productivity loss, LANCA® recognized erosion resistance an important soil function. Erosion resistance depends on many aspects, like climate, morphology, pedologic features, vegetation cover.</w:t>
      </w:r>
    </w:p>
    <w:p>
      <w:pPr>
        <w:pStyle w:val="Normal"/>
        <w:rPr/>
      </w:pPr>
      <w:r>
        <w:rPr/>
        <w:t>Erosion resistance is measured by the amount of annual water-eroded soil per hectare. It is quantified by the Revised Universal Soil Loss Equation:</w:t>
      </w:r>
    </w:p>
    <w:p>
      <w:pPr>
        <w:pStyle w:val="Caption1"/>
        <w:rPr/>
      </w:pPr>
      <w:r>
        <w:rPr/>
        <w:t>Equation 1S</w:t>
        <w:tab/>
      </w:r>
    </w:p>
    <w:p>
      <w:pPr>
        <w:pStyle w:val="Caption1"/>
        <w:jc w:val="center"/>
        <w:rPr>
          <w:rFonts w:eastAsia="" w:eastAsiaTheme="minorEastAsia"/>
          <w:sz w:val="20"/>
          <w:szCs w:val="20"/>
        </w:rPr>
      </w:pPr>
      <w:r>
        <w:rPr/>
      </w:r>
      <m:oMathPara xmlns:m="http://schemas.openxmlformats.org/officeDocument/2006/math">
        <m:oMathParaPr>
          <m:jc m:val="center"/>
        </m:oMathParaPr>
        <m:oMath>
          <m:r>
            <w:rPr>
              <w:rFonts w:ascii="Cambria Math" w:hAnsi="Cambria Math"/>
            </w:rPr>
            <m:t xml:space="preserve">ER</m:t>
          </m:r>
          <m:r>
            <w:rPr>
              <w:rFonts w:ascii="Cambria Math" w:hAnsi="Cambria Math"/>
            </w:rPr>
            <m:t xml:space="preserve">=</m:t>
          </m:r>
          <m:r>
            <w:rPr>
              <w:rFonts w:ascii="Cambria Math" w:hAnsi="Cambria Math"/>
            </w:rPr>
            <m:t xml:space="preserve">R</m:t>
          </m:r>
          <m:r>
            <w:rPr>
              <w:rFonts w:ascii="Cambria Math" w:hAnsi="Cambria Math"/>
            </w:rPr>
            <m:t xml:space="preserve">∗</m:t>
          </m:r>
          <m:r>
            <w:rPr>
              <w:rFonts w:ascii="Cambria Math" w:hAnsi="Cambria Math"/>
            </w:rPr>
            <m:t xml:space="preserve">K</m:t>
          </m:r>
          <m:r>
            <w:rPr>
              <w:rFonts w:ascii="Cambria Math" w:hAnsi="Cambria Math"/>
            </w:rPr>
            <m:t xml:space="preserve">∗</m:t>
          </m:r>
          <m:r>
            <w:rPr>
              <w:rFonts w:ascii="Cambria Math" w:hAnsi="Cambria Math"/>
            </w:rPr>
            <m:t xml:space="preserve">LS</m:t>
          </m:r>
          <m:r>
            <w:rPr>
              <w:rFonts w:ascii="Cambria Math" w:hAnsi="Cambria Math"/>
            </w:rPr>
            <m:t xml:space="preserve">∗</m:t>
          </m:r>
          <m:r>
            <w:rPr>
              <w:rFonts w:ascii="Cambria Math" w:hAnsi="Cambria Math"/>
            </w:rPr>
            <m:t xml:space="preserve">C</m:t>
          </m:r>
          <m:r>
            <w:rPr>
              <w:rFonts w:ascii="Cambria Math" w:hAnsi="Cambria Math"/>
            </w:rPr>
            <m:t xml:space="preserve">∗</m:t>
          </m:r>
          <m:r>
            <w:rPr>
              <w:rFonts w:ascii="Cambria Math" w:hAnsi="Cambria Math"/>
            </w:rPr>
            <m:t xml:space="preserve">P</m:t>
          </m:r>
        </m:oMath>
      </m:oMathPara>
    </w:p>
    <w:p>
      <w:pPr>
        <w:pStyle w:val="Normal"/>
        <w:rPr/>
      </w:pPr>
      <w:r>
        <w:rPr/>
        <w:t>where:</w:t>
      </w:r>
    </w:p>
    <w:p>
      <w:pPr>
        <w:pStyle w:val="ListParagraph"/>
        <w:numPr>
          <w:ilvl w:val="0"/>
          <w:numId w:val="4"/>
        </w:numPr>
        <w:rPr/>
      </w:pPr>
      <w:r>
        <w:rPr/>
        <w:t>R = rainfall erosivity factor; it depends on climatic and topographic parameters, identified depending on the climate zone that the studied area belongs to.</w:t>
      </w:r>
    </w:p>
    <w:p>
      <w:pPr>
        <w:pStyle w:val="ListParagraph"/>
        <w:numPr>
          <w:ilvl w:val="0"/>
          <w:numId w:val="4"/>
        </w:numPr>
        <w:rPr/>
      </w:pPr>
      <w:r>
        <w:rPr/>
        <w:t>K = erodibility factor; it depends on pedological parameters.</w:t>
      </w:r>
    </w:p>
    <w:p>
      <w:pPr>
        <w:pStyle w:val="ListParagraph"/>
        <w:numPr>
          <w:ilvl w:val="0"/>
          <w:numId w:val="4"/>
        </w:numPr>
        <w:rPr/>
      </w:pPr>
      <w:r>
        <w:rPr/>
        <w:t>LS = slope length factor; it depends on morphological parameters;</w:t>
      </w:r>
    </w:p>
    <w:p>
      <w:pPr>
        <w:pStyle w:val="ListParagraph"/>
        <w:numPr>
          <w:ilvl w:val="0"/>
          <w:numId w:val="4"/>
        </w:numPr>
        <w:rPr/>
      </w:pPr>
      <w:r>
        <w:rPr/>
        <w:t>C = land cover factor. It depends on land cover and management practices. Its range is 0-1.</w:t>
      </w:r>
    </w:p>
    <w:p>
      <w:pPr>
        <w:pStyle w:val="ListParagraph"/>
        <w:numPr>
          <w:ilvl w:val="0"/>
          <w:numId w:val="4"/>
        </w:numPr>
        <w:rPr/>
      </w:pPr>
      <w:r>
        <w:rPr/>
        <w:t>P = support practice factor. It depends on erosion regulating practices. Its range is 0-1.</w:t>
      </w:r>
    </w:p>
    <w:p>
      <w:pPr>
        <w:pStyle w:val="Normal"/>
        <w:rPr/>
      </w:pPr>
      <w:r>
        <w:rPr/>
        <w:t>The result of equation 1S is [t ha</w:t>
      </w:r>
      <w:r>
        <w:rPr>
          <w:vertAlign w:val="superscript"/>
        </w:rPr>
        <w:t>-1</w:t>
      </w:r>
      <w:r>
        <w:rPr/>
        <w:t xml:space="preserve"> </w:t>
      </w:r>
      <w:r>
        <w:rPr>
          <w:lang w:val="en-GB"/>
        </w:rPr>
        <w:t>a</w:t>
      </w:r>
      <w:r>
        <w:rPr>
          <w:vertAlign w:val="superscript"/>
        </w:rPr>
        <w:t>-1</w:t>
      </w:r>
      <w:r>
        <w:rPr/>
        <w:t>]. A 0,1 factor is applied to convert in [kg m</w:t>
      </w:r>
      <w:r>
        <w:rPr>
          <w:vertAlign w:val="superscript"/>
        </w:rPr>
        <w:t>-2</w:t>
      </w:r>
      <w:r>
        <w:rPr/>
        <w:t xml:space="preserve"> </w:t>
      </w:r>
      <w:r>
        <w:rPr>
          <w:lang w:val="en-GB"/>
        </w:rPr>
        <w:t>a</w:t>
      </w:r>
      <w:r>
        <w:rPr>
          <w:vertAlign w:val="superscript"/>
        </w:rPr>
        <w:t>-1</w:t>
      </w:r>
      <w:r>
        <w:rPr/>
        <w:t>].</w:t>
      </w:r>
    </w:p>
    <w:p>
      <w:pPr>
        <w:pStyle w:val="Heading2"/>
        <w:rPr/>
      </w:pPr>
      <w:r>
        <w:rPr/>
        <w:t>Mechanical filtration</w:t>
      </w:r>
    </w:p>
    <w:p>
      <w:pPr>
        <w:pStyle w:val="Normal"/>
        <w:rPr/>
      </w:pPr>
      <w:r>
        <w:rPr/>
        <w:t>Mechanical filtration represents the soil ability to filter water and mechanically retain suspended material. Mechanical filtration is linked to the groundwater purification function of the soil from pollutants. Mechanical filtration capacity is measured by permeability, i.e. the amount of water passing through the soil in a given time unit.</w:t>
      </w:r>
    </w:p>
    <w:p>
      <w:pPr>
        <w:pStyle w:val="Normal"/>
        <w:rPr/>
      </w:pPr>
      <w:r>
        <w:rPr/>
        <w:t xml:space="preserve">The LANCA method  </w:t>
      </w:r>
      <w:r>
        <w:fldChar w:fldCharType="begin"/>
      </w:r>
      <w:r>
        <w:rPr/>
        <w:instrText>ADDIN CSL_CITATION {"citationItems":[{"id":"ITEM-1","itemData":{"ISBN":"978-3-8396-0953-8","ISSN":"978-3-8396-0953-8","abstract":"Bos, U., Horn, R., Beck, T., Lindner, J.P., Fischer, M., 2016. LANCA ® Characterization Factors for Life Cycle Impact Assessment. Fraunhofer Verlag.","author":[{"dropping-particle":"","family":"Bos","given":"Ulrike","non-dropping-particle":"","parse-names":false,"suffix":""},{"dropping-particle":"","family":"Horn","given":"Rafael","non-dropping-particle":"","parse-names":false,"suffix":""},{"dropping-particle":"","family":"Beck","given":"Tabea","non-dropping-particle":"","parse-names":false,"suffix":""},{"dropping-particle":"","family":"Lindner","given":"J.-P.","non-dropping-particle":"","parse-names":false,"suffix":""},{"dropping-particle":"","family":"Fisher","given":"M.","non-dropping-particle":"","parse-names":false,"suffix":""}],"id":"ITEM-1","issued":{"date-parts":[["2016"]]},"title":"LANCA ® Characterization Factors for Life Cycle Impact Assessment - Version 2.0","type":"article-journal"},"uris":["http://www.mendeley.com/documents/?uuid=e37476ce-5c32-4542-8d11-a096205b8cd1"]}],"mendeley":{"formattedCitation":"(Bos et al., 2016)","plainTextFormattedCitation":"(Bos et al., 2016)","previouslyFormattedCitation":"(Bos et al., 2016)"},"properties":{"noteIndex":0},"schema":"https://github.com/citation-style-language/schema/raw/master/csl-citation.json"}</w:instrText>
      </w:r>
      <w:r>
        <w:rPr/>
      </w:r>
      <w:r>
        <w:rPr/>
        <w:fldChar w:fldCharType="separate"/>
      </w:r>
      <w:r>
        <w:rPr/>
        <w:t>(Bos et al., 2016)</w:t>
      </w:r>
      <w:r>
        <w:rPr/>
      </w:r>
      <w:r>
        <w:rPr/>
        <w:fldChar w:fldCharType="end"/>
      </w:r>
      <w:r>
        <w:rPr/>
        <w:t xml:space="preserve"> takes this calculation process from the LANCA first version (</w:t>
      </w:r>
      <w:r>
        <w:fldChar w:fldCharType="begin"/>
      </w:r>
      <w:r>
        <w:rPr/>
        <w:instrText>ADDIN CSL_CITATION {"citationItems":[{"id":"ITEM-1","itemData":{"ISBN":"9783839601709","abstract":"LANCA","author":[{"dropping-particle":"","family":"Beck","given":"Tabea","non-dropping-particle":"","parse-names":false,"suffix":""},{"dropping-particle":"","family":"Bos","given":"Ulrike","non-dropping-particle":"","parse-names":false,"suffix":""},{"dropping-particle":"","family":"Wittstock","given":"Bastian","non-dropping-particle":"","parse-names":false,"suffix":""},{"dropping-particle":"","family":"Baitz","given":"Margin","non-dropping-particle":"","parse-names":false,"suffix":""},{"dropping-particle":"","family":"Fischer","given":"Matthias","non-dropping-particle":"","parse-names":false,"suffix":""},{"dropping-particle":"","family":"Seldbauer","given":"Klaus","non-dropping-particle":"","parse-names":false,"suffix":""}],"container-title":"Cycle","id":"ITEM-1","issued":{"date-parts":[["2010"]]},"number-of-pages":"67","title":"Land Use Indicator Value Calculation in Life Cycle Assessment – Method Report","type":"book","volume":"9"},"uris":["http://www.mendeley.com/documents/?uuid=b246d601-f9c1-4824-bb01-0de24716f9b1"]}],"mendeley":{"formattedCitation":"(Beck et al., 2010)","manualFormatting":"Beck et al., 2010)","plainTextFormattedCitation":"(Beck et al., 2010)","previouslyFormattedCitation":"(Beck et al., 2010)"},"properties":{"noteIndex":0},"schema":"https://github.com/citation-style-language/schema/raw/master/csl-citation.json"}</w:instrText>
      </w:r>
      <w:r>
        <w:rPr/>
      </w:r>
      <w:r>
        <w:rPr/>
        <w:fldChar w:fldCharType="separate"/>
      </w:r>
      <w:r>
        <w:rPr/>
        <w:t>Beck et al., 2010)</w:t>
      </w:r>
      <w:r>
        <w:rPr/>
      </w:r>
      <w:r>
        <w:rPr/>
        <w:fldChar w:fldCharType="end"/>
      </w:r>
      <w:r>
        <w:rPr/>
        <w:t>. A permeability value is firstly assigned to the soil texture type following the German classification system. Then, the permeability value is adjusted depending on groundwater distance and land use type.</w:t>
      </w:r>
    </w:p>
    <w:p>
      <w:pPr>
        <w:pStyle w:val="Heading2"/>
        <w:rPr/>
      </w:pPr>
      <w:r>
        <w:rPr/>
        <w:t>Physicochemical filtration</w:t>
      </w:r>
    </w:p>
    <w:p>
      <w:pPr>
        <w:pStyle w:val="Normal"/>
        <w:rPr/>
      </w:pPr>
      <w:r>
        <w:rPr/>
        <w:t>Physicochemical filtration is the soil capacity to absorb dissolved particles. In particular, LANCA® refers to the process of fixation and release of cations (effective cation exchange capacity, CECeff). As well as mechanical filtration, physicochemical filtration relates to the water purification service, but it is also a fertility indicator.</w:t>
      </w:r>
    </w:p>
    <w:p>
      <w:pPr>
        <w:pStyle w:val="Normal"/>
        <w:rPr/>
      </w:pPr>
      <w:r>
        <w:rPr/>
        <w:t>CECeff mainly depends on clay, humus and pH. LANCA® assigns CECeff values based on granulometry and humus content and then adjusts result according to the pH.</w:t>
      </w:r>
    </w:p>
    <w:p>
      <w:pPr>
        <w:pStyle w:val="Normal"/>
        <w:rPr/>
      </w:pPr>
      <w:r>
        <w:rPr/>
        <w:t>ANCA 2.5 adopted the unit mol/m2 which is now the UNEP/EF compliant u.m. However, local values of physicochemical filtration were obtained in this work following Bos.et al. (2016) still pointing to the USDA classification (e.g. soil type) and using the u.m cmols/kg. Indeed, conversion of cmols/kg to mol/m2 requires topsoil density which was not available in the present dataset. Bos.et al. (2020) specified the steps and the average soil depth to obtain values as mol/m2.</w:t>
      </w:r>
    </w:p>
    <w:p>
      <w:pPr>
        <w:pStyle w:val="Heading2"/>
        <w:rPr/>
      </w:pPr>
      <w:r>
        <w:rPr/>
        <w:t>Groundwater regeneration</w:t>
      </w:r>
    </w:p>
    <w:p>
      <w:pPr>
        <w:pStyle w:val="Normal"/>
        <w:rPr/>
      </w:pPr>
      <w:r>
        <w:rPr/>
        <w:t>The groundwater regeneration capacity enables underground water to be recharged by rainfalls. The amount of rainwater permeating soil and reaching the aquifer depends on soil slope, surface vegetation, soil structure, human land use. To estimate watershed recharge rates LANCA® uses the following hydrologic balance equation:</w:t>
      </w:r>
    </w:p>
    <w:p>
      <w:pPr>
        <w:pStyle w:val="Caption1"/>
        <w:keepNext w:val="true"/>
        <w:rPr/>
      </w:pPr>
      <w:r>
        <w:rPr/>
        <w:t>Equation 2S</w:t>
      </w:r>
    </w:p>
    <w:p>
      <w:pPr>
        <w:pStyle w:val="Normal"/>
        <w:jc w:val="center"/>
        <w:rPr>
          <w:color w:val="44546A" w:themeColor="text2"/>
        </w:rPr>
      </w:pPr>
      <w:r>
        <w:rPr/>
      </w:r>
      <m:oMathPara xmlns:m="http://schemas.openxmlformats.org/officeDocument/2006/math">
        <m:oMathParaPr>
          <m:jc m:val="center"/>
        </m:oMathParaPr>
        <m:oMath>
          <m:r>
            <w:rPr>
              <w:rFonts w:ascii="Cambria Math" w:hAnsi="Cambria Math"/>
            </w:rPr>
            <m:t xml:space="preserve">GWR</m:t>
          </m:r>
          <m:r>
            <w:rPr>
              <w:rFonts w:ascii="Cambria Math" w:hAnsi="Cambria Math"/>
            </w:rPr>
            <m:t xml:space="preserve">=</m:t>
          </m:r>
          <m:r>
            <w:rPr>
              <w:rFonts w:ascii="Cambria Math" w:hAnsi="Cambria Math"/>
            </w:rPr>
            <m:t xml:space="preserve">P</m:t>
          </m:r>
          <m:r>
            <w:rPr>
              <w:rFonts w:ascii="Cambria Math" w:hAnsi="Cambria Math"/>
            </w:rPr>
            <m:t xml:space="preserve">−</m:t>
          </m:r>
          <m:r>
            <w:rPr>
              <w:rFonts w:ascii="Cambria Math" w:hAnsi="Cambria Math"/>
            </w:rPr>
            <m:t xml:space="preserve">E</m:t>
          </m:r>
          <m:r>
            <w:rPr>
              <w:rFonts w:ascii="Cambria Math" w:hAnsi="Cambria Math"/>
            </w:rPr>
            <m:t xml:space="preserve">−</m:t>
          </m:r>
          <m:r>
            <w:rPr>
              <w:rFonts w:ascii="Cambria Math" w:hAnsi="Cambria Math"/>
            </w:rPr>
            <m:t xml:space="preserve">R</m:t>
          </m:r>
        </m:oMath>
      </m:oMathPara>
    </w:p>
    <w:p>
      <w:pPr>
        <w:pStyle w:val="Normal"/>
        <w:rPr/>
      </w:pPr>
      <w:r>
        <w:rPr/>
        <w:t>where:</w:t>
      </w:r>
    </w:p>
    <w:p>
      <w:pPr>
        <w:pStyle w:val="ListParagraph"/>
        <w:numPr>
          <w:ilvl w:val="0"/>
          <w:numId w:val="5"/>
        </w:numPr>
        <w:rPr/>
      </w:pPr>
      <w:r>
        <w:rPr/>
        <w:t>GWR = annual rate of water reaching the aquifer;</w:t>
      </w:r>
    </w:p>
    <w:p>
      <w:pPr>
        <w:pStyle w:val="ListParagraph"/>
        <w:numPr>
          <w:ilvl w:val="0"/>
          <w:numId w:val="5"/>
        </w:numPr>
        <w:rPr/>
      </w:pPr>
      <w:r>
        <w:rPr/>
        <w:t>P = annual precipitation;</w:t>
      </w:r>
    </w:p>
    <w:p>
      <w:pPr>
        <w:pStyle w:val="ListParagraph"/>
        <w:numPr>
          <w:ilvl w:val="0"/>
          <w:numId w:val="5"/>
        </w:numPr>
        <w:rPr/>
      </w:pPr>
      <w:r>
        <w:rPr/>
        <w:t>E = annual evapotranspiration;</w:t>
      </w:r>
    </w:p>
    <w:p>
      <w:pPr>
        <w:pStyle w:val="ListParagraph"/>
        <w:numPr>
          <w:ilvl w:val="0"/>
          <w:numId w:val="5"/>
        </w:numPr>
        <w:rPr/>
      </w:pPr>
      <w:r>
        <w:rPr/>
        <w:t>R = runoff: the annual fraction of precipitation that does not infiltrate in soil and flow on the soil surface.</w:t>
      </w:r>
    </w:p>
    <w:p>
      <w:pPr>
        <w:pStyle w:val="Heading2"/>
        <w:rPr/>
      </w:pPr>
      <w:r>
        <w:rPr/>
        <w:t>Biotic production</w:t>
      </w:r>
    </w:p>
    <w:p>
      <w:pPr>
        <w:pStyle w:val="Normal"/>
        <w:rPr/>
      </w:pPr>
      <w:r>
        <w:rPr/>
        <w:t xml:space="preserve">Biotic production stands for the soil capacity of producing biomass. The rate of produced biomass depends on climate, land cover, land use, soil features. The </w:t>
      </w:r>
      <w:r>
        <w:rPr/>
        <w:t xml:space="preserve">biotic production is </w:t>
      </w:r>
      <w:r>
        <w:rPr/>
        <w:t xml:space="preserve"> defined as the amount of carbon captured by land plants through photosynthesis each year </w:t>
      </w:r>
      <w:r>
        <w:fldChar w:fldCharType="begin"/>
      </w:r>
      <w:r>
        <w:rPr/>
        <w:instrText>ADDIN CSL_CITATION {"citationItems":[{"id":"ITEM-1","itemData":{"author":[{"dropping-particle":"","family":"Melillo","given":"Jerry M.","non-dropping-particle":"","parse-names":false,"suffix":""},{"dropping-particle":"","family":"McGuire","given":"David A.","non-dropping-particle":"","parse-names":false,"suffix":""},{"dropping-particle":"","family":"Kicklighter","given":"David W.","non-dropping-particle":"","parse-names":false,"suffix":""},{"dropping-particle":"","family":"Ill","given":"Berrien Moore","non-dropping-particle":"","parse-names":false,"suffix":""},{"dropping-particle":"","family":"Vorosmarty","given":"Charles J.","non-dropping-particle":"","parse-names":false,"suffix":""},{"dropping-particle":"","family":"Schloss","given":"Annette L.","non-dropping-particle":"","parse-names":false,"suffix":""}],"container-title":"Nature","id":"ITEM-1","issue":"May","issued":{"date-parts":[["1993"]]},"page":"814-820","title":"Global climate change and terrestrial net primary production","type":"article-journal","volume":"362"},"uris":["http://www.mendeley.com/documents/?uuid=29229ffd-5a7a-4d3a-81ad-9a46472bc4c2"]}],"mendeley":{"formattedCitation":"(Melillo et al., 1993)","plainTextFormattedCitation":"(Melillo et al., 1993)","previouslyFormattedCitation":"(Melillo et al., 1993)"},"properties":{"noteIndex":0},"schema":"https://github.com/citation-style-language/schema/raw/master/csl-citation.json"}</w:instrText>
      </w:r>
      <w:r>
        <w:rPr/>
      </w:r>
      <w:r>
        <w:rPr/>
        <w:fldChar w:fldCharType="separate"/>
      </w:r>
      <w:r>
        <w:rPr/>
        <w:t>(Melillo et al., 1993)</w:t>
      </w:r>
      <w:r>
        <w:rPr/>
      </w:r>
      <w:r>
        <w:rPr/>
        <w:fldChar w:fldCharType="end"/>
      </w:r>
      <w:r>
        <w:rPr/>
        <w:t xml:space="preserve">. LANCA®, according to </w:t>
      </w:r>
      <w:r>
        <w:fldChar w:fldCharType="begin"/>
      </w:r>
      <w:r>
        <w:rPr/>
        <w:instrText>ADDIN CSL_CITATION {"citationItems":[{"id":"ITEM-1","itemData":{"ISBN":"9783839601709","abstract":"LANCA","author":[{"dropping-particle":"","family":"Beck","given":"Tabea","non-dropping-particle":"","parse-names":false,"suffix":""},{"dropping-particle":"","family":"Bos","given":"Ulrike","non-dropping-particle":"","parse-names":false,"suffix":""},{"dropping-particle":"","family":"Wittstock","given":"Bastian","non-dropping-particle":"","parse-names":false,"suffix":""},{"dropping-particle":"","family":"Baitz","given":"Margin","non-dropping-particle":"","parse-names":false,"suffix":""},{"dropping-particle":"","family":"Fischer","given":"Matthias","non-dropping-particle":"","parse-names":false,"suffix":""},{"dropping-particle":"","family":"Seldbauer","given":"Klaus","non-dropping-particle":"","parse-names":false,"suffix":""}],"container-title":"Cycle","id":"ITEM-1","issued":{"date-parts":[["2010"]]},"number-of-pages":"67","title":"Land Use Indicator Value Calculation in Life Cycle Assessment – Method Report","type":"book","volume":"9"},"uris":["http://www.mendeley.com/documents/?uuid=b246d601-f9c1-4824-bb01-0de24716f9b1"]}],"mendeley":{"formattedCitation":"(Beck et al., 2010)","manualFormatting":"Beck et al. (2010)","plainTextFormattedCitation":"(Beck et al., 2010)","previouslyFormattedCitation":"(Beck et al., 2010)"},"properties":{"noteIndex":0},"schema":"https://github.com/citation-style-language/schema/raw/master/csl-citation.json"}</w:instrText>
      </w:r>
      <w:r>
        <w:rPr/>
      </w:r>
      <w:r>
        <w:rPr/>
        <w:fldChar w:fldCharType="separate"/>
      </w:r>
      <w:r>
        <w:rPr/>
        <w:t>Beck et al. (2010)</w:t>
      </w:r>
      <w:r>
        <w:rPr/>
      </w:r>
      <w:r>
        <w:rPr/>
        <w:fldChar w:fldCharType="end"/>
      </w:r>
      <w:r>
        <w:rPr/>
        <w:t xml:space="preserve"> who carried out a broad literature review, designates an NPP value to a list of different land use type.</w:t>
      </w:r>
    </w:p>
    <w:p>
      <w:pPr>
        <w:pStyle w:val="Normal"/>
        <w:rPr/>
      </w:pPr>
      <w:r>
        <w:rPr/>
      </w:r>
    </w:p>
    <w:p>
      <w:pPr>
        <w:pStyle w:val="Normal"/>
        <w:rPr/>
      </w:pPr>
      <w:r>
        <w:rPr/>
      </w:r>
      <w:r>
        <w:br w:type="page"/>
      </w:r>
    </w:p>
    <w:p>
      <w:pPr>
        <w:pStyle w:val="Heading1"/>
        <w:rPr/>
      </w:pPr>
      <w:r>
        <w:rPr/>
        <w:t>ANNEX 2</w:t>
      </w:r>
    </w:p>
    <w:p>
      <w:pPr>
        <w:pStyle w:val="Normal"/>
        <w:rPr/>
      </w:pPr>
      <w:r>
        <w:rPr/>
        <w:t xml:space="preserve">Detailed description of the input data influences on soil quality </w:t>
      </w:r>
      <w:r>
        <w:rPr/>
        <w:t>level</w:t>
      </w:r>
      <w:r>
        <w:rPr/>
        <w:t>s is reported. The following observations are linked to the figures of section 3.2 of the paper (Sensitivity analysis).</w:t>
      </w:r>
    </w:p>
    <w:p>
      <w:pPr>
        <w:pStyle w:val="Heading2"/>
        <w:rPr/>
      </w:pPr>
      <w:r>
        <w:rPr/>
        <w:t>Erosion resistance</w:t>
      </w:r>
    </w:p>
    <w:p>
      <w:pPr>
        <w:pStyle w:val="Normal"/>
        <w:spacing w:lineRule="auto" w:line="276"/>
        <w:rPr>
          <w:rFonts w:ascii="Calibri" w:hAnsi="Calibri"/>
          <w:sz w:val="22"/>
          <w:szCs w:val="22"/>
        </w:rPr>
      </w:pPr>
      <w:r>
        <w:rPr>
          <w:rFonts w:ascii="Calibri" w:hAnsi="Calibri"/>
          <w:sz w:val="22"/>
          <w:szCs w:val="22"/>
        </w:rPr>
        <w:t>T</w:t>
      </w:r>
      <w:r>
        <w:rPr>
          <w:rFonts w:ascii="Calibri" w:hAnsi="Calibri"/>
          <w:color w:val="C9211E"/>
          <w:sz w:val="22"/>
          <w:szCs w:val="22"/>
        </w:rPr>
        <w:t xml:space="preserve">he mass of eroded soil in “multiple crop” area is 20 times higher than in the </w:t>
      </w:r>
      <w:r>
        <w:rPr>
          <w:rFonts w:ascii="Calibri" w:hAnsi="Calibri"/>
          <w:color w:val="C9211E"/>
          <w:sz w:val="22"/>
          <w:szCs w:val="22"/>
        </w:rPr>
        <w:t>reference situation (</w:t>
      </w:r>
      <w:r>
        <w:rPr>
          <w:rFonts w:ascii="Calibri" w:hAnsi="Calibri"/>
          <w:color w:val="C9211E"/>
          <w:sz w:val="22"/>
          <w:szCs w:val="22"/>
        </w:rPr>
        <w:t>Mesola wood</w:t>
      </w:r>
      <w:r>
        <w:rPr>
          <w:rFonts w:ascii="Calibri" w:hAnsi="Calibri"/>
          <w:color w:val="C9211E"/>
          <w:sz w:val="22"/>
          <w:szCs w:val="22"/>
        </w:rPr>
        <w:t>)</w:t>
      </w:r>
      <w:r>
        <w:rPr>
          <w:rFonts w:ascii="Calibri" w:hAnsi="Calibri"/>
          <w:color w:val="C9211E"/>
          <w:sz w:val="22"/>
          <w:szCs w:val="22"/>
        </w:rPr>
        <w:t xml:space="preserve"> (</w:t>
      </w:r>
      <w:r>
        <w:rPr>
          <w:rFonts w:ascii="Calibri" w:hAnsi="Calibri"/>
          <w:color w:val="C9211E"/>
          <w:sz w:val="22"/>
          <w:szCs w:val="22"/>
        </w:rPr>
        <w:t>Table 4</w:t>
      </w:r>
      <w:r>
        <w:rPr>
          <w:rFonts w:ascii="Calibri" w:hAnsi="Calibri"/>
          <w:color w:val="C9211E"/>
          <w:sz w:val="22"/>
          <w:szCs w:val="22"/>
        </w:rPr>
        <w:t>). Th</w:t>
      </w:r>
      <w:r>
        <w:rPr>
          <w:rFonts w:ascii="Calibri" w:hAnsi="Calibri"/>
          <w:color w:val="C9211E"/>
          <w:sz w:val="22"/>
          <w:szCs w:val="22"/>
        </w:rPr>
        <w:t>is</w:t>
      </w:r>
      <w:r>
        <w:rPr>
          <w:rFonts w:ascii="Calibri" w:hAnsi="Calibri"/>
          <w:color w:val="C9211E"/>
          <w:sz w:val="22"/>
          <w:szCs w:val="22"/>
        </w:rPr>
        <w:t xml:space="preserve"> stem</w:t>
      </w:r>
      <w:r>
        <w:rPr>
          <w:rFonts w:ascii="Calibri" w:hAnsi="Calibri"/>
          <w:color w:val="C9211E"/>
          <w:sz w:val="22"/>
          <w:szCs w:val="22"/>
        </w:rPr>
        <w:t>s</w:t>
      </w:r>
      <w:r>
        <w:rPr>
          <w:rFonts w:ascii="Calibri" w:hAnsi="Calibri"/>
          <w:color w:val="C9211E"/>
          <w:sz w:val="22"/>
          <w:szCs w:val="22"/>
        </w:rPr>
        <w:t xml:space="preserve"> from two main considerations. First, the C-factor - the “cover-management factor” depending on the plant type and exposure of bare soil- in “multiple crop” is 20 times higher </w:t>
      </w:r>
      <w:r>
        <w:rPr>
          <w:rFonts w:ascii="Calibri" w:hAnsi="Calibri"/>
          <w:color w:val="C9211E"/>
          <w:sz w:val="22"/>
          <w:szCs w:val="22"/>
        </w:rPr>
        <w:t>(the higher, the more vulnerable to erosion)</w:t>
      </w:r>
      <w:r>
        <w:rPr>
          <w:rFonts w:ascii="Calibri" w:hAnsi="Calibri"/>
          <w:color w:val="C9211E"/>
          <w:sz w:val="22"/>
          <w:szCs w:val="22"/>
        </w:rPr>
        <w:t xml:space="preserve"> than in the Mesola wood. This is explained by the fact that crop-cultivation land cover is less efficient in contrasting soil erosion than an arboreous land cover. Second, soil in “multiple crop” area is more erodible for inherent, pedological, reasons: its siltier nature, together with the higher clay content, makes the K-factor of RUSLE relevantly lower in the Mesola wood than in “multiple crop” (see the marked effect of silt on the mass of eroded soil in the SA, section 3.2). </w:t>
      </w:r>
    </w:p>
    <w:p>
      <w:pPr>
        <w:pStyle w:val="Normal"/>
        <w:spacing w:lineRule="auto" w:line="276"/>
        <w:rPr>
          <w:rFonts w:ascii="Calibri" w:hAnsi="Calibri"/>
          <w:color w:val="C9211E"/>
          <w:sz w:val="22"/>
          <w:szCs w:val="22"/>
        </w:rPr>
      </w:pPr>
      <w:r>
        <w:rPr>
          <w:rFonts w:ascii="Calibri" w:hAnsi="Calibri"/>
          <w:color w:val="C9211E"/>
          <w:sz w:val="22"/>
          <w:szCs w:val="22"/>
        </w:rPr>
        <w:t>To better understand the output the results are analysed in the key of the sensitivity analysis. In Figure 1, indeed, it is evident that the increase of clay content has two types of effect on the erosion resistance indicator visible as a stepwise relationship. This is due to the combined effect of the increase of clay content within a textural class and among different classes. Increase of clay content within a texture class increases the structural resistance of the soil due to the chemical forces that link clay particles (Morgan 2005). On the other hand, when the clay content determines a change of textural class, an increase in erosion can be caused by the reduction of infiltration capacity of the soil, which leads to higher superficial runoff rates. The similar effect of silt and very fine sand on soil erosion (Figure 1) is due to their closeness in size terms, while coarse soils are strongly held in place by their particles weight. Organic matter induces the formation of soil aggregates, thus increases soil stability. Soils in the study site are generally poor in organic matter. However, in this case study, increase in organic matter content seems to have a limited effect on mass of eroded soil, especially if compared to the sensitiveness of this indicator to annual precipitation.</w:t>
      </w:r>
    </w:p>
    <w:p>
      <w:pPr>
        <w:pStyle w:val="Normal"/>
        <w:spacing w:lineRule="auto" w:line="276"/>
        <w:rPr>
          <w:rFonts w:ascii="Calibri" w:hAnsi="Calibri"/>
          <w:color w:val="C9211E"/>
          <w:sz w:val="22"/>
          <w:szCs w:val="22"/>
        </w:rPr>
      </w:pPr>
      <w:r>
        <w:rPr>
          <w:rFonts w:ascii="Calibri" w:hAnsi="Calibri"/>
          <w:color w:val="C9211E"/>
          <w:sz w:val="22"/>
          <w:szCs w:val="22"/>
        </w:rPr>
        <w:t xml:space="preserve">It is noteworthy that the Mesola wood performs better in erosion resistance despite having some characteristics that, </w:t>
      </w:r>
      <w:r>
        <w:rPr>
          <w:rFonts w:ascii="Calibri" w:hAnsi="Calibri"/>
          <w:color w:val="C9211E"/>
          <w:sz w:val="22"/>
          <w:szCs w:val="22"/>
        </w:rPr>
        <w:t xml:space="preserve">in agreement with the model underpinning </w:t>
      </w:r>
      <w:r>
        <w:rPr>
          <w:rFonts w:ascii="Calibri" w:hAnsi="Calibri"/>
          <w:color w:val="C9211E"/>
          <w:sz w:val="22"/>
          <w:szCs w:val="22"/>
        </w:rPr>
        <w:t xml:space="preserve">LANCA®, induce higher soil erosion with respect to “multiple crop”: a higher mean precipitation, higher slope, lower mean elevation and less organic matter content. </w:t>
      </w:r>
    </w:p>
    <w:p>
      <w:pPr>
        <w:pStyle w:val="Normal"/>
        <w:spacing w:lineRule="auto" w:line="276"/>
        <w:rPr>
          <w:rFonts w:ascii="Calibri" w:hAnsi="Calibri"/>
          <w:color w:val="C9211E"/>
          <w:sz w:val="22"/>
          <w:szCs w:val="22"/>
        </w:rPr>
      </w:pPr>
      <w:r>
        <w:rPr>
          <w:rFonts w:ascii="Calibri" w:hAnsi="Calibri"/>
          <w:color w:val="C9211E"/>
          <w:sz w:val="22"/>
          <w:szCs w:val="22"/>
        </w:rPr>
        <w:t>Therefore, this indicator is driven primarily by the land cover/</w:t>
      </w:r>
      <w:r>
        <w:rPr>
          <w:rFonts w:ascii="Calibri" w:hAnsi="Calibri"/>
          <w:color w:val="C9211E"/>
          <w:sz w:val="22"/>
          <w:szCs w:val="22"/>
        </w:rPr>
        <w:t>use</w:t>
      </w:r>
      <w:r>
        <w:rPr>
          <w:rFonts w:ascii="Calibri" w:hAnsi="Calibri"/>
          <w:color w:val="C9211E"/>
          <w:sz w:val="22"/>
          <w:szCs w:val="22"/>
        </w:rPr>
        <w:t xml:space="preserve"> type,  </w:t>
      </w:r>
      <w:r>
        <w:rPr>
          <w:rFonts w:ascii="Calibri" w:hAnsi="Calibri"/>
          <w:color w:val="C9211E"/>
          <w:sz w:val="22"/>
          <w:szCs w:val="22"/>
        </w:rPr>
        <w:t xml:space="preserve">as it should be, </w:t>
      </w:r>
      <w:r>
        <w:rPr>
          <w:rFonts w:ascii="Calibri" w:hAnsi="Calibri"/>
          <w:color w:val="C9211E"/>
          <w:sz w:val="22"/>
          <w:szCs w:val="22"/>
        </w:rPr>
        <w:t xml:space="preserve">and secondly by pedological reasons </w:t>
      </w:r>
      <w:r>
        <w:rPr>
          <w:rFonts w:ascii="Calibri" w:hAnsi="Calibri"/>
          <w:color w:val="C9211E"/>
          <w:sz w:val="22"/>
          <w:szCs w:val="22"/>
        </w:rPr>
        <w:t>which can be a problem in relation to the choice of the reference situation</w:t>
      </w:r>
      <w:r>
        <w:rPr>
          <w:rFonts w:ascii="Calibri" w:hAnsi="Calibri"/>
          <w:color w:val="C9211E"/>
          <w:sz w:val="22"/>
          <w:szCs w:val="22"/>
        </w:rPr>
        <w:t xml:space="preserve">. </w:t>
      </w:r>
    </w:p>
    <w:p>
      <w:pPr>
        <w:pStyle w:val="Normal"/>
        <w:spacing w:lineRule="auto" w:line="276"/>
        <w:rPr>
          <w:rFonts w:ascii="Calibri" w:hAnsi="Calibri"/>
          <w:color w:val="C9211E"/>
          <w:sz w:val="22"/>
          <w:szCs w:val="22"/>
        </w:rPr>
      </w:pPr>
      <w:r>
        <w:rPr>
          <w:rFonts w:ascii="Calibri" w:hAnsi="Calibri"/>
          <w:color w:val="C9211E"/>
          <w:sz w:val="22"/>
          <w:szCs w:val="22"/>
        </w:rPr>
        <w:t xml:space="preserve">The detailed influence of the factors of the step 1 of the calculation structure (Bos et al., 2016) is reported here below. </w:t>
      </w:r>
    </w:p>
    <w:p>
      <w:pPr>
        <w:pStyle w:val="Heading3"/>
        <w:rPr/>
      </w:pPr>
      <w:r>
        <w:rPr/>
        <w:t xml:space="preserve">Clay </w:t>
      </w:r>
      <w:bookmarkStart w:id="3" w:name="_GoBack"/>
      <w:r>
        <w:rPr/>
        <w:t>content</w:t>
      </w:r>
      <w:bookmarkEnd w:id="3"/>
    </w:p>
    <w:p>
      <w:pPr>
        <w:pStyle w:val="Normal"/>
        <w:rPr/>
      </w:pPr>
      <w:r>
        <w:rPr/>
        <w:t>From a general point of view, ER slowly increases with increasing clay content. The growth is not linear and looks discretized. Each step represents the switch from a textural class to another, due to clay content growth. However, in each step, i.e. in each textural class, erosion resistance value is not constant but the higher is the clay content, the lower is erosion resistance. This trend is repeated for the whole clay content range.</w:t>
      </w:r>
    </w:p>
    <w:p>
      <w:pPr>
        <w:pStyle w:val="Heading3"/>
        <w:rPr/>
      </w:pPr>
      <w:r>
        <w:rPr/>
        <w:t>Silt and very fine sand content</w:t>
      </w:r>
    </w:p>
    <w:p>
      <w:pPr>
        <w:pStyle w:val="Normal"/>
        <w:spacing w:before="0" w:after="0"/>
        <w:rPr/>
      </w:pPr>
      <w:r>
        <w:rPr/>
        <w:t>ER increases linearly with silt content. Among pedological features of soil, the silt content is the most influent on erosion resistance. This growth is relevantly higher than the growth corresponding to clay content, as it could be seen from the slopes of their curves. Just in one case the change of textural class (from sandy loam to silty loam, when silt crosses the 50%) leads to a little by-step growth and it is placed inside the densest section of the curve, i.e. in the most probable range of values observed in Emilia-Romagna. However, the step-growth is negligible when compared to the clay content case. A very similar trend is observed in very fine sand curve, but with a linear trend.</w:t>
      </w:r>
    </w:p>
    <w:p>
      <w:pPr>
        <w:pStyle w:val="Heading3"/>
        <w:rPr/>
      </w:pPr>
      <w:r>
        <w:rPr/>
        <w:t>Gravel content</w:t>
      </w:r>
    </w:p>
    <w:p>
      <w:pPr>
        <w:pStyle w:val="Normal"/>
        <w:rPr/>
      </w:pPr>
      <w:r>
        <w:rPr/>
        <w:t>The erosion resistance reduction caused by the increase of gravel content is strictly discretized in 3 distinct values. Gravel content values (from 0% to 15%) with highest probability density, as could be seen from the closeness between points in the first segment of the curve, do not lead to ER alteration. Gravel content higher than 15%, which would cause an ER variation, are pretty uncommon.</w:t>
      </w:r>
    </w:p>
    <w:p>
      <w:pPr>
        <w:pStyle w:val="Heading3"/>
        <w:rPr/>
      </w:pPr>
      <w:r>
        <w:rPr/>
        <w:t>Organic matter content</w:t>
      </w:r>
    </w:p>
    <w:p>
      <w:pPr>
        <w:pStyle w:val="Normal"/>
        <w:rPr/>
      </w:pPr>
      <w:r>
        <w:rPr/>
        <w:t>A constant increase of erosion resistance caused by organic matter content growth is shown. This decrease looks faster than the one induced by gravel. In this case study, when organic matter overcomes 9%, soil loss turns negative, indicating an accumulation of soil particles; however, higher than 9% values are pretty uncommon in Emilia-Romagna.</w:t>
      </w:r>
    </w:p>
    <w:p>
      <w:pPr>
        <w:pStyle w:val="Heading3"/>
        <w:rPr/>
      </w:pPr>
      <w:r>
        <w:rPr/>
        <w:t>Annual precipitation</w:t>
      </w:r>
    </w:p>
    <w:p>
      <w:pPr>
        <w:pStyle w:val="Normal"/>
        <w:rPr/>
      </w:pPr>
      <w:r>
        <w:rPr/>
        <w:t>Together with C-factor and slope, annual precipitation has one of the greatest effects on erosion resistance. The exponential trend shows that a little increment of rainfall could lead to a high raise in soil loss, in particular for very high values of annual precipitation, i.e. more than 1000 mm y</w:t>
      </w:r>
      <w:r>
        <w:rPr>
          <w:vertAlign w:val="superscript"/>
        </w:rPr>
        <w:t>-1</w:t>
      </w:r>
      <w:r>
        <w:rPr/>
        <w:t>, which are rather infrequent in Emilia-Romagna. For more common precipitation values, i.e. between 600 mm y</w:t>
      </w:r>
      <w:r>
        <w:rPr>
          <w:vertAlign w:val="superscript"/>
        </w:rPr>
        <w:t>-1</w:t>
      </w:r>
      <w:r>
        <w:rPr/>
        <w:t xml:space="preserve"> and 900 mm y</w:t>
      </w:r>
      <w:r>
        <w:rPr>
          <w:vertAlign w:val="superscript"/>
        </w:rPr>
        <w:t>-1</w:t>
      </w:r>
      <w:r>
        <w:rPr/>
        <w:t>, the erosion resistance increment is similar to the silt-related one.</w:t>
      </w:r>
    </w:p>
    <w:p>
      <w:pPr>
        <w:pStyle w:val="Heading3"/>
        <w:rPr/>
      </w:pPr>
      <w:r>
        <w:rPr/>
        <w:t>Elevation</w:t>
      </w:r>
    </w:p>
    <w:p>
      <w:pPr>
        <w:pStyle w:val="Normal"/>
        <w:rPr/>
      </w:pPr>
      <w:r>
        <w:rPr/>
        <w:t>Erosion resistance grows exponentially as elevation goes below 10 m and gets close to 0. In that interval, the erosion resistance reduction caused by growing elevation is similar to the one caused by growing organic matter content. For higher elevation values, the effect of elevation on erosion resistance is negligible. All in all, when compared to the most relevant inputs, such as C-factor or precipitation, the elevation effect looks negligible.</w:t>
      </w:r>
    </w:p>
    <w:p>
      <w:pPr>
        <w:pStyle w:val="Heading3"/>
        <w:rPr/>
      </w:pPr>
      <w:r>
        <w:rPr/>
        <w:t>Wet days</w:t>
      </w:r>
    </w:p>
    <w:p>
      <w:pPr>
        <w:pStyle w:val="Normal"/>
        <w:rPr/>
      </w:pPr>
      <w:r>
        <w:rPr/>
        <w:t>For most common cases, i.e. more than 100 annual wet days, the influence on erosion resistance is negligible; instead, lower annual wet days values lead to exponential increase in soil loss</w:t>
      </w:r>
    </w:p>
    <w:p>
      <w:pPr>
        <w:pStyle w:val="Heading3"/>
        <w:rPr/>
      </w:pPr>
      <w:r>
        <w:rPr/>
        <w:t>Slope</w:t>
      </w:r>
    </w:p>
    <w:p>
      <w:pPr>
        <w:pStyle w:val="Normal"/>
        <w:rPr/>
      </w:pPr>
      <w:r>
        <w:rPr/>
        <w:t xml:space="preserve">Slope is absolutely the most influent input on erosion resistance. As it could be appreciated from figure X (see supplementary material), the linear trend of soil erosion with respect to the “slope” parameter has a very large coefficient, making soil loss very sensitive to slope in Emilia Romagna. </w:t>
      </w:r>
    </w:p>
    <w:p>
      <w:pPr>
        <w:pStyle w:val="Heading3"/>
        <w:rPr/>
      </w:pPr>
      <w:r>
        <w:rPr/>
        <w:t>C-factor</w:t>
      </w:r>
    </w:p>
    <w:p>
      <w:pPr>
        <w:pStyle w:val="Normal"/>
        <w:rPr/>
      </w:pPr>
      <w:r>
        <w:rPr/>
        <w:t>Erosion resistance linearly increase with C-factor. Observed C-factor values in Emilia-Romagna are uniformly distributed between 0 and 0.4 but are totally absent beyond 0.4. During common rainfall regimes, C-factor is the most influent input on erosion resistance, after slope.</w:t>
      </w:r>
    </w:p>
    <w:p>
      <w:pPr>
        <w:pStyle w:val="Heading3"/>
        <w:rPr/>
      </w:pPr>
      <w:r>
        <w:rPr/>
        <w:t>P-factor</w:t>
      </w:r>
    </w:p>
    <w:p>
      <w:pPr>
        <w:pStyle w:val="Normal"/>
        <w:rPr/>
      </w:pPr>
      <w:r>
        <w:rPr/>
        <w:t>The P-factor curve is quite horizontal. It could be considered the less influential input in erosion resistance calculation</w:t>
      </w:r>
    </w:p>
    <w:p>
      <w:pPr>
        <w:pStyle w:val="Heading2"/>
        <w:rPr/>
      </w:pPr>
      <w:r>
        <w:rPr/>
        <w:t>Mechanical filtration</w:t>
      </w:r>
    </w:p>
    <w:p>
      <w:pPr>
        <w:pStyle w:val="Heading3"/>
        <w:rPr/>
      </w:pPr>
      <w:r>
        <w:rPr/>
        <w:t>Clay and silt content</w:t>
      </w:r>
    </w:p>
    <w:p>
      <w:pPr>
        <w:pStyle w:val="Normal"/>
        <w:rPr/>
      </w:pPr>
      <w:r>
        <w:rPr/>
        <w:t>The effects of clay and silt content on mechanical filtration look similar. In both cases, mechanical filtration slightly decreases when clay and silt increase. From a more detailed perspective, the coefficient of the fitted linear trend (not shown) of the effect of clay is larger than for silt.</w:t>
      </w:r>
    </w:p>
    <w:p>
      <w:pPr>
        <w:pStyle w:val="Heading3"/>
        <w:rPr/>
      </w:pPr>
      <w:r>
        <w:rPr/>
        <w:t>Groundwater distance</w:t>
      </w:r>
    </w:p>
    <w:p>
      <w:pPr>
        <w:pStyle w:val="Normal"/>
        <w:rPr/>
      </w:pPr>
      <w:r>
        <w:rPr/>
        <w:t>From a general point of view, mechanical filtration seems to grow rapidly with groundwater distance, that appears as the most influent input on mechanical filtration. However, for more common values of groundwater distance (i.e. between 0 and 10 m) mechanical filtration values are similar to the ones observed while varying clay and silt content. For groundwater distance below 10 m, i.e. the 57% of the observed cases in Emilia-Romagna, mechanical filtration suddenly move to around 330 cm/d.</w:t>
      </w:r>
    </w:p>
    <w:p>
      <w:pPr>
        <w:pStyle w:val="Heading3"/>
        <w:rPr/>
      </w:pPr>
      <w:r>
        <w:rPr/>
        <w:t>Land use type</w:t>
      </w:r>
    </w:p>
    <w:p>
      <w:pPr>
        <w:pStyle w:val="Normal"/>
        <w:rPr/>
      </w:pPr>
      <w:r>
        <w:rPr/>
        <w:t>The majority of results varies between 15 m</w:t>
      </w:r>
      <w:r>
        <w:rPr>
          <w:vertAlign w:val="superscript"/>
        </w:rPr>
        <w:t>3</w:t>
      </w:r>
      <w:r>
        <w:rPr/>
        <w:t xml:space="preserve"> m</w:t>
      </w:r>
      <w:r>
        <w:rPr>
          <w:vertAlign w:val="superscript"/>
        </w:rPr>
        <w:t>-2</w:t>
      </w:r>
      <w:r>
        <w:rPr/>
        <w:t xml:space="preserve"> y</w:t>
      </w:r>
      <w:r>
        <w:rPr>
          <w:vertAlign w:val="superscript"/>
        </w:rPr>
        <w:t>-1</w:t>
      </w:r>
      <w:r>
        <w:rPr/>
        <w:t xml:space="preserve"> and 20 m</w:t>
      </w:r>
      <w:r>
        <w:rPr>
          <w:vertAlign w:val="superscript"/>
        </w:rPr>
        <w:t>3</w:t>
      </w:r>
      <w:r>
        <w:rPr/>
        <w:t xml:space="preserve"> m</w:t>
      </w:r>
      <w:r>
        <w:rPr>
          <w:vertAlign w:val="superscript"/>
        </w:rPr>
        <w:t>-2</w:t>
      </w:r>
      <w:r>
        <w:rPr/>
        <w:t xml:space="preserve"> y</w:t>
      </w:r>
      <w:r>
        <w:rPr>
          <w:vertAlign w:val="superscript"/>
        </w:rPr>
        <w:t>-1</w:t>
      </w:r>
      <w:r>
        <w:rPr/>
        <w:t>. Only mining area and swamp area lead to great decreases in permeability.</w:t>
      </w:r>
    </w:p>
    <w:p>
      <w:pPr>
        <w:pStyle w:val="Normal"/>
        <w:rPr/>
      </w:pPr>
      <w:r>
        <w:rPr/>
      </w:r>
    </w:p>
    <w:p>
      <w:pPr>
        <w:pStyle w:val="Heading2"/>
        <w:rPr/>
      </w:pPr>
      <w:r>
        <w:rPr/>
        <w:t>Physicochemical filtration</w:t>
      </w:r>
    </w:p>
    <w:p>
      <w:pPr>
        <w:pStyle w:val="Heading3"/>
        <w:rPr/>
      </w:pPr>
      <w:r>
        <w:rPr/>
        <w:t>Clay content</w:t>
      </w:r>
    </w:p>
    <w:p>
      <w:pPr>
        <w:pStyle w:val="Normal"/>
        <w:rPr/>
      </w:pPr>
      <w:r>
        <w:rPr/>
        <w:t>Clay content growth leads to a relevant increase of physicochemical filtration, even if in a discretional form. Clay content is clearly the most relevant input for physicochemical filtration determination, while none of the other inputs cause significant effects on the output.</w:t>
      </w:r>
    </w:p>
    <w:p>
      <w:pPr>
        <w:pStyle w:val="Heading3"/>
        <w:rPr/>
      </w:pPr>
      <w:r>
        <w:rPr/>
        <w:t>Silt content</w:t>
      </w:r>
    </w:p>
    <w:p>
      <w:pPr>
        <w:pStyle w:val="Normal"/>
        <w:tabs>
          <w:tab w:val="clear" w:pos="708"/>
          <w:tab w:val="left" w:pos="4182" w:leader="none"/>
        </w:tabs>
        <w:rPr/>
      </w:pPr>
      <w:r>
        <w:rPr/>
        <w:t>The silt content effect on physicochemical filtration is rather small. physicochemical filtration variations caused by silt content alteration move from a minimum of 2 cmol kg</w:t>
      </w:r>
      <w:r>
        <w:rPr>
          <w:vertAlign w:val="superscript"/>
        </w:rPr>
        <w:t>-1</w:t>
      </w:r>
      <w:r>
        <w:rPr/>
        <w:t xml:space="preserve"> to a maximum of 5 cmol kg</w:t>
      </w:r>
      <w:r>
        <w:rPr>
          <w:vertAlign w:val="superscript"/>
        </w:rPr>
        <w:t>-1</w:t>
      </w:r>
      <w:r>
        <w:rPr/>
        <w:t>. However, this physicochemical filtration variation does not follow a constant trend but it is negative for lower silt values (quite uncommon) and it turns positive when silt content is more than 25%.</w:t>
      </w:r>
    </w:p>
    <w:p>
      <w:pPr>
        <w:pStyle w:val="Heading2"/>
        <w:rPr/>
      </w:pPr>
      <w:r>
        <w:rPr/>
        <w:t>Humus content and pH</w:t>
      </w:r>
    </w:p>
    <w:p>
      <w:pPr>
        <w:pStyle w:val="Normal"/>
        <w:rPr/>
      </w:pPr>
      <w:r>
        <w:rPr/>
        <w:t>Both humus content and pH have no effect on physicochemical filtration, due to their extremely poor variability in Emilia-Romagna. In fact, LANCA®, given its resolution level in physicochemical filtration calculation, is not able to recognize such slight variations in humus and pH values, as they have been observed in the case study.</w:t>
      </w:r>
    </w:p>
    <w:p>
      <w:pPr>
        <w:pStyle w:val="Heading2"/>
        <w:rPr/>
      </w:pPr>
      <w:r>
        <w:rPr/>
        <w:t>Groundwater regeneration</w:t>
      </w:r>
    </w:p>
    <w:p>
      <w:pPr>
        <w:pStyle w:val="Heading3"/>
        <w:rPr/>
      </w:pPr>
      <w:r>
        <w:rPr/>
        <w:t>Slope</w:t>
      </w:r>
    </w:p>
    <w:p>
      <w:pPr>
        <w:pStyle w:val="Normal"/>
        <w:rPr/>
      </w:pPr>
      <w:r>
        <w:rPr/>
        <w:t>The influence of slope on groundwater regeneration is negligible. Groundwater regeneration undergoes just a small reduction along the whole variation range of the slope input.</w:t>
      </w:r>
    </w:p>
    <w:p>
      <w:pPr>
        <w:pStyle w:val="Heading3"/>
        <w:rPr/>
      </w:pPr>
      <w:r>
        <w:rPr/>
        <w:t>Annual precipitation</w:t>
      </w:r>
    </w:p>
    <w:p>
      <w:pPr>
        <w:pStyle w:val="Normal"/>
        <w:rPr/>
      </w:pPr>
      <w:r>
        <w:rPr/>
        <w:t>Annual precipitation relevantly affects groundwater regeneration: this direct liner proportionality attests a strict relation between annual precipitation and groundwater regeneration.</w:t>
      </w:r>
    </w:p>
    <w:p>
      <w:pPr>
        <w:pStyle w:val="Heading3"/>
        <w:rPr/>
      </w:pPr>
      <w:r>
        <w:rPr/>
        <w:t>Evapotranspiration</w:t>
      </w:r>
    </w:p>
    <w:p>
      <w:pPr>
        <w:pStyle w:val="Normal"/>
        <w:rPr/>
      </w:pPr>
      <w:r>
        <w:rPr/>
        <w:t>The higher is the evapotranspiration rate (water passing from soil and vegetation to the atmosphere as vapor), the less is the amount of superficial water reaching groundwater.</w:t>
      </w:r>
    </w:p>
    <w:p>
      <w:pPr>
        <w:pStyle w:val="Heading3"/>
        <w:rPr/>
      </w:pPr>
      <w:r>
        <w:rPr/>
        <w:t>Land use type</w:t>
      </w:r>
    </w:p>
    <w:p>
      <w:pPr>
        <w:pStyle w:val="Normal"/>
        <w:rPr/>
      </w:pPr>
      <w:r>
        <w:rPr/>
        <w:t>Soil sealing land uses are the most impacting on groundwater regeneration and strongly reduce the annual amount of infiltrated water. The other land use types, representing natural or semi-natural land covers, are not so influent on the output.</w:t>
      </w:r>
    </w:p>
    <w:p>
      <w:pPr>
        <w:pStyle w:val="Heading2"/>
        <w:rPr/>
      </w:pPr>
      <w:r>
        <w:rPr/>
        <w:t>Biotic production</w:t>
      </w:r>
    </w:p>
    <w:p>
      <w:pPr>
        <w:pStyle w:val="Normal"/>
        <w:rPr/>
      </w:pPr>
      <w:r>
        <w:rPr/>
        <w:t>In the greatest part of Emilia-Romagna territory, biotic production corresponds to 0,65 kg m</w:t>
      </w:r>
      <w:r>
        <w:rPr>
          <w:vertAlign w:val="superscript"/>
        </w:rPr>
        <w:t>-2</w:t>
      </w:r>
      <w:r>
        <w:rPr/>
        <w:t xml:space="preserve"> y</w:t>
      </w:r>
      <w:r>
        <w:rPr>
          <w:vertAlign w:val="superscript"/>
        </w:rPr>
        <w:t>-1</w:t>
      </w:r>
      <w:r>
        <w:rPr/>
        <w:t>. Highest biotic production is from swamp areas (2 kg m</w:t>
      </w:r>
      <w:r>
        <w:rPr>
          <w:vertAlign w:val="superscript"/>
        </w:rPr>
        <w:t xml:space="preserve">-2 </w:t>
      </w:r>
      <w:r>
        <w:rPr/>
        <w:t>y</w:t>
      </w:r>
      <w:r>
        <w:rPr>
          <w:vertAlign w:val="superscript"/>
        </w:rPr>
        <w:t>-1</w:t>
      </w:r>
      <w:r>
        <w:rPr/>
        <w:t>) while the smallest one is assigned to mining areas (0,04 kg m</w:t>
      </w:r>
      <w:r>
        <w:rPr>
          <w:vertAlign w:val="superscript"/>
        </w:rPr>
        <w:t>-2</w:t>
      </w:r>
      <w:r>
        <w:rPr/>
        <w:t xml:space="preserve"> y</w:t>
      </w:r>
      <w:r>
        <w:rPr>
          <w:vertAlign w:val="superscript"/>
        </w:rPr>
        <w:t>-1</w:t>
      </w:r>
      <w:r>
        <w:rPr/>
        <w:t>) that, however, is poorly present. Other minor biotic production values are from urban areas, moorlands, fallow grounds.</w:t>
      </w:r>
    </w:p>
    <w:p>
      <w:pPr>
        <w:pStyle w:val="Normal"/>
        <w:rPr/>
      </w:pPr>
      <w:r>
        <w:rPr/>
      </w:r>
      <w:r>
        <w:br w:type="page"/>
      </w:r>
    </w:p>
    <w:p>
      <w:pPr>
        <w:pStyle w:val="Heading1"/>
        <w:rPr/>
      </w:pPr>
      <w:r>
        <w:rPr/>
        <w:t>ANNEX 3</w:t>
      </w:r>
    </w:p>
    <w:p>
      <w:pPr>
        <w:pStyle w:val="Normal"/>
        <w:rPr/>
      </w:pPr>
      <w:r>
        <w:rPr/>
        <w:t>A detailed illustration about the input data elaboration is reported:</w:t>
      </w:r>
    </w:p>
    <w:p>
      <w:pPr>
        <w:pStyle w:val="ListParagraph"/>
        <w:numPr>
          <w:ilvl w:val="1"/>
          <w:numId w:val="6"/>
        </w:numPr>
        <w:rPr/>
      </w:pPr>
      <w:r>
        <w:rPr/>
        <w:t xml:space="preserve">annual precipitation: daily precipitation values of a whole year (2018) have been summed to obtain annual precipitation value. </w:t>
      </w:r>
    </w:p>
    <w:p>
      <w:pPr>
        <w:pStyle w:val="ListParagraph"/>
        <w:numPr>
          <w:ilvl w:val="1"/>
          <w:numId w:val="6"/>
        </w:numPr>
        <w:rPr/>
      </w:pPr>
      <w:r>
        <w:rPr/>
        <w:t xml:space="preserve">annual wet days: monthly wet days value of a whole year (2018) have been summed to obtain annual wet days value. Wet days are measured at the closest local hydrologic station. </w:t>
      </w:r>
    </w:p>
    <w:p>
      <w:pPr>
        <w:pStyle w:val="ListParagraph"/>
        <w:numPr>
          <w:ilvl w:val="0"/>
          <w:numId w:val="0"/>
        </w:numPr>
        <w:ind w:left="2160" w:hanging="0"/>
        <w:rPr/>
      </w:pPr>
      <w:r>
        <w:rPr/>
        <w:t>Precipitation data came from hydrologic registries of the Hydrologic-Meteorological-Climatic Service of ARPAE (Agenzia Regionale per la Prevenzione, l’Ambiente e l’Energia dell’Emilia-Romagna)</w:t>
      </w:r>
      <w:r>
        <w:rPr>
          <w:rStyle w:val="FootnoteAnchor"/>
        </w:rPr>
        <w:footnoteReference w:id="2"/>
      </w:r>
      <w:r>
        <w:rPr/>
        <w:t xml:space="preserve">, measured through rain gauges or pluviometers. </w:t>
      </w:r>
    </w:p>
    <w:p>
      <w:pPr>
        <w:pStyle w:val="ListParagraph"/>
        <w:numPr>
          <w:ilvl w:val="1"/>
          <w:numId w:val="6"/>
        </w:numPr>
        <w:rPr/>
      </w:pPr>
      <w:r>
        <w:rPr/>
        <w:t>slope: slope data for the region (Emilia-Romagna) were obtained by processing the digital elevation model of Emilia-Romagna using the QGIS software.</w:t>
      </w:r>
    </w:p>
    <w:p>
      <w:pPr>
        <w:pStyle w:val="ListParagraph"/>
        <w:numPr>
          <w:ilvl w:val="1"/>
          <w:numId w:val="6"/>
        </w:numPr>
        <w:rPr/>
      </w:pPr>
      <w:r>
        <w:rPr/>
        <w:t>annual evapotranspiration: an 8-days value of effective evapotranspiration in Emilia-Romagna (referred to the first week of April 2018) has been multiplied by a factor of 45,625 to estimate an annual effective evapotranspiration value.</w:t>
      </w:r>
    </w:p>
    <w:p>
      <w:pPr>
        <w:pStyle w:val="ListParagraph"/>
        <w:numPr>
          <w:ilvl w:val="1"/>
          <w:numId w:val="6"/>
        </w:numPr>
        <w:rPr/>
      </w:pPr>
      <w:r>
        <w:rPr/>
        <w:t>land use: the land use type classification adopted by the Emilia-Romagna land use map has been converted to the classification used by LANCA® discretionally, in the most sensitive way.</w:t>
      </w:r>
    </w:p>
    <w:p>
      <w:pPr>
        <w:pStyle w:val="Normal"/>
        <w:rPr/>
      </w:pPr>
      <w:r>
        <w:rPr/>
        <w:t>Humus content is estimated as the 1,5% – 2% of the organic matter content. Hence, in this study, humus content is assumed as the 1,75% of the respective organic matter content.</w:t>
      </w:r>
    </w:p>
    <w:p>
      <w:pPr>
        <w:pStyle w:val="Normal"/>
        <w:rPr/>
      </w:pPr>
      <w:r>
        <w:rPr/>
      </w:r>
    </w:p>
    <w:p>
      <w:pPr>
        <w:pStyle w:val="Normal"/>
        <w:rPr/>
      </w:pPr>
      <w:r>
        <w:rPr/>
      </w:r>
    </w:p>
    <w:p>
      <w:pPr>
        <w:pStyle w:val="Normal"/>
        <w:rPr/>
      </w:pPr>
      <w:r>
        <w:rPr/>
      </w:r>
    </w:p>
    <w:p>
      <w:pPr>
        <w:pStyle w:val="Normal"/>
        <w:rPr/>
      </w:pPr>
      <w:r>
        <w:rPr/>
      </w:r>
      <w:r>
        <w:br w:type="page"/>
      </w:r>
    </w:p>
    <w:p>
      <w:pPr>
        <w:pStyle w:val="Heading1"/>
        <w:rPr/>
      </w:pPr>
      <w:r>
        <w:rPr/>
        <w:t>ANNEX 4</w:t>
      </w:r>
    </w:p>
    <w:p>
      <w:pPr>
        <w:pStyle w:val="Normal"/>
        <w:rPr/>
      </w:pPr>
      <w:r>
        <w:rPr/>
        <w:t xml:space="preserve">Table </w:t>
      </w:r>
      <w:r>
        <w:rPr/>
        <w:t>3</w:t>
      </w:r>
      <w:r>
        <w:rPr/>
        <w:t>S reports individual steps of LANCA calculation processes and their transparency and arbitrariness evaluations.</w:t>
      </w:r>
    </w:p>
    <w:p>
      <w:pPr>
        <w:pStyle w:val="Normal"/>
        <w:rPr/>
      </w:pPr>
      <w:r>
        <w:rPr/>
        <w:t>Four types of step have been individuated:</w:t>
      </w:r>
    </w:p>
    <w:p>
      <w:pPr>
        <w:pStyle w:val="ListParagraph"/>
        <w:numPr>
          <w:ilvl w:val="0"/>
          <w:numId w:val="2"/>
        </w:numPr>
        <w:rPr/>
      </w:pPr>
      <w:r>
        <w:rPr/>
        <w:t xml:space="preserve">Selection: the user must select a certain items in a table from LANCA method report </w:t>
      </w:r>
      <w:r>
        <w:fldChar w:fldCharType="begin"/>
      </w:r>
      <w:r>
        <w:rPr/>
        <w:instrText>ADDIN CSL_CITATION {"citationItems":[{"id":"ITEM-1","itemData":{"ISBN":"978-3-8396-0953-8","ISSN":"978-3-8396-0953-8","abstract":"Bos, U., Horn, R., Beck, T., Lindner, J.P., Fischer, M., 2016. LANCA ® Characterization Factors for Life Cycle Impact Assessment. Fraunhofer Verlag.","author":[{"dropping-particle":"","family":"Bos","given":"Ulrike","non-dropping-particle":"","parse-names":false,"suffix":""},{"dropping-particle":"","family":"Horn","given":"Rafael","non-dropping-particle":"","parse-names":false,"suffix":""},{"dropping-particle":"","family":"Beck","given":"Tabea","non-dropping-particle":"","parse-names":false,"suffix":""},{"dropping-particle":"","family":"Lindner","given":"J.-P.","non-dropping-particle":"","parse-names":false,"suffix":""},{"dropping-particle":"","family":"Fisher","given":"M.","non-dropping-particle":"","parse-names":false,"suffix":""}],"id":"ITEM-1","issued":{"date-parts":[["2016"]]},"title":"LANCA ® Characterization Factors for Life Cycle Impact Assessment - Version 2.0","type":"article-journal"},"uris":["http://www.mendeley.com/documents/?uuid=e37476ce-5c32-4542-8d11-a096205b8cd1"]}],"mendeley":{"formattedCitation":"(Bos et al., 2016)","plainTextFormattedCitation":"(Bos et al., 2016)","previouslyFormattedCitation":"(Bos, Horn, Beck, Lindner, &amp; Fisher, 2016)"},"properties":{"noteIndex":0},"schema":"https://github.com/citation-style-language/schema/raw/master/csl-citation.json"}</w:instrText>
      </w:r>
      <w:r>
        <w:rPr/>
      </w:r>
      <w:r>
        <w:rPr/>
        <w:fldChar w:fldCharType="separate"/>
      </w:r>
      <w:r>
        <w:rPr/>
        <w:t>(Bos et al., 2016)</w:t>
      </w:r>
      <w:r>
        <w:rPr/>
      </w:r>
      <w:r>
        <w:rPr/>
        <w:fldChar w:fldCharType="end"/>
      </w:r>
      <w:r>
        <w:rPr/>
        <w:t>;</w:t>
      </w:r>
    </w:p>
    <w:p>
      <w:pPr>
        <w:pStyle w:val="ListParagraph"/>
        <w:numPr>
          <w:ilvl w:val="0"/>
          <w:numId w:val="2"/>
        </w:numPr>
        <w:rPr/>
      </w:pPr>
      <w:r>
        <w:rPr/>
        <w:t>Insertion: the user must determine an input data to be implemented in the model; when a certain input data is requested several times, only the first insertion is accounted as a step</w:t>
      </w:r>
    </w:p>
    <w:p>
      <w:pPr>
        <w:pStyle w:val="ListParagraph"/>
        <w:numPr>
          <w:ilvl w:val="0"/>
          <w:numId w:val="2"/>
        </w:numPr>
        <w:rPr/>
      </w:pPr>
      <w:r>
        <w:rPr/>
        <w:t>Calculation: the user must calculate a certain parameter with equation not provided by the LANCA method report;</w:t>
      </w:r>
    </w:p>
    <w:p>
      <w:pPr>
        <w:pStyle w:val="ListParagraph"/>
        <w:numPr>
          <w:ilvl w:val="0"/>
          <w:numId w:val="2"/>
        </w:numPr>
        <w:rPr/>
      </w:pPr>
      <w:r>
        <w:rPr/>
        <w:t>Application: the user must use an equation provided by the LANCA method report..</w:t>
      </w:r>
    </w:p>
    <w:p>
      <w:pPr>
        <w:pStyle w:val="Normal"/>
        <w:rPr/>
      </w:pPr>
      <w:r>
        <w:rPr/>
        <w:t>Transparency scores definitions are here reported:</w:t>
      </w:r>
    </w:p>
    <w:p>
      <w:pPr>
        <w:pStyle w:val="ListParagraph"/>
        <w:numPr>
          <w:ilvl w:val="0"/>
          <w:numId w:val="3"/>
        </w:numPr>
        <w:rPr/>
      </w:pPr>
      <w:r>
        <w:rPr/>
        <w:t>1: LANCA defines how to carry out the step, if the step can be applied in all conditions and, if not, in which cases; unites of measurement of required input data are reported; literature is reported and accessible.</w:t>
      </w:r>
    </w:p>
    <w:p>
      <w:pPr>
        <w:pStyle w:val="ListParagraph"/>
        <w:numPr>
          <w:ilvl w:val="0"/>
          <w:numId w:val="3"/>
        </w:numPr>
        <w:rPr/>
      </w:pPr>
      <w:r>
        <w:rPr/>
        <w:t>2: LANCA defines how to carry out the step but does not point out if the step can be applied in all conditions, or its validity limits (i.e. parameters space, calibration etc.) or unites of measurement of required input data are not reported; literature is reported and accessible.</w:t>
      </w:r>
    </w:p>
    <w:p>
      <w:pPr>
        <w:pStyle w:val="ListParagraph"/>
        <w:numPr>
          <w:ilvl w:val="0"/>
          <w:numId w:val="3"/>
        </w:numPr>
        <w:rPr/>
      </w:pPr>
      <w:r>
        <w:rPr/>
        <w:t>3: LANCA defines how to carry out the step but does not point out if the step can be applied in all conditions, or its validity limits (i.e. parameters space, calibration etc.) or unites of measurement of required input data are not reported; literature is not reported or, if it is, it is not accessible (it is grey literature or in German).</w:t>
      </w:r>
    </w:p>
    <w:p>
      <w:pPr>
        <w:pStyle w:val="ListParagraph"/>
        <w:numPr>
          <w:ilvl w:val="0"/>
          <w:numId w:val="3"/>
        </w:numPr>
        <w:rPr/>
      </w:pPr>
      <w:r>
        <w:rPr/>
        <w:t>4: LANCA does not define how to carry out the step; no literature is reported.</w:t>
      </w:r>
      <w:bookmarkStart w:id="4" w:name="_Hlk27055831"/>
      <w:bookmarkEnd w:id="4"/>
    </w:p>
    <w:p>
      <w:pPr>
        <w:pStyle w:val="Normal"/>
        <w:rPr/>
      </w:pPr>
      <w:r>
        <w:rPr/>
        <w:t>In table 2S, the user arbitrariness is indicated as:</w:t>
      </w:r>
    </w:p>
    <w:p>
      <w:pPr>
        <w:pStyle w:val="Normal"/>
        <w:ind w:left="708" w:hanging="708"/>
        <w:rPr/>
      </w:pPr>
      <w:r>
        <w:rPr>
          <w:rFonts w:cs="Segoe UI Symbol" w:ascii="Segoe UI Symbol" w:hAnsi="Segoe UI Symbol"/>
          <w:color w:val="222222"/>
          <w:sz w:val="21"/>
          <w:szCs w:val="21"/>
          <w:shd w:fill="FFFFFF" w:val="clear"/>
        </w:rPr>
        <w:t>✓</w:t>
      </w:r>
      <w:r>
        <w:rPr>
          <w:rFonts w:cs="Segoe UI Symbol" w:ascii="Segoe UI Symbol" w:hAnsi="Segoe UI Symbol"/>
          <w:color w:val="222222"/>
          <w:sz w:val="21"/>
          <w:szCs w:val="21"/>
          <w:shd w:fill="FFFFFF" w:val="clear"/>
        </w:rPr>
        <w:t xml:space="preserve">: </w:t>
        <w:tab/>
      </w:r>
      <w:bookmarkStart w:id="5" w:name="_Hlk27055767"/>
      <w:r>
        <w:rPr/>
        <w:t>the step is ambiguously, or not at all, described and the user must figure it out independently</w:t>
      </w:r>
      <w:bookmarkEnd w:id="5"/>
    </w:p>
    <w:p>
      <w:pPr>
        <w:pStyle w:val="Normal"/>
        <w:ind w:left="708" w:hanging="708"/>
        <w:rPr/>
      </w:pPr>
      <w:r>
        <w:rPr>
          <w:rFonts w:cs="Segoe UI Symbol" w:ascii="Segoe UI Symbol" w:hAnsi="Segoe UI Symbol"/>
          <w:color w:val="222222"/>
          <w:sz w:val="21"/>
          <w:szCs w:val="21"/>
          <w:shd w:fill="FFFFFF" w:val="clear"/>
        </w:rPr>
        <w:t>✗</w:t>
      </w:r>
      <w:r>
        <w:rPr>
          <w:rFonts w:cs="Segoe UI Symbol" w:ascii="Segoe UI Symbol" w:hAnsi="Segoe UI Symbol"/>
          <w:color w:val="222222"/>
          <w:sz w:val="21"/>
          <w:szCs w:val="21"/>
          <w:shd w:fill="FFFFFF" w:val="clear"/>
        </w:rPr>
        <w:t>:</w:t>
        <w:tab/>
        <w:t>t</w:t>
      </w:r>
      <w:r>
        <w:rPr/>
        <w:t>he calculation step is clearly described</w:t>
      </w:r>
    </w:p>
    <w:p>
      <w:pPr>
        <w:pStyle w:val="Caption1"/>
        <w:keepNext w:val="true"/>
        <w:rPr/>
      </w:pPr>
      <w:r>
        <w:rPr/>
        <w:t xml:space="preserve">Table </w:t>
      </w:r>
      <w:r>
        <w:rPr/>
        <w:fldChar w:fldCharType="begin"/>
      </w:r>
      <w:r>
        <w:rPr/>
        <w:instrText> SEQ Table \* ARABIC </w:instrText>
      </w:r>
      <w:r>
        <w:rPr/>
        <w:fldChar w:fldCharType="separate"/>
      </w:r>
      <w:r>
        <w:rPr/>
        <w:t>3</w:t>
      </w:r>
      <w:r>
        <w:rPr/>
        <w:fldChar w:fldCharType="end"/>
      </w:r>
      <w:r>
        <w:rPr/>
        <w:t xml:space="preserve">S: </w:t>
      </w:r>
      <w:r>
        <w:rPr/>
        <w:t xml:space="preserve">transparency score calculation </w:t>
      </w:r>
    </w:p>
    <w:tbl>
      <w:tblPr>
        <w:tblStyle w:val="Grigliatabella"/>
        <w:tblW w:w="9628" w:type="dxa"/>
        <w:jc w:val="center"/>
        <w:tblInd w:w="0" w:type="dxa"/>
        <w:tblLayout w:type="fixed"/>
        <w:tblCellMar>
          <w:top w:w="0" w:type="dxa"/>
          <w:left w:w="108" w:type="dxa"/>
          <w:bottom w:w="0" w:type="dxa"/>
          <w:right w:w="108" w:type="dxa"/>
        </w:tblCellMar>
        <w:tblLook w:val="04a0" w:noVBand="1" w:noHBand="0" w:lastColumn="0" w:firstColumn="1" w:lastRow="0" w:firstRow="1"/>
      </w:tblPr>
      <w:tblGrid>
        <w:gridCol w:w="1925"/>
        <w:gridCol w:w="1614"/>
        <w:gridCol w:w="2310"/>
        <w:gridCol w:w="1234"/>
        <w:gridCol w:w="2545"/>
      </w:tblGrid>
      <w:tr>
        <w:trPr/>
        <w:tc>
          <w:tcPr>
            <w:tcW w:w="1925" w:type="dxa"/>
            <w:tcBorders/>
          </w:tcPr>
          <w:p>
            <w:pPr>
              <w:pStyle w:val="Normal"/>
              <w:widowControl w:val="false"/>
              <w:suppressAutoHyphens w:val="true"/>
              <w:spacing w:lineRule="auto" w:line="240" w:before="0" w:after="0"/>
              <w:jc w:val="center"/>
              <w:rPr>
                <w:sz w:val="18"/>
                <w:szCs w:val="18"/>
              </w:rPr>
            </w:pPr>
            <w:r>
              <w:rPr>
                <w:rFonts w:eastAsia="Calibri" w:cs=""/>
                <w:kern w:val="0"/>
                <w:sz w:val="18"/>
                <w:szCs w:val="18"/>
                <w:lang w:eastAsia="en-US" w:bidi="ar-SA"/>
              </w:rPr>
              <w:t>Steps</w:t>
            </w:r>
          </w:p>
        </w:tc>
        <w:tc>
          <w:tcPr>
            <w:tcW w:w="1614" w:type="dxa"/>
            <w:tcBorders/>
          </w:tcPr>
          <w:p>
            <w:pPr>
              <w:pStyle w:val="Normal"/>
              <w:widowControl w:val="false"/>
              <w:suppressAutoHyphens w:val="true"/>
              <w:spacing w:lineRule="auto" w:line="240" w:before="0" w:after="0"/>
              <w:jc w:val="center"/>
              <w:rPr>
                <w:sz w:val="18"/>
                <w:szCs w:val="18"/>
              </w:rPr>
            </w:pPr>
            <w:r>
              <w:rPr>
                <w:rFonts w:eastAsia="Calibri" w:cs=""/>
                <w:kern w:val="0"/>
                <w:sz w:val="18"/>
                <w:szCs w:val="18"/>
                <w:lang w:eastAsia="en-US" w:bidi="ar-SA"/>
              </w:rPr>
              <w:t>Transparency score</w:t>
            </w:r>
          </w:p>
        </w:tc>
        <w:tc>
          <w:tcPr>
            <w:tcW w:w="2310" w:type="dxa"/>
            <w:tcBorders/>
          </w:tcPr>
          <w:p>
            <w:pPr>
              <w:pStyle w:val="Normal"/>
              <w:widowControl w:val="false"/>
              <w:suppressAutoHyphens w:val="true"/>
              <w:spacing w:lineRule="auto" w:line="240" w:before="0" w:after="0"/>
              <w:jc w:val="center"/>
              <w:rPr>
                <w:sz w:val="18"/>
                <w:szCs w:val="18"/>
              </w:rPr>
            </w:pPr>
            <w:r>
              <w:rPr>
                <w:rFonts w:eastAsia="Calibri" w:cs=""/>
                <w:kern w:val="0"/>
                <w:sz w:val="18"/>
                <w:szCs w:val="18"/>
                <w:lang w:eastAsia="en-US" w:bidi="ar-SA"/>
              </w:rPr>
              <w:t>Transparency score explication</w:t>
            </w:r>
          </w:p>
        </w:tc>
        <w:tc>
          <w:tcPr>
            <w:tcW w:w="1234" w:type="dxa"/>
            <w:tcBorders/>
          </w:tcPr>
          <w:p>
            <w:pPr>
              <w:pStyle w:val="Normal"/>
              <w:widowControl w:val="false"/>
              <w:suppressAutoHyphens w:val="true"/>
              <w:spacing w:lineRule="auto" w:line="240" w:before="0" w:after="0"/>
              <w:jc w:val="center"/>
              <w:rPr>
                <w:sz w:val="18"/>
                <w:szCs w:val="18"/>
              </w:rPr>
            </w:pPr>
            <w:r>
              <w:rPr>
                <w:rFonts w:eastAsia="Calibri" w:cs=""/>
                <w:kern w:val="0"/>
                <w:sz w:val="18"/>
                <w:szCs w:val="18"/>
                <w:lang w:eastAsia="en-US" w:bidi="ar-SA"/>
              </w:rPr>
              <w:t>Arbitrariness</w:t>
            </w:r>
          </w:p>
        </w:tc>
        <w:tc>
          <w:tcPr>
            <w:tcW w:w="2545" w:type="dxa"/>
            <w:tcBorders/>
          </w:tcPr>
          <w:p>
            <w:pPr>
              <w:pStyle w:val="Normal"/>
              <w:widowControl w:val="false"/>
              <w:suppressAutoHyphens w:val="true"/>
              <w:spacing w:lineRule="auto" w:line="240" w:before="0" w:after="0"/>
              <w:jc w:val="center"/>
              <w:rPr>
                <w:sz w:val="18"/>
                <w:szCs w:val="18"/>
              </w:rPr>
            </w:pPr>
            <w:r>
              <w:rPr>
                <w:rFonts w:eastAsia="Calibri" w:cs=""/>
                <w:kern w:val="0"/>
                <w:sz w:val="18"/>
                <w:szCs w:val="18"/>
                <w:lang w:eastAsia="en-US" w:bidi="ar-SA"/>
              </w:rPr>
              <w:t>Arbitrariness explication</w:t>
            </w:r>
          </w:p>
        </w:tc>
      </w:tr>
      <w:tr>
        <w:trPr/>
        <w:tc>
          <w:tcPr>
            <w:tcW w:w="9628" w:type="dxa"/>
            <w:gridSpan w:val="5"/>
            <w:tcBorders/>
          </w:tcPr>
          <w:p>
            <w:pPr>
              <w:pStyle w:val="Normal"/>
              <w:widowControl w:val="false"/>
              <w:suppressAutoHyphens w:val="true"/>
              <w:spacing w:lineRule="auto" w:line="240" w:before="0" w:after="0"/>
              <w:jc w:val="center"/>
              <w:rPr>
                <w:sz w:val="18"/>
                <w:szCs w:val="18"/>
              </w:rPr>
            </w:pPr>
            <w:r>
              <w:rPr>
                <w:rFonts w:eastAsia="Calibri" w:cs=""/>
                <w:kern w:val="0"/>
                <w:sz w:val="18"/>
                <w:szCs w:val="18"/>
                <w:lang w:eastAsia="en-US" w:bidi="ar-SA"/>
              </w:rPr>
              <w:t>EROSION RESISTANCE CALCULATION</w:t>
            </w:r>
          </w:p>
        </w:tc>
      </w:tr>
      <w:tr>
        <w:trPr/>
        <w:tc>
          <w:tcPr>
            <w:tcW w:w="1925" w:type="dxa"/>
            <w:tcBorders/>
          </w:tcPr>
          <w:p>
            <w:pPr>
              <w:pStyle w:val="Normal"/>
              <w:widowControl w:val="false"/>
              <w:suppressAutoHyphens w:val="true"/>
              <w:spacing w:lineRule="auto" w:line="240" w:before="0" w:after="0"/>
              <w:jc w:val="center"/>
              <w:rPr>
                <w:sz w:val="18"/>
                <w:szCs w:val="18"/>
              </w:rPr>
            </w:pPr>
            <w:r>
              <w:rPr>
                <w:rFonts w:eastAsia="Calibri" w:cs=""/>
                <w:kern w:val="0"/>
                <w:sz w:val="18"/>
                <w:szCs w:val="18"/>
                <w:lang w:eastAsia="en-US" w:bidi="ar-SA"/>
              </w:rPr>
              <w:t>Climate zone selection</w:t>
            </w:r>
          </w:p>
        </w:tc>
        <w:tc>
          <w:tcPr>
            <w:tcW w:w="1614" w:type="dxa"/>
            <w:tcBorders/>
          </w:tcPr>
          <w:p>
            <w:pPr>
              <w:pStyle w:val="Normal"/>
              <w:widowControl w:val="false"/>
              <w:suppressAutoHyphens w:val="true"/>
              <w:spacing w:lineRule="auto" w:line="240" w:before="0" w:after="0"/>
              <w:jc w:val="center"/>
              <w:rPr>
                <w:sz w:val="18"/>
                <w:szCs w:val="18"/>
              </w:rPr>
            </w:pPr>
            <w:r>
              <w:rPr>
                <w:rFonts w:eastAsia="Calibri" w:cs=""/>
                <w:kern w:val="0"/>
                <w:sz w:val="18"/>
                <w:szCs w:val="18"/>
                <w:lang w:eastAsia="en-US" w:bidi="ar-SA"/>
              </w:rPr>
              <w:t>2</w:t>
            </w:r>
          </w:p>
        </w:tc>
        <w:tc>
          <w:tcPr>
            <w:tcW w:w="2310" w:type="dxa"/>
            <w:tcBorders/>
          </w:tcPr>
          <w:p>
            <w:pPr>
              <w:pStyle w:val="Normal"/>
              <w:widowControl w:val="false"/>
              <w:suppressAutoHyphens w:val="true"/>
              <w:spacing w:lineRule="auto" w:line="240" w:before="0" w:after="0"/>
              <w:jc w:val="left"/>
              <w:rPr>
                <w:sz w:val="18"/>
                <w:szCs w:val="18"/>
              </w:rPr>
            </w:pPr>
            <w:r>
              <w:rPr>
                <w:rFonts w:eastAsia="Calibri" w:cs=""/>
                <w:kern w:val="0"/>
                <w:sz w:val="18"/>
                <w:szCs w:val="18"/>
                <w:lang w:eastAsia="en-US" w:bidi="ar-SA"/>
              </w:rPr>
              <w:t>No tool for climate zone selection is provided; user must check from reported literature</w:t>
            </w:r>
          </w:p>
        </w:tc>
        <w:tc>
          <w:tcPr>
            <w:tcW w:w="1234" w:type="dxa"/>
            <w:tcBorders/>
          </w:tcPr>
          <w:p>
            <w:pPr>
              <w:pStyle w:val="Normal"/>
              <w:widowControl w:val="false"/>
              <w:suppressAutoHyphens w:val="true"/>
              <w:spacing w:lineRule="auto" w:line="240" w:before="0" w:after="0"/>
              <w:jc w:val="center"/>
              <w:rPr>
                <w:sz w:val="18"/>
                <w:szCs w:val="18"/>
              </w:rPr>
            </w:pPr>
            <w:r>
              <w:rPr>
                <w:rFonts w:eastAsia="Calibri" w:cs="Segoe UI Symbol" w:ascii="Segoe UI Symbol" w:hAnsi="Segoe UI Symbol"/>
                <w:color w:val="222222"/>
                <w:kern w:val="0"/>
                <w:sz w:val="21"/>
                <w:szCs w:val="21"/>
                <w:shd w:fill="FFFFFF" w:val="clear"/>
                <w:lang w:eastAsia="en-US" w:bidi="ar-SA"/>
              </w:rPr>
              <w:t>✓</w:t>
            </w:r>
          </w:p>
        </w:tc>
        <w:tc>
          <w:tcPr>
            <w:tcW w:w="2545" w:type="dxa"/>
            <w:tcBorders/>
          </w:tcPr>
          <w:p>
            <w:pPr>
              <w:pStyle w:val="Normal"/>
              <w:widowControl w:val="false"/>
              <w:suppressAutoHyphens w:val="true"/>
              <w:spacing w:lineRule="auto" w:line="240" w:before="0" w:after="0"/>
              <w:jc w:val="center"/>
              <w:rPr>
                <w:sz w:val="18"/>
                <w:szCs w:val="18"/>
              </w:rPr>
            </w:pPr>
            <w:r>
              <w:rPr>
                <w:rFonts w:eastAsia="Calibri" w:cs=""/>
                <w:kern w:val="0"/>
                <w:sz w:val="18"/>
                <w:szCs w:val="18"/>
                <w:lang w:eastAsia="en-US" w:bidi="ar-SA"/>
              </w:rPr>
              <w:t>User choice in climate zone selection if studied area overlaps climate zone boundaries</w:t>
            </w:r>
          </w:p>
        </w:tc>
      </w:tr>
      <w:tr>
        <w:trPr/>
        <w:tc>
          <w:tcPr>
            <w:tcW w:w="1925" w:type="dxa"/>
            <w:tcBorders/>
          </w:tcPr>
          <w:p>
            <w:pPr>
              <w:pStyle w:val="Normal"/>
              <w:widowControl w:val="false"/>
              <w:suppressAutoHyphens w:val="true"/>
              <w:spacing w:lineRule="auto" w:line="240" w:before="0" w:after="0"/>
              <w:jc w:val="center"/>
              <w:rPr>
                <w:sz w:val="18"/>
                <w:szCs w:val="18"/>
              </w:rPr>
            </w:pPr>
            <w:r>
              <w:rPr>
                <w:rFonts w:eastAsia="Calibri" w:cs=""/>
                <w:kern w:val="0"/>
                <w:sz w:val="18"/>
                <w:szCs w:val="18"/>
                <w:lang w:eastAsia="en-US" w:bidi="ar-SA"/>
              </w:rPr>
              <w:t>Annual precipitation insertion</w:t>
            </w:r>
          </w:p>
        </w:tc>
        <w:tc>
          <w:tcPr>
            <w:tcW w:w="1614" w:type="dxa"/>
            <w:tcBorders/>
          </w:tcPr>
          <w:p>
            <w:pPr>
              <w:pStyle w:val="Normal"/>
              <w:widowControl w:val="false"/>
              <w:suppressAutoHyphens w:val="true"/>
              <w:spacing w:lineRule="auto" w:line="240" w:before="0" w:after="0"/>
              <w:jc w:val="center"/>
              <w:rPr>
                <w:sz w:val="18"/>
                <w:szCs w:val="18"/>
              </w:rPr>
            </w:pPr>
            <w:r>
              <w:rPr>
                <w:rFonts w:eastAsia="Calibri" w:cs=""/>
                <w:kern w:val="0"/>
                <w:sz w:val="18"/>
                <w:szCs w:val="18"/>
                <w:lang w:eastAsia="en-US" w:bidi="ar-SA"/>
              </w:rPr>
              <w:t>2</w:t>
            </w:r>
          </w:p>
        </w:tc>
        <w:tc>
          <w:tcPr>
            <w:tcW w:w="2310" w:type="dxa"/>
            <w:tcBorders/>
          </w:tcPr>
          <w:p>
            <w:pPr>
              <w:pStyle w:val="Normal"/>
              <w:widowControl w:val="false"/>
              <w:suppressAutoHyphens w:val="true"/>
              <w:spacing w:lineRule="auto" w:line="240" w:before="0" w:after="0"/>
              <w:jc w:val="left"/>
              <w:rPr>
                <w:sz w:val="18"/>
                <w:szCs w:val="18"/>
              </w:rPr>
            </w:pPr>
            <w:r>
              <w:rPr>
                <w:rFonts w:eastAsia="Calibri" w:cs=""/>
                <w:kern w:val="0"/>
                <w:sz w:val="18"/>
                <w:szCs w:val="18"/>
                <w:lang w:eastAsia="en-US" w:bidi="ar-SA"/>
              </w:rPr>
              <w:t>No unit of measur</w:t>
            </w:r>
            <w:r>
              <w:rPr>
                <w:rFonts w:eastAsia="Calibri" w:cs=""/>
                <w:kern w:val="0"/>
                <w:sz w:val="18"/>
                <w:szCs w:val="18"/>
                <w:lang w:eastAsia="en-US" w:bidi="ar-SA"/>
              </w:rPr>
              <w:t xml:space="preserve">es </w:t>
            </w:r>
            <w:r>
              <w:rPr>
                <w:rFonts w:eastAsia="Calibri" w:cs=""/>
                <w:kern w:val="0"/>
                <w:sz w:val="18"/>
                <w:szCs w:val="18"/>
                <w:lang w:eastAsia="en-US" w:bidi="ar-SA"/>
              </w:rPr>
              <w:t>specification; user must check from reported literature</w:t>
            </w:r>
          </w:p>
        </w:tc>
        <w:tc>
          <w:tcPr>
            <w:tcW w:w="1234" w:type="dxa"/>
            <w:tcBorders/>
          </w:tcPr>
          <w:p>
            <w:pPr>
              <w:pStyle w:val="Normal"/>
              <w:widowControl w:val="false"/>
              <w:suppressAutoHyphens w:val="true"/>
              <w:spacing w:lineRule="auto" w:line="240" w:before="0" w:after="0"/>
              <w:jc w:val="center"/>
              <w:rPr>
                <w:sz w:val="18"/>
                <w:szCs w:val="18"/>
              </w:rPr>
            </w:pPr>
            <w:r>
              <w:rPr>
                <w:rFonts w:eastAsia="Calibri" w:cs="Segoe UI Symbol" w:ascii="Segoe UI Symbol" w:hAnsi="Segoe UI Symbol"/>
                <w:color w:val="222222"/>
                <w:kern w:val="0"/>
                <w:sz w:val="21"/>
                <w:szCs w:val="21"/>
                <w:shd w:fill="FFFFFF" w:val="clear"/>
                <w:lang w:eastAsia="en-US" w:bidi="ar-SA"/>
              </w:rPr>
              <w:t>✗</w:t>
            </w:r>
          </w:p>
        </w:tc>
        <w:tc>
          <w:tcPr>
            <w:tcW w:w="2545" w:type="dxa"/>
            <w:tcBorders/>
          </w:tcPr>
          <w:p>
            <w:pPr>
              <w:pStyle w:val="Normal"/>
              <w:widowControl w:val="false"/>
              <w:suppressAutoHyphens w:val="true"/>
              <w:spacing w:lineRule="auto" w:line="240" w:before="0" w:after="0"/>
              <w:jc w:val="center"/>
              <w:rPr>
                <w:sz w:val="18"/>
                <w:szCs w:val="18"/>
              </w:rPr>
            </w:pPr>
            <w:r>
              <w:rPr>
                <w:sz w:val="18"/>
                <w:szCs w:val="18"/>
              </w:rPr>
            </w:r>
          </w:p>
        </w:tc>
      </w:tr>
      <w:tr>
        <w:trPr/>
        <w:tc>
          <w:tcPr>
            <w:tcW w:w="1925" w:type="dxa"/>
            <w:tcBorders/>
          </w:tcPr>
          <w:p>
            <w:pPr>
              <w:pStyle w:val="Normal"/>
              <w:widowControl w:val="false"/>
              <w:suppressAutoHyphens w:val="true"/>
              <w:spacing w:lineRule="auto" w:line="240" w:before="0" w:after="0"/>
              <w:jc w:val="center"/>
              <w:rPr>
                <w:sz w:val="18"/>
                <w:szCs w:val="18"/>
              </w:rPr>
            </w:pPr>
            <w:r>
              <w:rPr>
                <w:rFonts w:eastAsia="Calibri" w:cs=""/>
                <w:kern w:val="0"/>
                <w:sz w:val="18"/>
                <w:szCs w:val="18"/>
                <w:lang w:eastAsia="en-US" w:bidi="ar-SA"/>
              </w:rPr>
              <w:t>Elevation insertion</w:t>
            </w:r>
          </w:p>
        </w:tc>
        <w:tc>
          <w:tcPr>
            <w:tcW w:w="1614" w:type="dxa"/>
            <w:tcBorders/>
          </w:tcPr>
          <w:p>
            <w:pPr>
              <w:pStyle w:val="Normal"/>
              <w:widowControl w:val="false"/>
              <w:suppressAutoHyphens w:val="true"/>
              <w:spacing w:lineRule="auto" w:line="240" w:before="0" w:after="0"/>
              <w:jc w:val="center"/>
              <w:rPr>
                <w:sz w:val="18"/>
                <w:szCs w:val="18"/>
              </w:rPr>
            </w:pPr>
            <w:r>
              <w:rPr>
                <w:rFonts w:eastAsia="Calibri" w:cs=""/>
                <w:kern w:val="0"/>
                <w:sz w:val="18"/>
                <w:szCs w:val="18"/>
                <w:lang w:eastAsia="en-US" w:bidi="ar-SA"/>
              </w:rPr>
              <w:t>2</w:t>
            </w:r>
          </w:p>
        </w:tc>
        <w:tc>
          <w:tcPr>
            <w:tcW w:w="2310" w:type="dxa"/>
            <w:tcBorders/>
          </w:tcPr>
          <w:p>
            <w:pPr>
              <w:pStyle w:val="Normal"/>
              <w:widowControl w:val="false"/>
              <w:suppressAutoHyphens w:val="true"/>
              <w:spacing w:lineRule="auto" w:line="240" w:before="0" w:after="0"/>
              <w:jc w:val="left"/>
              <w:rPr>
                <w:sz w:val="18"/>
                <w:szCs w:val="18"/>
              </w:rPr>
            </w:pPr>
            <w:r>
              <w:rPr>
                <w:rFonts w:eastAsia="Calibri" w:cs=""/>
                <w:kern w:val="0"/>
                <w:sz w:val="18"/>
                <w:szCs w:val="18"/>
                <w:lang w:eastAsia="en-US" w:bidi="ar-SA"/>
              </w:rPr>
              <w:t>No unit of measur</w:t>
            </w:r>
            <w:r>
              <w:rPr>
                <w:rFonts w:eastAsia="Calibri" w:cs=""/>
                <w:kern w:val="0"/>
                <w:sz w:val="18"/>
                <w:szCs w:val="18"/>
                <w:lang w:eastAsia="en-US" w:bidi="ar-SA"/>
              </w:rPr>
              <w:t xml:space="preserve">es </w:t>
            </w:r>
            <w:r>
              <w:rPr>
                <w:rFonts w:eastAsia="Calibri" w:cs=""/>
                <w:kern w:val="0"/>
                <w:sz w:val="18"/>
                <w:szCs w:val="18"/>
                <w:lang w:eastAsia="en-US" w:bidi="ar-SA"/>
              </w:rPr>
              <w:t>specification; user must check from reported literature</w:t>
            </w:r>
          </w:p>
        </w:tc>
        <w:tc>
          <w:tcPr>
            <w:tcW w:w="1234" w:type="dxa"/>
            <w:tcBorders/>
          </w:tcPr>
          <w:p>
            <w:pPr>
              <w:pStyle w:val="Normal"/>
              <w:widowControl w:val="false"/>
              <w:suppressAutoHyphens w:val="true"/>
              <w:spacing w:lineRule="auto" w:line="240" w:before="0" w:after="0"/>
              <w:jc w:val="center"/>
              <w:rPr>
                <w:sz w:val="18"/>
                <w:szCs w:val="18"/>
              </w:rPr>
            </w:pPr>
            <w:r>
              <w:rPr>
                <w:rFonts w:eastAsia="Calibri" w:cs="Segoe UI Symbol" w:ascii="Segoe UI Symbol" w:hAnsi="Segoe UI Symbol"/>
                <w:color w:val="222222"/>
                <w:kern w:val="0"/>
                <w:sz w:val="21"/>
                <w:szCs w:val="21"/>
                <w:shd w:fill="FFFFFF" w:val="clear"/>
                <w:lang w:eastAsia="en-US" w:bidi="ar-SA"/>
              </w:rPr>
              <w:t>✗</w:t>
            </w:r>
          </w:p>
        </w:tc>
        <w:tc>
          <w:tcPr>
            <w:tcW w:w="2545" w:type="dxa"/>
            <w:tcBorders/>
          </w:tcPr>
          <w:p>
            <w:pPr>
              <w:pStyle w:val="Normal"/>
              <w:widowControl w:val="false"/>
              <w:suppressAutoHyphens w:val="true"/>
              <w:spacing w:lineRule="auto" w:line="240" w:before="0" w:after="0"/>
              <w:jc w:val="center"/>
              <w:rPr>
                <w:sz w:val="18"/>
                <w:szCs w:val="18"/>
              </w:rPr>
            </w:pPr>
            <w:r>
              <w:rPr>
                <w:sz w:val="18"/>
                <w:szCs w:val="18"/>
              </w:rPr>
            </w:r>
          </w:p>
        </w:tc>
      </w:tr>
      <w:tr>
        <w:trPr/>
        <w:tc>
          <w:tcPr>
            <w:tcW w:w="1925" w:type="dxa"/>
            <w:tcBorders/>
          </w:tcPr>
          <w:p>
            <w:pPr>
              <w:pStyle w:val="Normal"/>
              <w:widowControl w:val="false"/>
              <w:suppressAutoHyphens w:val="true"/>
              <w:spacing w:lineRule="auto" w:line="240" w:before="0" w:after="0"/>
              <w:jc w:val="center"/>
              <w:rPr>
                <w:sz w:val="18"/>
                <w:szCs w:val="18"/>
              </w:rPr>
            </w:pPr>
            <w:r>
              <w:rPr>
                <w:rFonts w:eastAsia="Calibri" w:cs=""/>
                <w:kern w:val="0"/>
                <w:sz w:val="18"/>
                <w:szCs w:val="18"/>
                <w:lang w:eastAsia="en-US" w:bidi="ar-SA"/>
              </w:rPr>
              <w:t>Annual wet days insertion</w:t>
            </w:r>
          </w:p>
        </w:tc>
        <w:tc>
          <w:tcPr>
            <w:tcW w:w="1614" w:type="dxa"/>
            <w:tcBorders/>
          </w:tcPr>
          <w:p>
            <w:pPr>
              <w:pStyle w:val="Normal"/>
              <w:widowControl w:val="false"/>
              <w:suppressAutoHyphens w:val="true"/>
              <w:spacing w:lineRule="auto" w:line="240" w:before="0" w:after="0"/>
              <w:jc w:val="center"/>
              <w:rPr>
                <w:sz w:val="18"/>
                <w:szCs w:val="18"/>
              </w:rPr>
            </w:pPr>
            <w:r>
              <w:rPr>
                <w:rFonts w:eastAsia="Calibri" w:cs=""/>
                <w:kern w:val="0"/>
                <w:sz w:val="18"/>
                <w:szCs w:val="18"/>
                <w:lang w:eastAsia="en-US" w:bidi="ar-SA"/>
              </w:rPr>
              <w:t>1</w:t>
            </w:r>
          </w:p>
        </w:tc>
        <w:tc>
          <w:tcPr>
            <w:tcW w:w="2310" w:type="dxa"/>
            <w:tcBorders/>
          </w:tcPr>
          <w:p>
            <w:pPr>
              <w:pStyle w:val="Normal"/>
              <w:widowControl w:val="false"/>
              <w:suppressAutoHyphens w:val="true"/>
              <w:spacing w:lineRule="auto" w:line="240" w:before="0" w:after="0"/>
              <w:jc w:val="left"/>
              <w:rPr>
                <w:sz w:val="18"/>
                <w:szCs w:val="18"/>
              </w:rPr>
            </w:pPr>
            <w:r>
              <w:rPr>
                <w:sz w:val="18"/>
                <w:szCs w:val="18"/>
              </w:rPr>
            </w:r>
          </w:p>
        </w:tc>
        <w:tc>
          <w:tcPr>
            <w:tcW w:w="1234" w:type="dxa"/>
            <w:tcBorders/>
          </w:tcPr>
          <w:p>
            <w:pPr>
              <w:pStyle w:val="Normal"/>
              <w:widowControl w:val="false"/>
              <w:suppressAutoHyphens w:val="true"/>
              <w:spacing w:lineRule="auto" w:line="240" w:before="0" w:after="0"/>
              <w:jc w:val="center"/>
              <w:rPr>
                <w:sz w:val="18"/>
                <w:szCs w:val="18"/>
              </w:rPr>
            </w:pPr>
            <w:r>
              <w:rPr>
                <w:rFonts w:eastAsia="Calibri" w:cs="Segoe UI Symbol" w:ascii="Segoe UI Symbol" w:hAnsi="Segoe UI Symbol"/>
                <w:color w:val="222222"/>
                <w:kern w:val="0"/>
                <w:sz w:val="21"/>
                <w:szCs w:val="21"/>
                <w:shd w:fill="FFFFFF" w:val="clear"/>
                <w:lang w:eastAsia="en-US" w:bidi="ar-SA"/>
              </w:rPr>
              <w:t>✗</w:t>
            </w:r>
          </w:p>
        </w:tc>
        <w:tc>
          <w:tcPr>
            <w:tcW w:w="2545" w:type="dxa"/>
            <w:tcBorders/>
          </w:tcPr>
          <w:p>
            <w:pPr>
              <w:pStyle w:val="Normal"/>
              <w:widowControl w:val="false"/>
              <w:suppressAutoHyphens w:val="true"/>
              <w:spacing w:lineRule="auto" w:line="240" w:before="0" w:after="0"/>
              <w:jc w:val="center"/>
              <w:rPr>
                <w:sz w:val="18"/>
                <w:szCs w:val="18"/>
              </w:rPr>
            </w:pPr>
            <w:r>
              <w:rPr>
                <w:sz w:val="18"/>
                <w:szCs w:val="18"/>
              </w:rPr>
            </w:r>
          </w:p>
        </w:tc>
      </w:tr>
      <w:tr>
        <w:trPr/>
        <w:tc>
          <w:tcPr>
            <w:tcW w:w="1925" w:type="dxa"/>
            <w:tcBorders/>
          </w:tcPr>
          <w:p>
            <w:pPr>
              <w:pStyle w:val="Normal"/>
              <w:widowControl w:val="false"/>
              <w:suppressAutoHyphens w:val="true"/>
              <w:spacing w:lineRule="auto" w:line="240" w:before="0" w:after="0"/>
              <w:jc w:val="center"/>
              <w:rPr>
                <w:sz w:val="18"/>
                <w:szCs w:val="18"/>
              </w:rPr>
            </w:pPr>
            <w:r>
              <w:rPr>
                <w:rFonts w:eastAsia="Calibri" w:cs=""/>
                <w:kern w:val="0"/>
                <w:sz w:val="18"/>
                <w:szCs w:val="18"/>
                <w:lang w:eastAsia="en-US" w:bidi="ar-SA"/>
              </w:rPr>
              <w:t>Simple daily precipitation index (SDII) calculation</w:t>
            </w:r>
          </w:p>
        </w:tc>
        <w:tc>
          <w:tcPr>
            <w:tcW w:w="1614" w:type="dxa"/>
            <w:tcBorders/>
          </w:tcPr>
          <w:p>
            <w:pPr>
              <w:pStyle w:val="Normal"/>
              <w:widowControl w:val="false"/>
              <w:suppressAutoHyphens w:val="true"/>
              <w:spacing w:lineRule="auto" w:line="240" w:before="0" w:after="0"/>
              <w:jc w:val="center"/>
              <w:rPr>
                <w:sz w:val="18"/>
                <w:szCs w:val="18"/>
              </w:rPr>
            </w:pPr>
            <w:r>
              <w:rPr>
                <w:rFonts w:eastAsia="Calibri" w:cs=""/>
                <w:kern w:val="0"/>
                <w:sz w:val="18"/>
                <w:szCs w:val="18"/>
                <w:lang w:eastAsia="en-US" w:bidi="ar-SA"/>
              </w:rPr>
              <w:t>2</w:t>
            </w:r>
          </w:p>
        </w:tc>
        <w:tc>
          <w:tcPr>
            <w:tcW w:w="2310" w:type="dxa"/>
            <w:tcBorders/>
          </w:tcPr>
          <w:p>
            <w:pPr>
              <w:pStyle w:val="Normal"/>
              <w:widowControl w:val="false"/>
              <w:suppressAutoHyphens w:val="true"/>
              <w:spacing w:lineRule="auto" w:line="240" w:before="0" w:after="0"/>
              <w:jc w:val="left"/>
              <w:rPr>
                <w:sz w:val="18"/>
                <w:szCs w:val="18"/>
              </w:rPr>
            </w:pPr>
            <w:r>
              <w:rPr>
                <w:rFonts w:eastAsia="Calibri" w:cs=""/>
                <w:kern w:val="0"/>
                <w:sz w:val="18"/>
                <w:szCs w:val="18"/>
                <w:lang w:eastAsia="en-US" w:bidi="ar-SA"/>
              </w:rPr>
              <w:t>No equation is provided; user must check from reported literature</w:t>
            </w:r>
          </w:p>
        </w:tc>
        <w:tc>
          <w:tcPr>
            <w:tcW w:w="1234" w:type="dxa"/>
            <w:tcBorders/>
          </w:tcPr>
          <w:p>
            <w:pPr>
              <w:pStyle w:val="Normal"/>
              <w:widowControl w:val="false"/>
              <w:suppressAutoHyphens w:val="true"/>
              <w:spacing w:lineRule="auto" w:line="240" w:before="0" w:after="0"/>
              <w:jc w:val="center"/>
              <w:rPr>
                <w:sz w:val="18"/>
                <w:szCs w:val="18"/>
              </w:rPr>
            </w:pPr>
            <w:r>
              <w:rPr>
                <w:rFonts w:eastAsia="Calibri" w:cs="Segoe UI Symbol" w:ascii="Segoe UI Symbol" w:hAnsi="Segoe UI Symbol"/>
                <w:color w:val="222222"/>
                <w:kern w:val="0"/>
                <w:sz w:val="21"/>
                <w:szCs w:val="21"/>
                <w:shd w:fill="FFFFFF" w:val="clear"/>
                <w:lang w:eastAsia="en-US" w:bidi="ar-SA"/>
              </w:rPr>
              <w:t>✗</w:t>
            </w:r>
          </w:p>
        </w:tc>
        <w:tc>
          <w:tcPr>
            <w:tcW w:w="2545" w:type="dxa"/>
            <w:tcBorders/>
          </w:tcPr>
          <w:p>
            <w:pPr>
              <w:pStyle w:val="Normal"/>
              <w:widowControl w:val="false"/>
              <w:suppressAutoHyphens w:val="true"/>
              <w:spacing w:lineRule="auto" w:line="240" w:before="0" w:after="0"/>
              <w:jc w:val="center"/>
              <w:rPr>
                <w:sz w:val="18"/>
                <w:szCs w:val="18"/>
              </w:rPr>
            </w:pPr>
            <w:r>
              <w:rPr>
                <w:sz w:val="18"/>
                <w:szCs w:val="18"/>
              </w:rPr>
            </w:r>
          </w:p>
        </w:tc>
      </w:tr>
      <w:tr>
        <w:trPr/>
        <w:tc>
          <w:tcPr>
            <w:tcW w:w="1925" w:type="dxa"/>
            <w:tcBorders/>
          </w:tcPr>
          <w:p>
            <w:pPr>
              <w:pStyle w:val="Normal"/>
              <w:widowControl w:val="false"/>
              <w:suppressAutoHyphens w:val="true"/>
              <w:spacing w:lineRule="auto" w:line="240" w:before="0" w:after="0"/>
              <w:jc w:val="center"/>
              <w:rPr>
                <w:sz w:val="18"/>
                <w:szCs w:val="18"/>
              </w:rPr>
            </w:pPr>
            <w:r>
              <w:rPr>
                <w:rFonts w:eastAsia="Calibri" w:cs=""/>
                <w:kern w:val="0"/>
                <w:sz w:val="18"/>
                <w:szCs w:val="18"/>
                <w:lang w:eastAsia="en-US" w:bidi="ar-SA"/>
              </w:rPr>
              <w:t>R-factor equation application</w:t>
            </w:r>
          </w:p>
        </w:tc>
        <w:tc>
          <w:tcPr>
            <w:tcW w:w="1614" w:type="dxa"/>
            <w:tcBorders/>
          </w:tcPr>
          <w:p>
            <w:pPr>
              <w:pStyle w:val="Normal"/>
              <w:widowControl w:val="false"/>
              <w:suppressAutoHyphens w:val="true"/>
              <w:spacing w:lineRule="auto" w:line="240" w:before="0" w:after="0"/>
              <w:jc w:val="center"/>
              <w:rPr>
                <w:sz w:val="18"/>
                <w:szCs w:val="18"/>
              </w:rPr>
            </w:pPr>
            <w:r>
              <w:rPr>
                <w:rFonts w:eastAsia="Calibri" w:cs=""/>
                <w:kern w:val="0"/>
                <w:sz w:val="18"/>
                <w:szCs w:val="18"/>
                <w:lang w:eastAsia="en-US" w:bidi="ar-SA"/>
              </w:rPr>
              <w:t>2</w:t>
            </w:r>
          </w:p>
        </w:tc>
        <w:tc>
          <w:tcPr>
            <w:tcW w:w="2310" w:type="dxa"/>
            <w:tcBorders/>
          </w:tcPr>
          <w:p>
            <w:pPr>
              <w:pStyle w:val="Normal"/>
              <w:widowControl w:val="false"/>
              <w:suppressAutoHyphens w:val="true"/>
              <w:spacing w:lineRule="auto" w:line="240" w:before="0" w:after="0"/>
              <w:jc w:val="left"/>
              <w:rPr>
                <w:sz w:val="18"/>
                <w:szCs w:val="18"/>
              </w:rPr>
            </w:pPr>
            <w:r>
              <w:rPr>
                <w:rFonts w:eastAsia="Calibri" w:cs=""/>
                <w:kern w:val="0"/>
                <w:sz w:val="18"/>
                <w:szCs w:val="18"/>
                <w:lang w:eastAsia="en-US" w:bidi="ar-SA"/>
              </w:rPr>
              <w:t>No validity or parameters space is reported; user must check from reported literature</w:t>
            </w:r>
          </w:p>
        </w:tc>
        <w:tc>
          <w:tcPr>
            <w:tcW w:w="1234" w:type="dxa"/>
            <w:tcBorders/>
          </w:tcPr>
          <w:p>
            <w:pPr>
              <w:pStyle w:val="Normal"/>
              <w:widowControl w:val="false"/>
              <w:suppressAutoHyphens w:val="true"/>
              <w:spacing w:lineRule="auto" w:line="240" w:before="0" w:after="0"/>
              <w:jc w:val="center"/>
              <w:rPr>
                <w:sz w:val="18"/>
                <w:szCs w:val="18"/>
              </w:rPr>
            </w:pPr>
            <w:r>
              <w:rPr>
                <w:rFonts w:eastAsia="Calibri" w:cs="Segoe UI Symbol" w:ascii="Segoe UI Symbol" w:hAnsi="Segoe UI Symbol"/>
                <w:color w:val="222222"/>
                <w:kern w:val="0"/>
                <w:sz w:val="21"/>
                <w:szCs w:val="21"/>
                <w:shd w:fill="FFFFFF" w:val="clear"/>
                <w:lang w:eastAsia="en-US" w:bidi="ar-SA"/>
              </w:rPr>
              <w:t>✗</w:t>
            </w:r>
          </w:p>
        </w:tc>
        <w:tc>
          <w:tcPr>
            <w:tcW w:w="2545" w:type="dxa"/>
            <w:tcBorders/>
          </w:tcPr>
          <w:p>
            <w:pPr>
              <w:pStyle w:val="Normal"/>
              <w:widowControl w:val="false"/>
              <w:suppressAutoHyphens w:val="true"/>
              <w:spacing w:lineRule="auto" w:line="240" w:before="0" w:after="0"/>
              <w:jc w:val="center"/>
              <w:rPr>
                <w:sz w:val="18"/>
                <w:szCs w:val="18"/>
              </w:rPr>
            </w:pPr>
            <w:r>
              <w:rPr>
                <w:sz w:val="18"/>
                <w:szCs w:val="18"/>
              </w:rPr>
            </w:r>
          </w:p>
        </w:tc>
      </w:tr>
      <w:tr>
        <w:trPr/>
        <w:tc>
          <w:tcPr>
            <w:tcW w:w="1925" w:type="dxa"/>
            <w:tcBorders/>
          </w:tcPr>
          <w:p>
            <w:pPr>
              <w:pStyle w:val="Normal"/>
              <w:widowControl w:val="false"/>
              <w:suppressAutoHyphens w:val="true"/>
              <w:spacing w:lineRule="auto" w:line="240" w:before="0" w:after="0"/>
              <w:jc w:val="center"/>
              <w:rPr>
                <w:sz w:val="18"/>
                <w:szCs w:val="18"/>
              </w:rPr>
            </w:pPr>
            <w:r>
              <w:rPr>
                <w:rFonts w:eastAsia="Calibri" w:cs=""/>
                <w:kern w:val="0"/>
                <w:sz w:val="18"/>
                <w:szCs w:val="18"/>
                <w:lang w:eastAsia="en-US" w:bidi="ar-SA"/>
              </w:rPr>
              <w:t>Clay content insertion</w:t>
            </w:r>
          </w:p>
        </w:tc>
        <w:tc>
          <w:tcPr>
            <w:tcW w:w="1614" w:type="dxa"/>
            <w:tcBorders/>
          </w:tcPr>
          <w:p>
            <w:pPr>
              <w:pStyle w:val="Normal"/>
              <w:widowControl w:val="false"/>
              <w:suppressAutoHyphens w:val="true"/>
              <w:spacing w:lineRule="auto" w:line="240" w:before="0" w:after="0"/>
              <w:jc w:val="center"/>
              <w:rPr>
                <w:sz w:val="18"/>
                <w:szCs w:val="18"/>
              </w:rPr>
            </w:pPr>
            <w:r>
              <w:rPr>
                <w:rFonts w:eastAsia="Calibri" w:cs=""/>
                <w:kern w:val="0"/>
                <w:sz w:val="18"/>
                <w:szCs w:val="18"/>
                <w:lang w:eastAsia="en-US" w:bidi="ar-SA"/>
              </w:rPr>
              <w:t>1</w:t>
            </w:r>
          </w:p>
        </w:tc>
        <w:tc>
          <w:tcPr>
            <w:tcW w:w="2310" w:type="dxa"/>
            <w:tcBorders/>
          </w:tcPr>
          <w:p>
            <w:pPr>
              <w:pStyle w:val="Normal"/>
              <w:widowControl w:val="false"/>
              <w:suppressAutoHyphens w:val="true"/>
              <w:spacing w:lineRule="auto" w:line="240" w:before="0" w:after="0"/>
              <w:jc w:val="left"/>
              <w:rPr>
                <w:sz w:val="18"/>
                <w:szCs w:val="18"/>
              </w:rPr>
            </w:pPr>
            <w:r>
              <w:rPr>
                <w:rFonts w:eastAsia="Calibri" w:cs=""/>
                <w:kern w:val="0"/>
                <w:sz w:val="18"/>
                <w:szCs w:val="18"/>
                <w:lang w:eastAsia="en-US" w:bidi="ar-SA"/>
              </w:rPr>
              <w:t>The adopted granulometric classification system is not reported</w:t>
            </w:r>
          </w:p>
        </w:tc>
        <w:tc>
          <w:tcPr>
            <w:tcW w:w="1234" w:type="dxa"/>
            <w:tcBorders/>
          </w:tcPr>
          <w:p>
            <w:pPr>
              <w:pStyle w:val="Normal"/>
              <w:widowControl w:val="false"/>
              <w:suppressAutoHyphens w:val="true"/>
              <w:spacing w:lineRule="auto" w:line="240" w:before="0" w:after="0"/>
              <w:jc w:val="center"/>
              <w:rPr>
                <w:sz w:val="18"/>
                <w:szCs w:val="18"/>
              </w:rPr>
            </w:pPr>
            <w:r>
              <w:rPr>
                <w:rFonts w:eastAsia="Calibri" w:cs="Segoe UI Symbol" w:ascii="Segoe UI Symbol" w:hAnsi="Segoe UI Symbol"/>
                <w:color w:val="222222"/>
                <w:kern w:val="0"/>
                <w:sz w:val="21"/>
                <w:szCs w:val="21"/>
                <w:shd w:fill="FFFFFF" w:val="clear"/>
                <w:lang w:eastAsia="en-US" w:bidi="ar-SA"/>
              </w:rPr>
              <w:t>✗</w:t>
            </w:r>
          </w:p>
        </w:tc>
        <w:tc>
          <w:tcPr>
            <w:tcW w:w="2545" w:type="dxa"/>
            <w:tcBorders/>
          </w:tcPr>
          <w:p>
            <w:pPr>
              <w:pStyle w:val="Normal"/>
              <w:widowControl w:val="false"/>
              <w:suppressAutoHyphens w:val="true"/>
              <w:spacing w:lineRule="auto" w:line="240" w:before="0" w:after="0"/>
              <w:jc w:val="center"/>
              <w:rPr>
                <w:sz w:val="18"/>
                <w:szCs w:val="18"/>
              </w:rPr>
            </w:pPr>
            <w:r>
              <w:rPr>
                <w:sz w:val="18"/>
                <w:szCs w:val="18"/>
              </w:rPr>
            </w:r>
          </w:p>
        </w:tc>
      </w:tr>
      <w:tr>
        <w:trPr/>
        <w:tc>
          <w:tcPr>
            <w:tcW w:w="1925" w:type="dxa"/>
            <w:tcBorders/>
          </w:tcPr>
          <w:p>
            <w:pPr>
              <w:pStyle w:val="Normal"/>
              <w:widowControl w:val="false"/>
              <w:suppressAutoHyphens w:val="true"/>
              <w:spacing w:lineRule="auto" w:line="240" w:before="0" w:after="0"/>
              <w:jc w:val="center"/>
              <w:rPr>
                <w:sz w:val="18"/>
                <w:szCs w:val="18"/>
              </w:rPr>
            </w:pPr>
            <w:r>
              <w:rPr>
                <w:rFonts w:eastAsia="Calibri" w:cs=""/>
                <w:kern w:val="0"/>
                <w:sz w:val="18"/>
                <w:szCs w:val="18"/>
                <w:lang w:eastAsia="en-US" w:bidi="ar-SA"/>
              </w:rPr>
              <w:t>Silt content insertion</w:t>
            </w:r>
          </w:p>
        </w:tc>
        <w:tc>
          <w:tcPr>
            <w:tcW w:w="1614" w:type="dxa"/>
            <w:tcBorders/>
          </w:tcPr>
          <w:p>
            <w:pPr>
              <w:pStyle w:val="Normal"/>
              <w:widowControl w:val="false"/>
              <w:suppressAutoHyphens w:val="true"/>
              <w:spacing w:lineRule="auto" w:line="240" w:before="0" w:after="0"/>
              <w:jc w:val="center"/>
              <w:rPr>
                <w:sz w:val="18"/>
                <w:szCs w:val="18"/>
              </w:rPr>
            </w:pPr>
            <w:r>
              <w:rPr>
                <w:rFonts w:eastAsia="Calibri" w:cs=""/>
                <w:kern w:val="0"/>
                <w:sz w:val="18"/>
                <w:szCs w:val="18"/>
                <w:lang w:eastAsia="en-US" w:bidi="ar-SA"/>
              </w:rPr>
              <w:t>1</w:t>
            </w:r>
          </w:p>
        </w:tc>
        <w:tc>
          <w:tcPr>
            <w:tcW w:w="2310" w:type="dxa"/>
            <w:tcBorders/>
          </w:tcPr>
          <w:p>
            <w:pPr>
              <w:pStyle w:val="Normal"/>
              <w:widowControl w:val="false"/>
              <w:suppressAutoHyphens w:val="true"/>
              <w:spacing w:lineRule="auto" w:line="240" w:before="0" w:after="0"/>
              <w:jc w:val="left"/>
              <w:rPr>
                <w:sz w:val="18"/>
                <w:szCs w:val="18"/>
              </w:rPr>
            </w:pPr>
            <w:r>
              <w:rPr>
                <w:rFonts w:eastAsia="Calibri" w:cs=""/>
                <w:kern w:val="0"/>
                <w:sz w:val="18"/>
                <w:szCs w:val="18"/>
                <w:lang w:eastAsia="en-US" w:bidi="ar-SA"/>
              </w:rPr>
              <w:t>The adopted granulometric classification system is not reported</w:t>
            </w:r>
          </w:p>
        </w:tc>
        <w:tc>
          <w:tcPr>
            <w:tcW w:w="1234" w:type="dxa"/>
            <w:tcBorders/>
          </w:tcPr>
          <w:p>
            <w:pPr>
              <w:pStyle w:val="Normal"/>
              <w:widowControl w:val="false"/>
              <w:suppressAutoHyphens w:val="true"/>
              <w:spacing w:lineRule="auto" w:line="240" w:before="0" w:after="0"/>
              <w:jc w:val="center"/>
              <w:rPr>
                <w:sz w:val="18"/>
                <w:szCs w:val="18"/>
              </w:rPr>
            </w:pPr>
            <w:r>
              <w:rPr>
                <w:rFonts w:eastAsia="Calibri" w:cs="Segoe UI Symbol" w:ascii="Segoe UI Symbol" w:hAnsi="Segoe UI Symbol"/>
                <w:color w:val="222222"/>
                <w:kern w:val="0"/>
                <w:sz w:val="21"/>
                <w:szCs w:val="21"/>
                <w:shd w:fill="FFFFFF" w:val="clear"/>
                <w:lang w:eastAsia="en-US" w:bidi="ar-SA"/>
              </w:rPr>
              <w:t>✗</w:t>
            </w:r>
          </w:p>
        </w:tc>
        <w:tc>
          <w:tcPr>
            <w:tcW w:w="2545" w:type="dxa"/>
            <w:tcBorders/>
          </w:tcPr>
          <w:p>
            <w:pPr>
              <w:pStyle w:val="Normal"/>
              <w:widowControl w:val="false"/>
              <w:suppressAutoHyphens w:val="true"/>
              <w:spacing w:lineRule="auto" w:line="240" w:before="0" w:after="0"/>
              <w:jc w:val="center"/>
              <w:rPr>
                <w:sz w:val="18"/>
                <w:szCs w:val="18"/>
              </w:rPr>
            </w:pPr>
            <w:r>
              <w:rPr>
                <w:sz w:val="18"/>
                <w:szCs w:val="18"/>
              </w:rPr>
            </w:r>
          </w:p>
        </w:tc>
      </w:tr>
      <w:tr>
        <w:trPr/>
        <w:tc>
          <w:tcPr>
            <w:tcW w:w="1925" w:type="dxa"/>
            <w:tcBorders/>
          </w:tcPr>
          <w:p>
            <w:pPr>
              <w:pStyle w:val="Normal"/>
              <w:widowControl w:val="false"/>
              <w:suppressAutoHyphens w:val="true"/>
              <w:spacing w:lineRule="auto" w:line="240" w:before="0" w:after="0"/>
              <w:jc w:val="center"/>
              <w:rPr>
                <w:sz w:val="18"/>
                <w:szCs w:val="18"/>
              </w:rPr>
            </w:pPr>
            <w:r>
              <w:rPr>
                <w:rFonts w:eastAsia="Calibri" w:cs=""/>
                <w:kern w:val="0"/>
                <w:sz w:val="18"/>
                <w:szCs w:val="18"/>
                <w:lang w:eastAsia="en-US" w:bidi="ar-SA"/>
              </w:rPr>
              <w:t>Very fine sand insertion</w:t>
            </w:r>
          </w:p>
        </w:tc>
        <w:tc>
          <w:tcPr>
            <w:tcW w:w="1614" w:type="dxa"/>
            <w:tcBorders/>
          </w:tcPr>
          <w:p>
            <w:pPr>
              <w:pStyle w:val="Normal"/>
              <w:widowControl w:val="false"/>
              <w:suppressAutoHyphens w:val="true"/>
              <w:spacing w:lineRule="auto" w:line="240" w:before="0" w:after="0"/>
              <w:jc w:val="center"/>
              <w:rPr>
                <w:sz w:val="18"/>
                <w:szCs w:val="18"/>
              </w:rPr>
            </w:pPr>
            <w:r>
              <w:rPr>
                <w:rFonts w:eastAsia="Calibri" w:cs=""/>
                <w:kern w:val="0"/>
                <w:sz w:val="18"/>
                <w:szCs w:val="18"/>
                <w:lang w:eastAsia="en-US" w:bidi="ar-SA"/>
              </w:rPr>
              <w:t>2</w:t>
            </w:r>
          </w:p>
        </w:tc>
        <w:tc>
          <w:tcPr>
            <w:tcW w:w="2310" w:type="dxa"/>
            <w:tcBorders/>
          </w:tcPr>
          <w:p>
            <w:pPr>
              <w:pStyle w:val="Normal"/>
              <w:widowControl w:val="false"/>
              <w:suppressAutoHyphens w:val="true"/>
              <w:spacing w:lineRule="auto" w:line="240" w:before="0" w:after="0"/>
              <w:jc w:val="left"/>
              <w:rPr>
                <w:sz w:val="18"/>
                <w:szCs w:val="18"/>
              </w:rPr>
            </w:pPr>
            <w:r>
              <w:rPr>
                <w:rFonts w:eastAsia="Calibri" w:cs=""/>
                <w:kern w:val="0"/>
                <w:sz w:val="18"/>
                <w:szCs w:val="18"/>
                <w:lang w:eastAsia="en-US" w:bidi="ar-SA"/>
              </w:rPr>
              <w:t>Not defined what “very fine sand” stands for.</w:t>
            </w:r>
            <w:r>
              <w:rPr>
                <w:rStyle w:val="FootnoteAnchor"/>
                <w:rFonts w:eastAsia="Calibri" w:cs=""/>
                <w:kern w:val="0"/>
                <w:sz w:val="18"/>
                <w:szCs w:val="18"/>
                <w:lang w:eastAsia="en-US" w:bidi="ar-SA"/>
              </w:rPr>
              <w:footnoteReference w:id="3"/>
            </w:r>
          </w:p>
          <w:p>
            <w:pPr>
              <w:pStyle w:val="Normal"/>
              <w:widowControl w:val="false"/>
              <w:suppressAutoHyphens w:val="true"/>
              <w:spacing w:lineRule="auto" w:line="240" w:before="0" w:after="0"/>
              <w:jc w:val="left"/>
              <w:rPr>
                <w:sz w:val="18"/>
                <w:szCs w:val="18"/>
              </w:rPr>
            </w:pPr>
            <w:r>
              <w:rPr>
                <w:rFonts w:eastAsia="Calibri" w:cs=""/>
                <w:kern w:val="0"/>
                <w:sz w:val="18"/>
                <w:szCs w:val="18"/>
                <w:lang w:eastAsia="en-US" w:bidi="ar-SA"/>
              </w:rPr>
              <w:t>The adopted granulometric classification system is not reported</w:t>
            </w:r>
          </w:p>
        </w:tc>
        <w:tc>
          <w:tcPr>
            <w:tcW w:w="1234" w:type="dxa"/>
            <w:tcBorders/>
          </w:tcPr>
          <w:p>
            <w:pPr>
              <w:pStyle w:val="Normal"/>
              <w:widowControl w:val="false"/>
              <w:suppressAutoHyphens w:val="true"/>
              <w:spacing w:lineRule="auto" w:line="240" w:before="0" w:after="0"/>
              <w:jc w:val="center"/>
              <w:rPr>
                <w:sz w:val="18"/>
                <w:szCs w:val="18"/>
              </w:rPr>
            </w:pPr>
            <w:r>
              <w:rPr>
                <w:rFonts w:eastAsia="Calibri" w:cs="Segoe UI Symbol" w:ascii="Segoe UI Symbol" w:hAnsi="Segoe UI Symbol"/>
                <w:color w:val="222222"/>
                <w:kern w:val="0"/>
                <w:sz w:val="21"/>
                <w:szCs w:val="21"/>
                <w:shd w:fill="FFFFFF" w:val="clear"/>
                <w:lang w:eastAsia="en-US" w:bidi="ar-SA"/>
              </w:rPr>
              <w:t>✗</w:t>
            </w:r>
          </w:p>
        </w:tc>
        <w:tc>
          <w:tcPr>
            <w:tcW w:w="2545" w:type="dxa"/>
            <w:tcBorders/>
          </w:tcPr>
          <w:p>
            <w:pPr>
              <w:pStyle w:val="Normal"/>
              <w:widowControl w:val="false"/>
              <w:suppressAutoHyphens w:val="true"/>
              <w:spacing w:lineRule="auto" w:line="240" w:before="0" w:after="0"/>
              <w:jc w:val="center"/>
              <w:rPr>
                <w:sz w:val="18"/>
                <w:szCs w:val="18"/>
              </w:rPr>
            </w:pPr>
            <w:r>
              <w:rPr>
                <w:sz w:val="18"/>
                <w:szCs w:val="18"/>
              </w:rPr>
            </w:r>
          </w:p>
        </w:tc>
      </w:tr>
      <w:tr>
        <w:trPr/>
        <w:tc>
          <w:tcPr>
            <w:tcW w:w="1925" w:type="dxa"/>
            <w:tcBorders/>
          </w:tcPr>
          <w:p>
            <w:pPr>
              <w:pStyle w:val="Normal"/>
              <w:widowControl w:val="false"/>
              <w:suppressAutoHyphens w:val="true"/>
              <w:spacing w:lineRule="auto" w:line="240" w:before="0" w:after="0"/>
              <w:jc w:val="center"/>
              <w:rPr>
                <w:sz w:val="18"/>
                <w:szCs w:val="18"/>
              </w:rPr>
            </w:pPr>
            <w:r>
              <w:rPr>
                <w:rFonts w:eastAsia="Calibri" w:cs=""/>
                <w:kern w:val="0"/>
                <w:sz w:val="18"/>
                <w:szCs w:val="18"/>
                <w:lang w:eastAsia="en-US" w:bidi="ar-SA"/>
              </w:rPr>
              <w:t>Textural factor equation application</w:t>
            </w:r>
          </w:p>
        </w:tc>
        <w:tc>
          <w:tcPr>
            <w:tcW w:w="1614" w:type="dxa"/>
            <w:tcBorders/>
          </w:tcPr>
          <w:p>
            <w:pPr>
              <w:pStyle w:val="Normal"/>
              <w:widowControl w:val="false"/>
              <w:suppressAutoHyphens w:val="true"/>
              <w:spacing w:lineRule="auto" w:line="240" w:before="0" w:after="0"/>
              <w:jc w:val="center"/>
              <w:rPr>
                <w:sz w:val="18"/>
                <w:szCs w:val="18"/>
              </w:rPr>
            </w:pPr>
            <w:r>
              <w:rPr>
                <w:rFonts w:eastAsia="Calibri" w:cs=""/>
                <w:kern w:val="0"/>
                <w:sz w:val="18"/>
                <w:szCs w:val="18"/>
                <w:lang w:eastAsia="en-US" w:bidi="ar-SA"/>
              </w:rPr>
              <w:t>1</w:t>
            </w:r>
          </w:p>
        </w:tc>
        <w:tc>
          <w:tcPr>
            <w:tcW w:w="2310" w:type="dxa"/>
            <w:tcBorders/>
          </w:tcPr>
          <w:p>
            <w:pPr>
              <w:pStyle w:val="Normal"/>
              <w:widowControl w:val="false"/>
              <w:suppressAutoHyphens w:val="true"/>
              <w:spacing w:lineRule="auto" w:line="240" w:before="0" w:after="0"/>
              <w:jc w:val="left"/>
              <w:rPr>
                <w:sz w:val="18"/>
                <w:szCs w:val="18"/>
              </w:rPr>
            </w:pPr>
            <w:r>
              <w:rPr>
                <w:sz w:val="18"/>
                <w:szCs w:val="18"/>
              </w:rPr>
            </w:r>
          </w:p>
        </w:tc>
        <w:tc>
          <w:tcPr>
            <w:tcW w:w="1234" w:type="dxa"/>
            <w:tcBorders/>
          </w:tcPr>
          <w:p>
            <w:pPr>
              <w:pStyle w:val="Normal"/>
              <w:widowControl w:val="false"/>
              <w:suppressAutoHyphens w:val="true"/>
              <w:spacing w:lineRule="auto" w:line="240" w:before="0" w:after="0"/>
              <w:jc w:val="center"/>
              <w:rPr>
                <w:sz w:val="18"/>
                <w:szCs w:val="18"/>
              </w:rPr>
            </w:pPr>
            <w:r>
              <w:rPr>
                <w:rFonts w:eastAsia="Calibri" w:cs="Segoe UI Symbol" w:ascii="Segoe UI Symbol" w:hAnsi="Segoe UI Symbol"/>
                <w:color w:val="222222"/>
                <w:kern w:val="0"/>
                <w:sz w:val="21"/>
                <w:szCs w:val="21"/>
                <w:shd w:fill="FFFFFF" w:val="clear"/>
                <w:lang w:eastAsia="en-US" w:bidi="ar-SA"/>
              </w:rPr>
              <w:t>✗</w:t>
            </w:r>
          </w:p>
        </w:tc>
        <w:tc>
          <w:tcPr>
            <w:tcW w:w="2545" w:type="dxa"/>
            <w:tcBorders/>
          </w:tcPr>
          <w:p>
            <w:pPr>
              <w:pStyle w:val="Normal"/>
              <w:widowControl w:val="false"/>
              <w:suppressAutoHyphens w:val="true"/>
              <w:spacing w:lineRule="auto" w:line="240" w:before="0" w:after="0"/>
              <w:jc w:val="center"/>
              <w:rPr>
                <w:sz w:val="18"/>
                <w:szCs w:val="18"/>
              </w:rPr>
            </w:pPr>
            <w:r>
              <w:rPr>
                <w:sz w:val="18"/>
                <w:szCs w:val="18"/>
              </w:rPr>
            </w:r>
          </w:p>
        </w:tc>
      </w:tr>
      <w:tr>
        <w:trPr/>
        <w:tc>
          <w:tcPr>
            <w:tcW w:w="1925" w:type="dxa"/>
            <w:tcBorders/>
          </w:tcPr>
          <w:p>
            <w:pPr>
              <w:pStyle w:val="Normal"/>
              <w:widowControl w:val="false"/>
              <w:suppressAutoHyphens w:val="true"/>
              <w:spacing w:lineRule="auto" w:line="240" w:before="0" w:after="0"/>
              <w:jc w:val="center"/>
              <w:rPr>
                <w:sz w:val="18"/>
                <w:szCs w:val="18"/>
              </w:rPr>
            </w:pPr>
            <w:r>
              <w:rPr>
                <w:rFonts w:eastAsia="Calibri" w:cs=""/>
                <w:kern w:val="0"/>
                <w:sz w:val="18"/>
                <w:szCs w:val="18"/>
                <w:lang w:eastAsia="en-US" w:bidi="ar-SA"/>
              </w:rPr>
              <w:t>Organic matter content insertion</w:t>
            </w:r>
          </w:p>
        </w:tc>
        <w:tc>
          <w:tcPr>
            <w:tcW w:w="1614" w:type="dxa"/>
            <w:tcBorders/>
          </w:tcPr>
          <w:p>
            <w:pPr>
              <w:pStyle w:val="Normal"/>
              <w:widowControl w:val="false"/>
              <w:suppressAutoHyphens w:val="true"/>
              <w:spacing w:lineRule="auto" w:line="240" w:before="0" w:after="0"/>
              <w:jc w:val="center"/>
              <w:rPr>
                <w:sz w:val="18"/>
                <w:szCs w:val="18"/>
              </w:rPr>
            </w:pPr>
            <w:r>
              <w:rPr>
                <w:rFonts w:eastAsia="Calibri" w:cs=""/>
                <w:kern w:val="0"/>
                <w:sz w:val="18"/>
                <w:szCs w:val="18"/>
                <w:lang w:eastAsia="en-US" w:bidi="ar-SA"/>
              </w:rPr>
              <w:t>2</w:t>
            </w:r>
          </w:p>
        </w:tc>
        <w:tc>
          <w:tcPr>
            <w:tcW w:w="2310" w:type="dxa"/>
            <w:tcBorders/>
          </w:tcPr>
          <w:p>
            <w:pPr>
              <w:pStyle w:val="Normal"/>
              <w:widowControl w:val="false"/>
              <w:suppressAutoHyphens w:val="true"/>
              <w:spacing w:lineRule="auto" w:line="240" w:before="0" w:after="0"/>
              <w:jc w:val="left"/>
              <w:rPr>
                <w:sz w:val="18"/>
                <w:szCs w:val="18"/>
              </w:rPr>
            </w:pPr>
            <w:r>
              <w:rPr>
                <w:rFonts w:eastAsia="Calibri" w:cs=""/>
                <w:kern w:val="0"/>
                <w:sz w:val="18"/>
                <w:szCs w:val="18"/>
                <w:lang w:eastAsia="en-US" w:bidi="ar-SA"/>
              </w:rPr>
              <w:t>No unite of measurement specification; user must check from reported literature</w:t>
            </w:r>
          </w:p>
        </w:tc>
        <w:tc>
          <w:tcPr>
            <w:tcW w:w="1234" w:type="dxa"/>
            <w:tcBorders/>
          </w:tcPr>
          <w:p>
            <w:pPr>
              <w:pStyle w:val="Normal"/>
              <w:widowControl w:val="false"/>
              <w:suppressAutoHyphens w:val="true"/>
              <w:spacing w:lineRule="auto" w:line="240" w:before="0" w:after="0"/>
              <w:jc w:val="center"/>
              <w:rPr>
                <w:sz w:val="18"/>
                <w:szCs w:val="18"/>
              </w:rPr>
            </w:pPr>
            <w:r>
              <w:rPr>
                <w:rFonts w:eastAsia="Calibri" w:cs="Segoe UI Symbol" w:ascii="Segoe UI Symbol" w:hAnsi="Segoe UI Symbol"/>
                <w:color w:val="222222"/>
                <w:kern w:val="0"/>
                <w:sz w:val="21"/>
                <w:szCs w:val="21"/>
                <w:shd w:fill="FFFFFF" w:val="clear"/>
                <w:lang w:eastAsia="en-US" w:bidi="ar-SA"/>
              </w:rPr>
              <w:t>✗</w:t>
            </w:r>
          </w:p>
        </w:tc>
        <w:tc>
          <w:tcPr>
            <w:tcW w:w="2545" w:type="dxa"/>
            <w:tcBorders/>
          </w:tcPr>
          <w:p>
            <w:pPr>
              <w:pStyle w:val="Normal"/>
              <w:widowControl w:val="false"/>
              <w:suppressAutoHyphens w:val="true"/>
              <w:spacing w:lineRule="auto" w:line="240" w:before="0" w:after="0"/>
              <w:jc w:val="center"/>
              <w:rPr>
                <w:sz w:val="18"/>
                <w:szCs w:val="18"/>
              </w:rPr>
            </w:pPr>
            <w:r>
              <w:rPr>
                <w:sz w:val="18"/>
                <w:szCs w:val="18"/>
              </w:rPr>
            </w:r>
          </w:p>
        </w:tc>
      </w:tr>
      <w:tr>
        <w:trPr/>
        <w:tc>
          <w:tcPr>
            <w:tcW w:w="1925" w:type="dxa"/>
            <w:tcBorders/>
          </w:tcPr>
          <w:p>
            <w:pPr>
              <w:pStyle w:val="Normal"/>
              <w:widowControl w:val="false"/>
              <w:suppressAutoHyphens w:val="true"/>
              <w:spacing w:lineRule="auto" w:line="240" w:before="0" w:after="0"/>
              <w:jc w:val="center"/>
              <w:rPr>
                <w:sz w:val="18"/>
                <w:szCs w:val="18"/>
              </w:rPr>
            </w:pPr>
            <w:r>
              <w:rPr>
                <w:rFonts w:eastAsia="Calibri" w:cs=""/>
                <w:kern w:val="0"/>
                <w:sz w:val="18"/>
                <w:szCs w:val="18"/>
                <w:lang w:eastAsia="en-US" w:bidi="ar-SA"/>
              </w:rPr>
              <w:t>Soil structure class insertion</w:t>
            </w:r>
          </w:p>
        </w:tc>
        <w:tc>
          <w:tcPr>
            <w:tcW w:w="1614" w:type="dxa"/>
            <w:tcBorders/>
          </w:tcPr>
          <w:p>
            <w:pPr>
              <w:pStyle w:val="Normal"/>
              <w:widowControl w:val="false"/>
              <w:suppressAutoHyphens w:val="true"/>
              <w:spacing w:lineRule="auto" w:line="240" w:before="0" w:after="0"/>
              <w:jc w:val="center"/>
              <w:rPr>
                <w:sz w:val="18"/>
                <w:szCs w:val="18"/>
              </w:rPr>
            </w:pPr>
            <w:r>
              <w:rPr>
                <w:rFonts w:eastAsia="Calibri" w:cs=""/>
                <w:kern w:val="0"/>
                <w:sz w:val="18"/>
                <w:szCs w:val="18"/>
                <w:lang w:eastAsia="en-US" w:bidi="ar-SA"/>
              </w:rPr>
              <w:t>2</w:t>
            </w:r>
          </w:p>
        </w:tc>
        <w:tc>
          <w:tcPr>
            <w:tcW w:w="2310" w:type="dxa"/>
            <w:tcBorders/>
          </w:tcPr>
          <w:p>
            <w:pPr>
              <w:pStyle w:val="Normal"/>
              <w:widowControl w:val="false"/>
              <w:suppressAutoHyphens w:val="true"/>
              <w:spacing w:lineRule="auto" w:line="240" w:before="0" w:after="0"/>
              <w:jc w:val="left"/>
              <w:rPr>
                <w:sz w:val="18"/>
                <w:szCs w:val="18"/>
              </w:rPr>
            </w:pPr>
            <w:r>
              <w:rPr>
                <w:rFonts w:eastAsia="Calibri" w:cs=""/>
                <w:kern w:val="0"/>
                <w:sz w:val="18"/>
                <w:szCs w:val="18"/>
                <w:lang w:eastAsia="en-US" w:bidi="ar-SA"/>
              </w:rPr>
              <w:t>Not defined what “Soil structure class” stands for; user must check from reported literature</w:t>
            </w:r>
          </w:p>
        </w:tc>
        <w:tc>
          <w:tcPr>
            <w:tcW w:w="1234" w:type="dxa"/>
            <w:tcBorders/>
          </w:tcPr>
          <w:p>
            <w:pPr>
              <w:pStyle w:val="Normal"/>
              <w:widowControl w:val="false"/>
              <w:suppressAutoHyphens w:val="true"/>
              <w:spacing w:lineRule="auto" w:line="240" w:before="0" w:after="0"/>
              <w:jc w:val="center"/>
              <w:rPr>
                <w:sz w:val="18"/>
                <w:szCs w:val="18"/>
              </w:rPr>
            </w:pPr>
            <w:r>
              <w:rPr>
                <w:rFonts w:eastAsia="Calibri" w:cs="Segoe UI Symbol" w:ascii="Segoe UI Symbol" w:hAnsi="Segoe UI Symbol"/>
                <w:color w:val="222222"/>
                <w:kern w:val="0"/>
                <w:sz w:val="21"/>
                <w:szCs w:val="21"/>
                <w:shd w:fill="FFFFFF" w:val="clear"/>
                <w:lang w:eastAsia="en-US" w:bidi="ar-SA"/>
              </w:rPr>
              <w:t>✓</w:t>
            </w:r>
          </w:p>
        </w:tc>
        <w:tc>
          <w:tcPr>
            <w:tcW w:w="2545" w:type="dxa"/>
            <w:tcBorders/>
          </w:tcPr>
          <w:p>
            <w:pPr>
              <w:pStyle w:val="Normal"/>
              <w:widowControl w:val="false"/>
              <w:suppressAutoHyphens w:val="true"/>
              <w:spacing w:lineRule="auto" w:line="240" w:before="0" w:after="0"/>
              <w:jc w:val="center"/>
              <w:rPr>
                <w:sz w:val="18"/>
                <w:szCs w:val="18"/>
              </w:rPr>
            </w:pPr>
            <w:r>
              <w:rPr>
                <w:rFonts w:eastAsia="Calibri" w:cs=""/>
                <w:kern w:val="0"/>
                <w:sz w:val="18"/>
                <w:szCs w:val="18"/>
                <w:lang w:eastAsia="en-US" w:bidi="ar-SA"/>
              </w:rPr>
              <w:t>Soil structure class values have not been found for Emilia-Romagna, thus they have been supposed</w:t>
            </w:r>
          </w:p>
        </w:tc>
      </w:tr>
      <w:tr>
        <w:trPr/>
        <w:tc>
          <w:tcPr>
            <w:tcW w:w="1925" w:type="dxa"/>
            <w:tcBorders/>
          </w:tcPr>
          <w:p>
            <w:pPr>
              <w:pStyle w:val="Normal"/>
              <w:widowControl w:val="false"/>
              <w:suppressAutoHyphens w:val="true"/>
              <w:spacing w:lineRule="auto" w:line="240" w:before="0" w:after="0"/>
              <w:jc w:val="center"/>
              <w:rPr>
                <w:sz w:val="18"/>
                <w:szCs w:val="18"/>
              </w:rPr>
            </w:pPr>
            <w:r>
              <w:rPr>
                <w:rFonts w:eastAsia="Calibri" w:cs=""/>
                <w:kern w:val="0"/>
                <w:sz w:val="18"/>
                <w:szCs w:val="18"/>
                <w:lang w:eastAsia="en-US" w:bidi="ar-SA"/>
              </w:rPr>
              <w:t>Permeability class selection</w:t>
            </w:r>
          </w:p>
        </w:tc>
        <w:tc>
          <w:tcPr>
            <w:tcW w:w="1614" w:type="dxa"/>
            <w:tcBorders/>
          </w:tcPr>
          <w:p>
            <w:pPr>
              <w:pStyle w:val="Normal"/>
              <w:widowControl w:val="false"/>
              <w:suppressAutoHyphens w:val="true"/>
              <w:spacing w:lineRule="auto" w:line="240" w:before="0" w:after="0"/>
              <w:jc w:val="center"/>
              <w:rPr>
                <w:sz w:val="18"/>
                <w:szCs w:val="18"/>
              </w:rPr>
            </w:pPr>
            <w:r>
              <w:rPr>
                <w:rFonts w:eastAsia="Calibri" w:cs=""/>
                <w:kern w:val="0"/>
                <w:sz w:val="18"/>
                <w:szCs w:val="18"/>
                <w:lang w:eastAsia="en-US" w:bidi="ar-SA"/>
              </w:rPr>
              <w:t>1</w:t>
            </w:r>
          </w:p>
        </w:tc>
        <w:tc>
          <w:tcPr>
            <w:tcW w:w="2310" w:type="dxa"/>
            <w:tcBorders/>
          </w:tcPr>
          <w:p>
            <w:pPr>
              <w:pStyle w:val="Normal"/>
              <w:widowControl w:val="false"/>
              <w:suppressAutoHyphens w:val="true"/>
              <w:spacing w:lineRule="auto" w:line="240" w:before="0" w:after="0"/>
              <w:jc w:val="left"/>
              <w:rPr>
                <w:sz w:val="18"/>
                <w:szCs w:val="18"/>
              </w:rPr>
            </w:pPr>
            <w:r>
              <w:rPr>
                <w:sz w:val="18"/>
                <w:szCs w:val="18"/>
              </w:rPr>
            </w:r>
          </w:p>
        </w:tc>
        <w:tc>
          <w:tcPr>
            <w:tcW w:w="1234" w:type="dxa"/>
            <w:tcBorders/>
          </w:tcPr>
          <w:p>
            <w:pPr>
              <w:pStyle w:val="Normal"/>
              <w:widowControl w:val="false"/>
              <w:suppressAutoHyphens w:val="true"/>
              <w:spacing w:lineRule="auto" w:line="240" w:before="0" w:after="0"/>
              <w:jc w:val="center"/>
              <w:rPr>
                <w:sz w:val="18"/>
                <w:szCs w:val="18"/>
              </w:rPr>
            </w:pPr>
            <w:r>
              <w:rPr>
                <w:rFonts w:eastAsia="Calibri" w:cs="Segoe UI Symbol" w:ascii="Segoe UI Symbol" w:hAnsi="Segoe UI Symbol"/>
                <w:color w:val="222222"/>
                <w:kern w:val="0"/>
                <w:sz w:val="21"/>
                <w:szCs w:val="21"/>
                <w:shd w:fill="FFFFFF" w:val="clear"/>
                <w:lang w:eastAsia="en-US" w:bidi="ar-SA"/>
              </w:rPr>
              <w:t>✗</w:t>
            </w:r>
          </w:p>
        </w:tc>
        <w:tc>
          <w:tcPr>
            <w:tcW w:w="2545" w:type="dxa"/>
            <w:tcBorders/>
          </w:tcPr>
          <w:p>
            <w:pPr>
              <w:pStyle w:val="Normal"/>
              <w:widowControl w:val="false"/>
              <w:suppressAutoHyphens w:val="true"/>
              <w:spacing w:lineRule="auto" w:line="240" w:before="0" w:after="0"/>
              <w:jc w:val="center"/>
              <w:rPr>
                <w:sz w:val="18"/>
                <w:szCs w:val="18"/>
              </w:rPr>
            </w:pPr>
            <w:r>
              <w:rPr>
                <w:sz w:val="18"/>
                <w:szCs w:val="18"/>
              </w:rPr>
            </w:r>
          </w:p>
        </w:tc>
      </w:tr>
      <w:tr>
        <w:trPr/>
        <w:tc>
          <w:tcPr>
            <w:tcW w:w="1925" w:type="dxa"/>
            <w:tcBorders/>
          </w:tcPr>
          <w:p>
            <w:pPr>
              <w:pStyle w:val="Normal"/>
              <w:widowControl w:val="false"/>
              <w:suppressAutoHyphens w:val="true"/>
              <w:spacing w:lineRule="auto" w:line="240" w:before="0" w:after="0"/>
              <w:jc w:val="center"/>
              <w:rPr>
                <w:sz w:val="18"/>
                <w:szCs w:val="18"/>
              </w:rPr>
            </w:pPr>
            <w:r>
              <w:rPr>
                <w:rFonts w:eastAsia="Calibri" w:cs=""/>
                <w:kern w:val="0"/>
                <w:sz w:val="18"/>
                <w:szCs w:val="18"/>
                <w:lang w:eastAsia="en-US" w:bidi="ar-SA"/>
              </w:rPr>
              <w:t>Gravel content insertion</w:t>
            </w:r>
          </w:p>
        </w:tc>
        <w:tc>
          <w:tcPr>
            <w:tcW w:w="1614" w:type="dxa"/>
            <w:tcBorders/>
          </w:tcPr>
          <w:p>
            <w:pPr>
              <w:pStyle w:val="Normal"/>
              <w:widowControl w:val="false"/>
              <w:suppressAutoHyphens w:val="true"/>
              <w:spacing w:lineRule="auto" w:line="240" w:before="0" w:after="0"/>
              <w:jc w:val="center"/>
              <w:rPr>
                <w:sz w:val="18"/>
                <w:szCs w:val="18"/>
              </w:rPr>
            </w:pPr>
            <w:r>
              <w:rPr>
                <w:rFonts w:eastAsia="Calibri" w:cs=""/>
                <w:kern w:val="0"/>
                <w:sz w:val="18"/>
                <w:szCs w:val="18"/>
                <w:lang w:eastAsia="en-US" w:bidi="ar-SA"/>
              </w:rPr>
              <w:t>1</w:t>
            </w:r>
          </w:p>
        </w:tc>
        <w:tc>
          <w:tcPr>
            <w:tcW w:w="2310" w:type="dxa"/>
            <w:tcBorders/>
          </w:tcPr>
          <w:p>
            <w:pPr>
              <w:pStyle w:val="Normal"/>
              <w:widowControl w:val="false"/>
              <w:suppressAutoHyphens w:val="true"/>
              <w:spacing w:lineRule="auto" w:line="240" w:before="0" w:after="0"/>
              <w:jc w:val="left"/>
              <w:rPr>
                <w:sz w:val="18"/>
                <w:szCs w:val="18"/>
              </w:rPr>
            </w:pPr>
            <w:r>
              <w:rPr>
                <w:sz w:val="18"/>
                <w:szCs w:val="18"/>
              </w:rPr>
            </w:r>
          </w:p>
        </w:tc>
        <w:tc>
          <w:tcPr>
            <w:tcW w:w="1234" w:type="dxa"/>
            <w:tcBorders/>
          </w:tcPr>
          <w:p>
            <w:pPr>
              <w:pStyle w:val="Normal"/>
              <w:widowControl w:val="false"/>
              <w:suppressAutoHyphens w:val="true"/>
              <w:spacing w:lineRule="auto" w:line="240" w:before="0" w:after="0"/>
              <w:jc w:val="center"/>
              <w:rPr>
                <w:sz w:val="18"/>
                <w:szCs w:val="18"/>
              </w:rPr>
            </w:pPr>
            <w:r>
              <w:rPr>
                <w:rFonts w:eastAsia="Calibri" w:cs="Segoe UI Symbol" w:ascii="Segoe UI Symbol" w:hAnsi="Segoe UI Symbol"/>
                <w:color w:val="222222"/>
                <w:kern w:val="0"/>
                <w:sz w:val="21"/>
                <w:szCs w:val="21"/>
                <w:shd w:fill="FFFFFF" w:val="clear"/>
                <w:lang w:eastAsia="en-US" w:bidi="ar-SA"/>
              </w:rPr>
              <w:t>✗</w:t>
            </w:r>
          </w:p>
        </w:tc>
        <w:tc>
          <w:tcPr>
            <w:tcW w:w="2545" w:type="dxa"/>
            <w:tcBorders/>
          </w:tcPr>
          <w:p>
            <w:pPr>
              <w:pStyle w:val="Normal"/>
              <w:widowControl w:val="false"/>
              <w:suppressAutoHyphens w:val="true"/>
              <w:spacing w:lineRule="auto" w:line="240" w:before="0" w:after="0"/>
              <w:jc w:val="center"/>
              <w:rPr>
                <w:sz w:val="18"/>
                <w:szCs w:val="18"/>
              </w:rPr>
            </w:pPr>
            <w:r>
              <w:rPr>
                <w:sz w:val="18"/>
                <w:szCs w:val="18"/>
              </w:rPr>
            </w:r>
          </w:p>
        </w:tc>
      </w:tr>
      <w:tr>
        <w:trPr/>
        <w:tc>
          <w:tcPr>
            <w:tcW w:w="1925" w:type="dxa"/>
            <w:tcBorders/>
          </w:tcPr>
          <w:p>
            <w:pPr>
              <w:pStyle w:val="Normal"/>
              <w:widowControl w:val="false"/>
              <w:suppressAutoHyphens w:val="true"/>
              <w:spacing w:lineRule="auto" w:line="240" w:before="0" w:after="0"/>
              <w:jc w:val="center"/>
              <w:rPr>
                <w:sz w:val="18"/>
                <w:szCs w:val="18"/>
              </w:rPr>
            </w:pPr>
            <w:r>
              <w:rPr>
                <w:rFonts w:eastAsia="Calibri" w:cs=""/>
                <w:kern w:val="0"/>
                <w:sz w:val="18"/>
                <w:szCs w:val="18"/>
                <w:lang w:eastAsia="en-US" w:bidi="ar-SA"/>
              </w:rPr>
              <w:t>Stoniness factor selection</w:t>
            </w:r>
          </w:p>
        </w:tc>
        <w:tc>
          <w:tcPr>
            <w:tcW w:w="1614" w:type="dxa"/>
            <w:tcBorders/>
          </w:tcPr>
          <w:p>
            <w:pPr>
              <w:pStyle w:val="Normal"/>
              <w:widowControl w:val="false"/>
              <w:suppressAutoHyphens w:val="true"/>
              <w:spacing w:lineRule="auto" w:line="240" w:before="0" w:after="0"/>
              <w:jc w:val="center"/>
              <w:rPr>
                <w:sz w:val="18"/>
                <w:szCs w:val="18"/>
              </w:rPr>
            </w:pPr>
            <w:r>
              <w:rPr>
                <w:rFonts w:eastAsia="Calibri" w:cs=""/>
                <w:kern w:val="0"/>
                <w:sz w:val="18"/>
                <w:szCs w:val="18"/>
                <w:lang w:eastAsia="en-US" w:bidi="ar-SA"/>
              </w:rPr>
              <w:t>1</w:t>
            </w:r>
          </w:p>
        </w:tc>
        <w:tc>
          <w:tcPr>
            <w:tcW w:w="2310" w:type="dxa"/>
            <w:tcBorders/>
          </w:tcPr>
          <w:p>
            <w:pPr>
              <w:pStyle w:val="Normal"/>
              <w:widowControl w:val="false"/>
              <w:suppressAutoHyphens w:val="true"/>
              <w:spacing w:lineRule="auto" w:line="240" w:before="0" w:after="0"/>
              <w:jc w:val="left"/>
              <w:rPr>
                <w:sz w:val="18"/>
                <w:szCs w:val="18"/>
              </w:rPr>
            </w:pPr>
            <w:r>
              <w:rPr>
                <w:sz w:val="18"/>
                <w:szCs w:val="18"/>
              </w:rPr>
            </w:r>
          </w:p>
        </w:tc>
        <w:tc>
          <w:tcPr>
            <w:tcW w:w="1234" w:type="dxa"/>
            <w:tcBorders/>
          </w:tcPr>
          <w:p>
            <w:pPr>
              <w:pStyle w:val="Normal"/>
              <w:widowControl w:val="false"/>
              <w:suppressAutoHyphens w:val="true"/>
              <w:spacing w:lineRule="auto" w:line="240" w:before="0" w:after="0"/>
              <w:jc w:val="center"/>
              <w:rPr>
                <w:sz w:val="18"/>
                <w:szCs w:val="18"/>
              </w:rPr>
            </w:pPr>
            <w:r>
              <w:rPr>
                <w:rFonts w:eastAsia="Calibri" w:cs="Segoe UI Symbol" w:ascii="Segoe UI Symbol" w:hAnsi="Segoe UI Symbol"/>
                <w:color w:val="222222"/>
                <w:kern w:val="0"/>
                <w:sz w:val="21"/>
                <w:szCs w:val="21"/>
                <w:shd w:fill="FFFFFF" w:val="clear"/>
                <w:lang w:eastAsia="en-US" w:bidi="ar-SA"/>
              </w:rPr>
              <w:t>✗</w:t>
            </w:r>
          </w:p>
        </w:tc>
        <w:tc>
          <w:tcPr>
            <w:tcW w:w="2545" w:type="dxa"/>
            <w:tcBorders/>
          </w:tcPr>
          <w:p>
            <w:pPr>
              <w:pStyle w:val="Normal"/>
              <w:widowControl w:val="false"/>
              <w:suppressAutoHyphens w:val="true"/>
              <w:spacing w:lineRule="auto" w:line="240" w:before="0" w:after="0"/>
              <w:jc w:val="center"/>
              <w:rPr>
                <w:sz w:val="18"/>
                <w:szCs w:val="18"/>
              </w:rPr>
            </w:pPr>
            <w:r>
              <w:rPr>
                <w:sz w:val="18"/>
                <w:szCs w:val="18"/>
              </w:rPr>
            </w:r>
          </w:p>
        </w:tc>
      </w:tr>
      <w:tr>
        <w:trPr/>
        <w:tc>
          <w:tcPr>
            <w:tcW w:w="1925" w:type="dxa"/>
            <w:tcBorders/>
          </w:tcPr>
          <w:p>
            <w:pPr>
              <w:pStyle w:val="Normal"/>
              <w:widowControl w:val="false"/>
              <w:suppressAutoHyphens w:val="true"/>
              <w:spacing w:lineRule="auto" w:line="240" w:before="0" w:after="0"/>
              <w:jc w:val="center"/>
              <w:rPr>
                <w:sz w:val="18"/>
                <w:szCs w:val="18"/>
              </w:rPr>
            </w:pPr>
            <w:r>
              <w:rPr>
                <w:rFonts w:eastAsia="Calibri" w:cs=""/>
                <w:kern w:val="0"/>
                <w:sz w:val="18"/>
                <w:szCs w:val="18"/>
                <w:lang w:eastAsia="en-US" w:bidi="ar-SA"/>
              </w:rPr>
              <w:t>K-factor equation application</w:t>
            </w:r>
          </w:p>
        </w:tc>
        <w:tc>
          <w:tcPr>
            <w:tcW w:w="1614" w:type="dxa"/>
            <w:tcBorders/>
          </w:tcPr>
          <w:p>
            <w:pPr>
              <w:pStyle w:val="Normal"/>
              <w:widowControl w:val="false"/>
              <w:suppressAutoHyphens w:val="true"/>
              <w:spacing w:lineRule="auto" w:line="240" w:before="0" w:after="0"/>
              <w:jc w:val="center"/>
              <w:rPr>
                <w:sz w:val="18"/>
                <w:szCs w:val="18"/>
              </w:rPr>
            </w:pPr>
            <w:r>
              <w:rPr>
                <w:rFonts w:eastAsia="Calibri" w:cs=""/>
                <w:kern w:val="0"/>
                <w:sz w:val="18"/>
                <w:szCs w:val="18"/>
                <w:lang w:eastAsia="en-US" w:bidi="ar-SA"/>
              </w:rPr>
              <w:t>2</w:t>
            </w:r>
          </w:p>
        </w:tc>
        <w:tc>
          <w:tcPr>
            <w:tcW w:w="2310" w:type="dxa"/>
            <w:tcBorders/>
          </w:tcPr>
          <w:p>
            <w:pPr>
              <w:pStyle w:val="Normal"/>
              <w:widowControl w:val="false"/>
              <w:suppressAutoHyphens w:val="true"/>
              <w:spacing w:lineRule="auto" w:line="240" w:before="0" w:after="0"/>
              <w:jc w:val="left"/>
              <w:rPr>
                <w:sz w:val="18"/>
                <w:szCs w:val="18"/>
              </w:rPr>
            </w:pPr>
            <w:r>
              <w:rPr>
                <w:rFonts w:eastAsia="Calibri" w:cs=""/>
                <w:kern w:val="0"/>
                <w:sz w:val="18"/>
                <w:szCs w:val="18"/>
                <w:lang w:eastAsia="en-US" w:bidi="ar-SA"/>
              </w:rPr>
              <w:t>No validity or parameters space is reported; user must check from reported literature</w:t>
            </w:r>
          </w:p>
        </w:tc>
        <w:tc>
          <w:tcPr>
            <w:tcW w:w="1234" w:type="dxa"/>
            <w:tcBorders/>
          </w:tcPr>
          <w:p>
            <w:pPr>
              <w:pStyle w:val="Normal"/>
              <w:widowControl w:val="false"/>
              <w:suppressAutoHyphens w:val="true"/>
              <w:spacing w:lineRule="auto" w:line="240" w:before="0" w:after="0"/>
              <w:jc w:val="center"/>
              <w:rPr>
                <w:sz w:val="18"/>
                <w:szCs w:val="18"/>
              </w:rPr>
            </w:pPr>
            <w:r>
              <w:rPr>
                <w:rFonts w:eastAsia="Calibri" w:cs="Segoe UI Symbol" w:ascii="Segoe UI Symbol" w:hAnsi="Segoe UI Symbol"/>
                <w:color w:val="222222"/>
                <w:kern w:val="0"/>
                <w:sz w:val="21"/>
                <w:szCs w:val="21"/>
                <w:shd w:fill="FFFFFF" w:val="clear"/>
                <w:lang w:eastAsia="en-US" w:bidi="ar-SA"/>
              </w:rPr>
              <w:t>✗</w:t>
            </w:r>
          </w:p>
        </w:tc>
        <w:tc>
          <w:tcPr>
            <w:tcW w:w="2545" w:type="dxa"/>
            <w:tcBorders/>
          </w:tcPr>
          <w:p>
            <w:pPr>
              <w:pStyle w:val="Normal"/>
              <w:widowControl w:val="false"/>
              <w:suppressAutoHyphens w:val="true"/>
              <w:spacing w:lineRule="auto" w:line="240" w:before="0" w:after="0"/>
              <w:jc w:val="center"/>
              <w:rPr>
                <w:sz w:val="18"/>
                <w:szCs w:val="18"/>
              </w:rPr>
            </w:pPr>
            <w:r>
              <w:rPr>
                <w:sz w:val="18"/>
                <w:szCs w:val="18"/>
              </w:rPr>
            </w:r>
          </w:p>
        </w:tc>
      </w:tr>
      <w:tr>
        <w:trPr/>
        <w:tc>
          <w:tcPr>
            <w:tcW w:w="1925" w:type="dxa"/>
            <w:tcBorders/>
          </w:tcPr>
          <w:p>
            <w:pPr>
              <w:pStyle w:val="Normal"/>
              <w:widowControl w:val="false"/>
              <w:suppressAutoHyphens w:val="true"/>
              <w:spacing w:lineRule="auto" w:line="240" w:before="0" w:after="0"/>
              <w:jc w:val="center"/>
              <w:rPr>
                <w:sz w:val="18"/>
                <w:szCs w:val="18"/>
              </w:rPr>
            </w:pPr>
            <w:r>
              <w:rPr>
                <w:rFonts w:eastAsia="Calibri" w:cs=""/>
                <w:kern w:val="0"/>
                <w:sz w:val="18"/>
                <w:szCs w:val="18"/>
                <w:lang w:eastAsia="en-US" w:bidi="ar-SA"/>
              </w:rPr>
              <w:t>Slope insertion</w:t>
            </w:r>
          </w:p>
        </w:tc>
        <w:tc>
          <w:tcPr>
            <w:tcW w:w="1614" w:type="dxa"/>
            <w:tcBorders/>
          </w:tcPr>
          <w:p>
            <w:pPr>
              <w:pStyle w:val="Normal"/>
              <w:widowControl w:val="false"/>
              <w:suppressAutoHyphens w:val="true"/>
              <w:spacing w:lineRule="auto" w:line="240" w:before="0" w:after="0"/>
              <w:jc w:val="center"/>
              <w:rPr>
                <w:sz w:val="18"/>
                <w:szCs w:val="18"/>
              </w:rPr>
            </w:pPr>
            <w:r>
              <w:rPr>
                <w:rFonts w:eastAsia="Calibri" w:cs=""/>
                <w:kern w:val="0"/>
                <w:sz w:val="18"/>
                <w:szCs w:val="18"/>
                <w:lang w:eastAsia="en-US" w:bidi="ar-SA"/>
              </w:rPr>
              <w:t>2</w:t>
            </w:r>
          </w:p>
        </w:tc>
        <w:tc>
          <w:tcPr>
            <w:tcW w:w="2310" w:type="dxa"/>
            <w:tcBorders/>
          </w:tcPr>
          <w:p>
            <w:pPr>
              <w:pStyle w:val="Normal"/>
              <w:widowControl w:val="false"/>
              <w:suppressAutoHyphens w:val="true"/>
              <w:spacing w:lineRule="auto" w:line="240" w:before="0" w:after="0"/>
              <w:jc w:val="left"/>
              <w:rPr>
                <w:sz w:val="18"/>
                <w:szCs w:val="18"/>
              </w:rPr>
            </w:pPr>
            <w:r>
              <w:rPr>
                <w:rFonts w:eastAsia="Calibri" w:cs=""/>
                <w:kern w:val="0"/>
                <w:sz w:val="18"/>
                <w:szCs w:val="18"/>
                <w:lang w:eastAsia="en-US" w:bidi="ar-SA"/>
              </w:rPr>
              <w:t>No unit of measure</w:t>
            </w:r>
            <w:r>
              <w:rPr>
                <w:rFonts w:eastAsia="Calibri" w:cs=""/>
                <w:kern w:val="0"/>
                <w:sz w:val="18"/>
                <w:szCs w:val="18"/>
                <w:lang w:eastAsia="en-US" w:bidi="ar-SA"/>
              </w:rPr>
              <w:t>s</w:t>
            </w:r>
            <w:r>
              <w:rPr>
                <w:rFonts w:eastAsia="Calibri" w:cs=""/>
                <w:kern w:val="0"/>
                <w:sz w:val="18"/>
                <w:szCs w:val="18"/>
                <w:lang w:eastAsia="en-US" w:bidi="ar-SA"/>
              </w:rPr>
              <w:t xml:space="preserve"> specification; user must check from reported literature</w:t>
            </w:r>
          </w:p>
        </w:tc>
        <w:tc>
          <w:tcPr>
            <w:tcW w:w="1234" w:type="dxa"/>
            <w:tcBorders/>
          </w:tcPr>
          <w:p>
            <w:pPr>
              <w:pStyle w:val="Normal"/>
              <w:widowControl w:val="false"/>
              <w:suppressAutoHyphens w:val="true"/>
              <w:spacing w:lineRule="auto" w:line="240" w:before="0" w:after="0"/>
              <w:jc w:val="center"/>
              <w:rPr>
                <w:sz w:val="18"/>
                <w:szCs w:val="18"/>
              </w:rPr>
            </w:pPr>
            <w:r>
              <w:rPr>
                <w:rFonts w:eastAsia="Calibri" w:cs="Segoe UI Symbol" w:ascii="Segoe UI Symbol" w:hAnsi="Segoe UI Symbol"/>
                <w:color w:val="222222"/>
                <w:kern w:val="0"/>
                <w:sz w:val="21"/>
                <w:szCs w:val="21"/>
                <w:shd w:fill="FFFFFF" w:val="clear"/>
                <w:lang w:eastAsia="en-US" w:bidi="ar-SA"/>
              </w:rPr>
              <w:t>✗</w:t>
            </w:r>
          </w:p>
        </w:tc>
        <w:tc>
          <w:tcPr>
            <w:tcW w:w="2545" w:type="dxa"/>
            <w:tcBorders/>
          </w:tcPr>
          <w:p>
            <w:pPr>
              <w:pStyle w:val="Normal"/>
              <w:widowControl w:val="false"/>
              <w:suppressAutoHyphens w:val="true"/>
              <w:spacing w:lineRule="auto" w:line="240" w:before="0" w:after="0"/>
              <w:jc w:val="center"/>
              <w:rPr>
                <w:sz w:val="18"/>
                <w:szCs w:val="18"/>
              </w:rPr>
            </w:pPr>
            <w:r>
              <w:rPr>
                <w:sz w:val="18"/>
                <w:szCs w:val="18"/>
              </w:rPr>
            </w:r>
          </w:p>
        </w:tc>
      </w:tr>
      <w:tr>
        <w:trPr/>
        <w:tc>
          <w:tcPr>
            <w:tcW w:w="1925" w:type="dxa"/>
            <w:tcBorders/>
          </w:tcPr>
          <w:p>
            <w:pPr>
              <w:pStyle w:val="Normal"/>
              <w:widowControl w:val="false"/>
              <w:suppressAutoHyphens w:val="true"/>
              <w:spacing w:lineRule="auto" w:line="240" w:before="0" w:after="0"/>
              <w:jc w:val="center"/>
              <w:rPr>
                <w:sz w:val="18"/>
                <w:szCs w:val="18"/>
              </w:rPr>
            </w:pPr>
            <w:r>
              <w:rPr>
                <w:rFonts w:eastAsia="Calibri" w:cs=""/>
                <w:kern w:val="0"/>
                <w:sz w:val="18"/>
                <w:szCs w:val="18"/>
                <w:lang w:eastAsia="en-US" w:bidi="ar-SA"/>
              </w:rPr>
              <w:t>LS-factor equation application</w:t>
            </w:r>
          </w:p>
        </w:tc>
        <w:tc>
          <w:tcPr>
            <w:tcW w:w="1614" w:type="dxa"/>
            <w:tcBorders/>
          </w:tcPr>
          <w:p>
            <w:pPr>
              <w:pStyle w:val="Normal"/>
              <w:widowControl w:val="false"/>
              <w:suppressAutoHyphens w:val="true"/>
              <w:spacing w:lineRule="auto" w:line="240" w:before="0" w:after="0"/>
              <w:jc w:val="center"/>
              <w:rPr>
                <w:sz w:val="18"/>
                <w:szCs w:val="18"/>
              </w:rPr>
            </w:pPr>
            <w:r>
              <w:rPr>
                <w:rFonts w:eastAsia="Calibri" w:cs=""/>
                <w:kern w:val="0"/>
                <w:sz w:val="18"/>
                <w:szCs w:val="18"/>
                <w:lang w:eastAsia="en-US" w:bidi="ar-SA"/>
              </w:rPr>
              <w:t>1</w:t>
            </w:r>
          </w:p>
        </w:tc>
        <w:tc>
          <w:tcPr>
            <w:tcW w:w="2310" w:type="dxa"/>
            <w:tcBorders/>
          </w:tcPr>
          <w:p>
            <w:pPr>
              <w:pStyle w:val="Normal"/>
              <w:widowControl w:val="false"/>
              <w:suppressAutoHyphens w:val="true"/>
              <w:spacing w:lineRule="auto" w:line="240" w:before="0" w:after="0"/>
              <w:jc w:val="left"/>
              <w:rPr>
                <w:sz w:val="18"/>
                <w:szCs w:val="18"/>
              </w:rPr>
            </w:pPr>
            <w:r>
              <w:rPr>
                <w:sz w:val="18"/>
                <w:szCs w:val="18"/>
              </w:rPr>
            </w:r>
          </w:p>
        </w:tc>
        <w:tc>
          <w:tcPr>
            <w:tcW w:w="1234" w:type="dxa"/>
            <w:tcBorders/>
          </w:tcPr>
          <w:p>
            <w:pPr>
              <w:pStyle w:val="Normal"/>
              <w:widowControl w:val="false"/>
              <w:suppressAutoHyphens w:val="true"/>
              <w:spacing w:lineRule="auto" w:line="240" w:before="0" w:after="0"/>
              <w:jc w:val="center"/>
              <w:rPr>
                <w:sz w:val="18"/>
                <w:szCs w:val="18"/>
              </w:rPr>
            </w:pPr>
            <w:r>
              <w:rPr>
                <w:rFonts w:eastAsia="Calibri" w:cs="Segoe UI Symbol" w:ascii="Segoe UI Symbol" w:hAnsi="Segoe UI Symbol"/>
                <w:color w:val="222222"/>
                <w:kern w:val="0"/>
                <w:sz w:val="21"/>
                <w:szCs w:val="21"/>
                <w:shd w:fill="FFFFFF" w:val="clear"/>
                <w:lang w:eastAsia="en-US" w:bidi="ar-SA"/>
              </w:rPr>
              <w:t>✗</w:t>
            </w:r>
          </w:p>
        </w:tc>
        <w:tc>
          <w:tcPr>
            <w:tcW w:w="2545" w:type="dxa"/>
            <w:tcBorders/>
          </w:tcPr>
          <w:p>
            <w:pPr>
              <w:pStyle w:val="Normal"/>
              <w:widowControl w:val="false"/>
              <w:suppressAutoHyphens w:val="true"/>
              <w:spacing w:lineRule="auto" w:line="240" w:before="0" w:after="0"/>
              <w:jc w:val="center"/>
              <w:rPr>
                <w:sz w:val="18"/>
                <w:szCs w:val="18"/>
              </w:rPr>
            </w:pPr>
            <w:r>
              <w:rPr>
                <w:sz w:val="18"/>
                <w:szCs w:val="18"/>
              </w:rPr>
            </w:r>
          </w:p>
        </w:tc>
      </w:tr>
      <w:tr>
        <w:trPr/>
        <w:tc>
          <w:tcPr>
            <w:tcW w:w="1925" w:type="dxa"/>
            <w:tcBorders/>
          </w:tcPr>
          <w:p>
            <w:pPr>
              <w:pStyle w:val="Normal"/>
              <w:widowControl w:val="false"/>
              <w:suppressAutoHyphens w:val="true"/>
              <w:spacing w:lineRule="auto" w:line="240" w:before="0" w:after="0"/>
              <w:jc w:val="center"/>
              <w:rPr>
                <w:sz w:val="18"/>
                <w:szCs w:val="18"/>
              </w:rPr>
            </w:pPr>
            <w:r>
              <w:rPr>
                <w:rFonts w:eastAsia="Calibri" w:cs=""/>
                <w:kern w:val="0"/>
                <w:sz w:val="18"/>
                <w:szCs w:val="18"/>
                <w:lang w:eastAsia="en-US" w:bidi="ar-SA"/>
              </w:rPr>
              <w:t>C-factor insertion</w:t>
            </w:r>
          </w:p>
        </w:tc>
        <w:tc>
          <w:tcPr>
            <w:tcW w:w="1614" w:type="dxa"/>
            <w:tcBorders/>
          </w:tcPr>
          <w:p>
            <w:pPr>
              <w:pStyle w:val="Normal"/>
              <w:widowControl w:val="false"/>
              <w:suppressAutoHyphens w:val="true"/>
              <w:spacing w:lineRule="auto" w:line="240" w:before="0" w:after="0"/>
              <w:jc w:val="center"/>
              <w:rPr>
                <w:sz w:val="18"/>
                <w:szCs w:val="18"/>
              </w:rPr>
            </w:pPr>
            <w:r>
              <w:rPr>
                <w:rFonts w:eastAsia="Calibri" w:cs=""/>
                <w:kern w:val="0"/>
                <w:sz w:val="18"/>
                <w:szCs w:val="18"/>
                <w:lang w:eastAsia="en-US" w:bidi="ar-SA"/>
              </w:rPr>
              <w:t>3</w:t>
            </w:r>
          </w:p>
        </w:tc>
        <w:tc>
          <w:tcPr>
            <w:tcW w:w="2310" w:type="dxa"/>
            <w:tcBorders/>
          </w:tcPr>
          <w:p>
            <w:pPr>
              <w:pStyle w:val="Normal"/>
              <w:widowControl w:val="false"/>
              <w:suppressAutoHyphens w:val="true"/>
              <w:spacing w:lineRule="auto" w:line="240" w:before="0" w:after="0"/>
              <w:jc w:val="left"/>
              <w:rPr>
                <w:sz w:val="18"/>
                <w:szCs w:val="18"/>
              </w:rPr>
            </w:pPr>
            <w:r>
              <w:rPr>
                <w:rFonts w:eastAsia="Calibri" w:cs=""/>
                <w:kern w:val="0"/>
                <w:sz w:val="18"/>
                <w:szCs w:val="18"/>
                <w:lang w:eastAsia="en-US" w:bidi="ar-SA"/>
              </w:rPr>
              <w:t xml:space="preserve">No </w:t>
            </w:r>
            <w:r>
              <w:rPr>
                <w:rFonts w:eastAsia="Calibri" w:cs=""/>
                <w:kern w:val="0"/>
                <w:sz w:val="18"/>
                <w:szCs w:val="18"/>
                <w:lang w:eastAsia="en-US" w:bidi="ar-SA"/>
              </w:rPr>
              <w:t>guidance</w:t>
            </w:r>
            <w:r>
              <w:rPr>
                <w:rFonts w:eastAsia="Calibri" w:cs=""/>
                <w:kern w:val="0"/>
                <w:sz w:val="18"/>
                <w:szCs w:val="18"/>
                <w:lang w:eastAsia="en-US" w:bidi="ar-SA"/>
              </w:rPr>
              <w:t xml:space="preserve"> for C-factor insertion is provided; grey literature is provided</w:t>
            </w:r>
          </w:p>
        </w:tc>
        <w:tc>
          <w:tcPr>
            <w:tcW w:w="1234" w:type="dxa"/>
            <w:tcBorders/>
          </w:tcPr>
          <w:p>
            <w:pPr>
              <w:pStyle w:val="Normal"/>
              <w:widowControl w:val="false"/>
              <w:suppressAutoHyphens w:val="true"/>
              <w:spacing w:lineRule="auto" w:line="240" w:before="0" w:after="0"/>
              <w:jc w:val="center"/>
              <w:rPr>
                <w:sz w:val="18"/>
                <w:szCs w:val="18"/>
              </w:rPr>
            </w:pPr>
            <w:r>
              <w:rPr>
                <w:rFonts w:eastAsia="Calibri" w:cs="Segoe UI Symbol" w:ascii="Segoe UI Symbol" w:hAnsi="Segoe UI Symbol"/>
                <w:color w:val="222222"/>
                <w:kern w:val="0"/>
                <w:sz w:val="21"/>
                <w:szCs w:val="21"/>
                <w:shd w:fill="FFFFFF" w:val="clear"/>
                <w:lang w:eastAsia="en-US" w:bidi="ar-SA"/>
              </w:rPr>
              <w:t>✓</w:t>
            </w:r>
          </w:p>
        </w:tc>
        <w:tc>
          <w:tcPr>
            <w:tcW w:w="2545" w:type="dxa"/>
            <w:tcBorders/>
          </w:tcPr>
          <w:p>
            <w:pPr>
              <w:pStyle w:val="Normal"/>
              <w:widowControl w:val="false"/>
              <w:suppressAutoHyphens w:val="true"/>
              <w:spacing w:lineRule="auto" w:line="240" w:before="0" w:after="0"/>
              <w:jc w:val="center"/>
              <w:rPr>
                <w:sz w:val="18"/>
                <w:szCs w:val="18"/>
              </w:rPr>
            </w:pPr>
            <w:r>
              <w:rPr>
                <w:rFonts w:eastAsia="Calibri" w:cs=""/>
                <w:kern w:val="0"/>
                <w:sz w:val="18"/>
                <w:szCs w:val="18"/>
                <w:lang w:eastAsia="en-US" w:bidi="ar-SA"/>
              </w:rPr>
              <w:t>User must arbitrary determine C-factor</w:t>
            </w:r>
          </w:p>
        </w:tc>
      </w:tr>
      <w:tr>
        <w:trPr/>
        <w:tc>
          <w:tcPr>
            <w:tcW w:w="1925" w:type="dxa"/>
            <w:tcBorders/>
          </w:tcPr>
          <w:p>
            <w:pPr>
              <w:pStyle w:val="Normal"/>
              <w:widowControl w:val="false"/>
              <w:suppressAutoHyphens w:val="true"/>
              <w:spacing w:lineRule="auto" w:line="240" w:before="0" w:after="0"/>
              <w:jc w:val="center"/>
              <w:rPr>
                <w:sz w:val="18"/>
                <w:szCs w:val="18"/>
              </w:rPr>
            </w:pPr>
            <w:r>
              <w:rPr>
                <w:rFonts w:eastAsia="Calibri" w:cs=""/>
                <w:kern w:val="0"/>
                <w:sz w:val="18"/>
                <w:szCs w:val="18"/>
                <w:lang w:eastAsia="en-US" w:bidi="ar-SA"/>
              </w:rPr>
              <w:t>P-factor insertion</w:t>
            </w:r>
          </w:p>
        </w:tc>
        <w:tc>
          <w:tcPr>
            <w:tcW w:w="1614" w:type="dxa"/>
            <w:tcBorders/>
          </w:tcPr>
          <w:p>
            <w:pPr>
              <w:pStyle w:val="Normal"/>
              <w:widowControl w:val="false"/>
              <w:suppressAutoHyphens w:val="true"/>
              <w:spacing w:lineRule="auto" w:line="240" w:before="0" w:after="0"/>
              <w:jc w:val="center"/>
              <w:rPr>
                <w:sz w:val="18"/>
                <w:szCs w:val="18"/>
              </w:rPr>
            </w:pPr>
            <w:r>
              <w:rPr>
                <w:rFonts w:eastAsia="Calibri" w:cs=""/>
                <w:kern w:val="0"/>
                <w:sz w:val="18"/>
                <w:szCs w:val="18"/>
                <w:lang w:eastAsia="en-US" w:bidi="ar-SA"/>
              </w:rPr>
              <w:t>1</w:t>
            </w:r>
          </w:p>
        </w:tc>
        <w:tc>
          <w:tcPr>
            <w:tcW w:w="2310" w:type="dxa"/>
            <w:tcBorders/>
          </w:tcPr>
          <w:p>
            <w:pPr>
              <w:pStyle w:val="Normal"/>
              <w:widowControl w:val="false"/>
              <w:suppressAutoHyphens w:val="true"/>
              <w:spacing w:lineRule="auto" w:line="240" w:before="0" w:after="0"/>
              <w:jc w:val="left"/>
              <w:rPr>
                <w:sz w:val="18"/>
                <w:szCs w:val="18"/>
              </w:rPr>
            </w:pPr>
            <w:r>
              <w:rPr>
                <w:sz w:val="18"/>
                <w:szCs w:val="18"/>
              </w:rPr>
            </w:r>
          </w:p>
        </w:tc>
        <w:tc>
          <w:tcPr>
            <w:tcW w:w="1234" w:type="dxa"/>
            <w:tcBorders/>
          </w:tcPr>
          <w:p>
            <w:pPr>
              <w:pStyle w:val="Normal"/>
              <w:widowControl w:val="false"/>
              <w:suppressAutoHyphens w:val="true"/>
              <w:spacing w:lineRule="auto" w:line="240" w:before="0" w:after="0"/>
              <w:jc w:val="center"/>
              <w:rPr>
                <w:sz w:val="18"/>
                <w:szCs w:val="18"/>
              </w:rPr>
            </w:pPr>
            <w:r>
              <w:rPr>
                <w:rFonts w:eastAsia="Calibri" w:cs="Segoe UI Symbol" w:ascii="Segoe UI Symbol" w:hAnsi="Segoe UI Symbol"/>
                <w:color w:val="222222"/>
                <w:kern w:val="0"/>
                <w:sz w:val="21"/>
                <w:szCs w:val="21"/>
                <w:shd w:fill="FFFFFF" w:val="clear"/>
                <w:lang w:eastAsia="en-US" w:bidi="ar-SA"/>
              </w:rPr>
              <w:t>✓</w:t>
            </w:r>
          </w:p>
        </w:tc>
        <w:tc>
          <w:tcPr>
            <w:tcW w:w="2545" w:type="dxa"/>
            <w:tcBorders/>
          </w:tcPr>
          <w:p>
            <w:pPr>
              <w:pStyle w:val="Normal"/>
              <w:widowControl w:val="false"/>
              <w:suppressAutoHyphens w:val="true"/>
              <w:spacing w:lineRule="auto" w:line="240" w:before="0" w:after="0"/>
              <w:jc w:val="center"/>
              <w:rPr>
                <w:sz w:val="18"/>
                <w:szCs w:val="18"/>
              </w:rPr>
            </w:pPr>
            <w:r>
              <w:rPr>
                <w:rFonts w:eastAsia="Calibri" w:cs=""/>
                <w:kern w:val="0"/>
                <w:sz w:val="18"/>
                <w:szCs w:val="18"/>
                <w:lang w:eastAsia="en-US" w:bidi="ar-SA"/>
              </w:rPr>
              <w:t>User must arbitrary determine P-factor</w:t>
            </w:r>
          </w:p>
        </w:tc>
      </w:tr>
      <w:tr>
        <w:trPr/>
        <w:tc>
          <w:tcPr>
            <w:tcW w:w="1925" w:type="dxa"/>
            <w:tcBorders/>
          </w:tcPr>
          <w:p>
            <w:pPr>
              <w:pStyle w:val="Normal"/>
              <w:widowControl w:val="false"/>
              <w:suppressAutoHyphens w:val="true"/>
              <w:spacing w:lineRule="auto" w:line="240" w:before="0" w:after="0"/>
              <w:jc w:val="center"/>
              <w:rPr>
                <w:sz w:val="18"/>
                <w:szCs w:val="18"/>
              </w:rPr>
            </w:pPr>
            <w:r>
              <w:rPr>
                <w:rFonts w:eastAsia="Calibri" w:cs=""/>
                <w:kern w:val="0"/>
                <w:sz w:val="18"/>
                <w:szCs w:val="18"/>
                <w:lang w:eastAsia="en-US" w:bidi="ar-SA"/>
              </w:rPr>
              <w:t>RUSLE equation application</w:t>
            </w:r>
          </w:p>
        </w:tc>
        <w:tc>
          <w:tcPr>
            <w:tcW w:w="1614" w:type="dxa"/>
            <w:tcBorders/>
          </w:tcPr>
          <w:p>
            <w:pPr>
              <w:pStyle w:val="Normal"/>
              <w:widowControl w:val="false"/>
              <w:suppressAutoHyphens w:val="true"/>
              <w:spacing w:lineRule="auto" w:line="240" w:before="0" w:after="0"/>
              <w:jc w:val="center"/>
              <w:rPr>
                <w:sz w:val="18"/>
                <w:szCs w:val="18"/>
              </w:rPr>
            </w:pPr>
            <w:r>
              <w:rPr>
                <w:rFonts w:eastAsia="Calibri" w:cs=""/>
                <w:kern w:val="0"/>
                <w:sz w:val="18"/>
                <w:szCs w:val="18"/>
                <w:lang w:eastAsia="en-US" w:bidi="ar-SA"/>
              </w:rPr>
              <w:t>2</w:t>
            </w:r>
          </w:p>
        </w:tc>
        <w:tc>
          <w:tcPr>
            <w:tcW w:w="2310" w:type="dxa"/>
            <w:tcBorders/>
          </w:tcPr>
          <w:p>
            <w:pPr>
              <w:pStyle w:val="Normal"/>
              <w:widowControl w:val="false"/>
              <w:suppressAutoHyphens w:val="true"/>
              <w:spacing w:lineRule="auto" w:line="240" w:before="0" w:after="0"/>
              <w:jc w:val="left"/>
              <w:rPr>
                <w:sz w:val="18"/>
                <w:szCs w:val="18"/>
              </w:rPr>
            </w:pPr>
            <w:r>
              <w:rPr>
                <w:rFonts w:eastAsia="Calibri" w:cs=""/>
                <w:kern w:val="0"/>
                <w:sz w:val="18"/>
                <w:szCs w:val="18"/>
                <w:lang w:eastAsia="en-US" w:bidi="ar-SA"/>
              </w:rPr>
              <w:t>No validity or parameters space is reported; user must check from reported literature</w:t>
            </w:r>
          </w:p>
        </w:tc>
        <w:tc>
          <w:tcPr>
            <w:tcW w:w="1234" w:type="dxa"/>
            <w:tcBorders/>
          </w:tcPr>
          <w:p>
            <w:pPr>
              <w:pStyle w:val="Normal"/>
              <w:widowControl w:val="false"/>
              <w:suppressAutoHyphens w:val="true"/>
              <w:spacing w:lineRule="auto" w:line="240" w:before="0" w:after="0"/>
              <w:jc w:val="center"/>
              <w:rPr>
                <w:sz w:val="18"/>
                <w:szCs w:val="18"/>
              </w:rPr>
            </w:pPr>
            <w:r>
              <w:rPr>
                <w:rFonts w:eastAsia="Calibri" w:cs="Segoe UI Symbol" w:ascii="Segoe UI Symbol" w:hAnsi="Segoe UI Symbol"/>
                <w:color w:val="222222"/>
                <w:kern w:val="0"/>
                <w:sz w:val="21"/>
                <w:szCs w:val="21"/>
                <w:shd w:fill="FFFFFF" w:val="clear"/>
                <w:lang w:eastAsia="en-US" w:bidi="ar-SA"/>
              </w:rPr>
              <w:t>✗</w:t>
            </w:r>
          </w:p>
        </w:tc>
        <w:tc>
          <w:tcPr>
            <w:tcW w:w="2545" w:type="dxa"/>
            <w:tcBorders/>
          </w:tcPr>
          <w:p>
            <w:pPr>
              <w:pStyle w:val="Normal"/>
              <w:widowControl w:val="false"/>
              <w:suppressAutoHyphens w:val="true"/>
              <w:spacing w:lineRule="auto" w:line="240" w:before="0" w:after="0"/>
              <w:jc w:val="center"/>
              <w:rPr>
                <w:sz w:val="18"/>
                <w:szCs w:val="18"/>
              </w:rPr>
            </w:pPr>
            <w:r>
              <w:rPr>
                <w:sz w:val="18"/>
                <w:szCs w:val="18"/>
              </w:rPr>
            </w:r>
          </w:p>
        </w:tc>
      </w:tr>
      <w:tr>
        <w:trPr/>
        <w:tc>
          <w:tcPr>
            <w:tcW w:w="9628" w:type="dxa"/>
            <w:gridSpan w:val="5"/>
            <w:tcBorders/>
          </w:tcPr>
          <w:p>
            <w:pPr>
              <w:pStyle w:val="Normal"/>
              <w:widowControl w:val="false"/>
              <w:suppressAutoHyphens w:val="true"/>
              <w:spacing w:lineRule="auto" w:line="240" w:before="0" w:after="0"/>
              <w:jc w:val="left"/>
              <w:rPr>
                <w:sz w:val="18"/>
                <w:szCs w:val="18"/>
              </w:rPr>
            </w:pPr>
            <w:r>
              <w:rPr>
                <w:rFonts w:eastAsia="Calibri" w:cs=""/>
                <w:kern w:val="0"/>
                <w:sz w:val="18"/>
                <w:szCs w:val="18"/>
                <w:lang w:eastAsia="en-US" w:bidi="ar-SA"/>
              </w:rPr>
              <w:t>MECHANICAL FILTRATION CALCULATION</w:t>
            </w:r>
          </w:p>
        </w:tc>
      </w:tr>
      <w:tr>
        <w:trPr/>
        <w:tc>
          <w:tcPr>
            <w:tcW w:w="1925" w:type="dxa"/>
            <w:tcBorders/>
          </w:tcPr>
          <w:p>
            <w:pPr>
              <w:pStyle w:val="Normal"/>
              <w:widowControl w:val="false"/>
              <w:suppressAutoHyphens w:val="true"/>
              <w:spacing w:lineRule="auto" w:line="240" w:before="0" w:after="0"/>
              <w:jc w:val="center"/>
              <w:rPr>
                <w:sz w:val="18"/>
                <w:szCs w:val="18"/>
              </w:rPr>
            </w:pPr>
            <w:r>
              <w:rPr>
                <w:rFonts w:eastAsia="Calibri" w:cs=""/>
                <w:kern w:val="0"/>
                <w:sz w:val="18"/>
                <w:szCs w:val="18"/>
                <w:lang w:eastAsia="en-US" w:bidi="ar-SA"/>
              </w:rPr>
              <w:t>Soil texture class selection</w:t>
            </w:r>
          </w:p>
        </w:tc>
        <w:tc>
          <w:tcPr>
            <w:tcW w:w="1614" w:type="dxa"/>
            <w:tcBorders/>
          </w:tcPr>
          <w:p>
            <w:pPr>
              <w:pStyle w:val="Normal"/>
              <w:widowControl w:val="false"/>
              <w:suppressAutoHyphens w:val="true"/>
              <w:spacing w:lineRule="auto" w:line="240" w:before="0" w:after="0"/>
              <w:jc w:val="center"/>
              <w:rPr>
                <w:sz w:val="18"/>
                <w:szCs w:val="18"/>
              </w:rPr>
            </w:pPr>
            <w:r>
              <w:rPr>
                <w:rFonts w:eastAsia="Calibri" w:cs=""/>
                <w:kern w:val="0"/>
                <w:sz w:val="18"/>
                <w:szCs w:val="18"/>
                <w:lang w:eastAsia="en-US" w:bidi="ar-SA"/>
              </w:rPr>
              <w:t>3</w:t>
            </w:r>
          </w:p>
        </w:tc>
        <w:tc>
          <w:tcPr>
            <w:tcW w:w="2310" w:type="dxa"/>
            <w:tcBorders/>
          </w:tcPr>
          <w:p>
            <w:pPr>
              <w:pStyle w:val="Normal"/>
              <w:widowControl w:val="false"/>
              <w:suppressAutoHyphens w:val="true"/>
              <w:spacing w:lineRule="auto" w:line="240" w:before="0" w:after="0"/>
              <w:jc w:val="left"/>
              <w:rPr>
                <w:sz w:val="18"/>
                <w:szCs w:val="18"/>
              </w:rPr>
            </w:pPr>
            <w:r>
              <w:rPr>
                <w:rFonts w:eastAsia="Calibri" w:cs=""/>
                <w:kern w:val="0"/>
                <w:sz w:val="18"/>
                <w:szCs w:val="18"/>
                <w:lang w:eastAsia="en-US" w:bidi="ar-SA"/>
              </w:rPr>
              <w:t>The adopted texture classification system is not reported; literature is in German</w:t>
            </w:r>
          </w:p>
        </w:tc>
        <w:tc>
          <w:tcPr>
            <w:tcW w:w="1234" w:type="dxa"/>
            <w:tcBorders/>
          </w:tcPr>
          <w:p>
            <w:pPr>
              <w:pStyle w:val="Normal"/>
              <w:widowControl w:val="false"/>
              <w:suppressAutoHyphens w:val="true"/>
              <w:spacing w:lineRule="auto" w:line="240" w:before="0" w:after="0"/>
              <w:jc w:val="center"/>
              <w:rPr>
                <w:sz w:val="18"/>
                <w:szCs w:val="18"/>
              </w:rPr>
            </w:pPr>
            <w:r>
              <w:rPr>
                <w:rFonts w:eastAsia="Calibri" w:cs="Segoe UI Symbol" w:ascii="Segoe UI Symbol" w:hAnsi="Segoe UI Symbol"/>
                <w:color w:val="222222"/>
                <w:kern w:val="0"/>
                <w:sz w:val="21"/>
                <w:szCs w:val="21"/>
                <w:shd w:fill="FFFFFF" w:val="clear"/>
                <w:lang w:eastAsia="en-US" w:bidi="ar-SA"/>
              </w:rPr>
              <w:t>✓</w:t>
            </w:r>
          </w:p>
        </w:tc>
        <w:tc>
          <w:tcPr>
            <w:tcW w:w="2545" w:type="dxa"/>
            <w:tcBorders/>
          </w:tcPr>
          <w:p>
            <w:pPr>
              <w:pStyle w:val="Normal"/>
              <w:widowControl w:val="false"/>
              <w:suppressAutoHyphens w:val="true"/>
              <w:spacing w:lineRule="auto" w:line="240" w:before="0" w:after="0"/>
              <w:jc w:val="center"/>
              <w:rPr>
                <w:sz w:val="18"/>
                <w:szCs w:val="18"/>
              </w:rPr>
            </w:pPr>
            <w:r>
              <w:rPr>
                <w:rFonts w:eastAsia="Calibri" w:cs=""/>
                <w:kern w:val="0"/>
                <w:sz w:val="18"/>
                <w:szCs w:val="18"/>
                <w:lang w:eastAsia="en-US" w:bidi="ar-SA"/>
              </w:rPr>
              <w:t>User arbitrary choose if and how to convert the texture classification system to adopt</w:t>
            </w:r>
          </w:p>
        </w:tc>
      </w:tr>
      <w:tr>
        <w:trPr/>
        <w:tc>
          <w:tcPr>
            <w:tcW w:w="1925" w:type="dxa"/>
            <w:tcBorders/>
          </w:tcPr>
          <w:p>
            <w:pPr>
              <w:pStyle w:val="Normal"/>
              <w:widowControl w:val="false"/>
              <w:suppressAutoHyphens w:val="true"/>
              <w:spacing w:lineRule="auto" w:line="240" w:before="0" w:after="0"/>
              <w:jc w:val="center"/>
              <w:rPr>
                <w:sz w:val="18"/>
                <w:szCs w:val="18"/>
              </w:rPr>
            </w:pPr>
            <w:r>
              <w:rPr>
                <w:rFonts w:eastAsia="Calibri" w:cs=""/>
                <w:kern w:val="0"/>
                <w:sz w:val="18"/>
                <w:szCs w:val="18"/>
                <w:lang w:eastAsia="en-US" w:bidi="ar-SA"/>
              </w:rPr>
              <w:t>Permeability group selection</w:t>
            </w:r>
          </w:p>
        </w:tc>
        <w:tc>
          <w:tcPr>
            <w:tcW w:w="1614" w:type="dxa"/>
            <w:tcBorders/>
          </w:tcPr>
          <w:p>
            <w:pPr>
              <w:pStyle w:val="Normal"/>
              <w:widowControl w:val="false"/>
              <w:suppressAutoHyphens w:val="true"/>
              <w:spacing w:lineRule="auto" w:line="240" w:before="0" w:after="0"/>
              <w:jc w:val="center"/>
              <w:rPr>
                <w:sz w:val="18"/>
                <w:szCs w:val="18"/>
              </w:rPr>
            </w:pPr>
            <w:r>
              <w:rPr>
                <w:rFonts w:eastAsia="Calibri" w:cs=""/>
                <w:kern w:val="0"/>
                <w:sz w:val="18"/>
                <w:szCs w:val="18"/>
                <w:lang w:eastAsia="en-US" w:bidi="ar-SA"/>
              </w:rPr>
              <w:t>3</w:t>
            </w:r>
          </w:p>
        </w:tc>
        <w:tc>
          <w:tcPr>
            <w:tcW w:w="2310" w:type="dxa"/>
            <w:tcBorders/>
          </w:tcPr>
          <w:p>
            <w:pPr>
              <w:pStyle w:val="Normal"/>
              <w:widowControl w:val="false"/>
              <w:suppressAutoHyphens w:val="true"/>
              <w:spacing w:lineRule="auto" w:line="240" w:before="0" w:after="0"/>
              <w:jc w:val="left"/>
              <w:rPr>
                <w:sz w:val="18"/>
                <w:szCs w:val="18"/>
              </w:rPr>
            </w:pPr>
            <w:r>
              <w:rPr>
                <w:rFonts w:eastAsia="Calibri" w:cs=""/>
                <w:kern w:val="0"/>
                <w:sz w:val="18"/>
                <w:szCs w:val="18"/>
                <w:lang w:eastAsia="en-US" w:bidi="ar-SA"/>
              </w:rPr>
              <w:t>Permeability groups assignment to soil texture classes is not explained; literature is in German</w:t>
            </w:r>
          </w:p>
        </w:tc>
        <w:tc>
          <w:tcPr>
            <w:tcW w:w="1234" w:type="dxa"/>
            <w:tcBorders/>
          </w:tcPr>
          <w:p>
            <w:pPr>
              <w:pStyle w:val="Normal"/>
              <w:widowControl w:val="false"/>
              <w:suppressAutoHyphens w:val="true"/>
              <w:spacing w:lineRule="auto" w:line="240" w:before="0" w:after="0"/>
              <w:jc w:val="center"/>
              <w:rPr>
                <w:sz w:val="18"/>
                <w:szCs w:val="18"/>
              </w:rPr>
            </w:pPr>
            <w:r>
              <w:rPr>
                <w:rFonts w:eastAsia="Calibri" w:cs="Segoe UI Symbol" w:ascii="Segoe UI Symbol" w:hAnsi="Segoe UI Symbol"/>
                <w:color w:val="222222"/>
                <w:kern w:val="0"/>
                <w:sz w:val="21"/>
                <w:szCs w:val="21"/>
                <w:shd w:fill="FFFFFF" w:val="clear"/>
                <w:lang w:eastAsia="en-US" w:bidi="ar-SA"/>
              </w:rPr>
              <w:t>✗</w:t>
            </w:r>
          </w:p>
        </w:tc>
        <w:tc>
          <w:tcPr>
            <w:tcW w:w="2545" w:type="dxa"/>
            <w:tcBorders/>
          </w:tcPr>
          <w:p>
            <w:pPr>
              <w:pStyle w:val="Normal"/>
              <w:widowControl w:val="false"/>
              <w:suppressAutoHyphens w:val="true"/>
              <w:spacing w:lineRule="auto" w:line="240" w:before="0" w:after="0"/>
              <w:jc w:val="center"/>
              <w:rPr>
                <w:sz w:val="18"/>
                <w:szCs w:val="18"/>
              </w:rPr>
            </w:pPr>
            <w:r>
              <w:rPr>
                <w:sz w:val="18"/>
                <w:szCs w:val="18"/>
              </w:rPr>
            </w:r>
          </w:p>
        </w:tc>
      </w:tr>
      <w:tr>
        <w:trPr/>
        <w:tc>
          <w:tcPr>
            <w:tcW w:w="1925" w:type="dxa"/>
            <w:tcBorders/>
          </w:tcPr>
          <w:p>
            <w:pPr>
              <w:pStyle w:val="Normal"/>
              <w:widowControl w:val="false"/>
              <w:suppressAutoHyphens w:val="true"/>
              <w:spacing w:lineRule="auto" w:line="240" w:before="0" w:after="0"/>
              <w:jc w:val="center"/>
              <w:rPr>
                <w:sz w:val="18"/>
                <w:szCs w:val="18"/>
              </w:rPr>
            </w:pPr>
            <w:r>
              <w:rPr>
                <w:rFonts w:eastAsia="Calibri" w:cs=""/>
                <w:kern w:val="0"/>
                <w:sz w:val="18"/>
                <w:szCs w:val="18"/>
                <w:lang w:eastAsia="en-US" w:bidi="ar-SA"/>
              </w:rPr>
              <w:t>Groundwater distance insertion</w:t>
            </w:r>
          </w:p>
        </w:tc>
        <w:tc>
          <w:tcPr>
            <w:tcW w:w="1614" w:type="dxa"/>
            <w:tcBorders/>
          </w:tcPr>
          <w:p>
            <w:pPr>
              <w:pStyle w:val="Normal"/>
              <w:widowControl w:val="false"/>
              <w:suppressAutoHyphens w:val="true"/>
              <w:spacing w:lineRule="auto" w:line="240" w:before="0" w:after="0"/>
              <w:jc w:val="center"/>
              <w:rPr>
                <w:sz w:val="18"/>
                <w:szCs w:val="18"/>
              </w:rPr>
            </w:pPr>
            <w:r>
              <w:rPr>
                <w:rFonts w:eastAsia="Calibri" w:cs=""/>
                <w:kern w:val="0"/>
                <w:sz w:val="18"/>
                <w:szCs w:val="18"/>
                <w:lang w:eastAsia="en-US" w:bidi="ar-SA"/>
              </w:rPr>
              <w:t>1</w:t>
            </w:r>
          </w:p>
        </w:tc>
        <w:tc>
          <w:tcPr>
            <w:tcW w:w="2310" w:type="dxa"/>
            <w:tcBorders/>
          </w:tcPr>
          <w:p>
            <w:pPr>
              <w:pStyle w:val="Normal"/>
              <w:widowControl w:val="false"/>
              <w:suppressAutoHyphens w:val="true"/>
              <w:spacing w:lineRule="auto" w:line="240" w:before="0" w:after="0"/>
              <w:jc w:val="left"/>
              <w:rPr>
                <w:sz w:val="18"/>
                <w:szCs w:val="18"/>
              </w:rPr>
            </w:pPr>
            <w:r>
              <w:rPr>
                <w:sz w:val="18"/>
                <w:szCs w:val="18"/>
              </w:rPr>
            </w:r>
          </w:p>
        </w:tc>
        <w:tc>
          <w:tcPr>
            <w:tcW w:w="1234" w:type="dxa"/>
            <w:tcBorders/>
          </w:tcPr>
          <w:p>
            <w:pPr>
              <w:pStyle w:val="Normal"/>
              <w:widowControl w:val="false"/>
              <w:suppressAutoHyphens w:val="true"/>
              <w:spacing w:lineRule="auto" w:line="240" w:before="0" w:after="0"/>
              <w:jc w:val="center"/>
              <w:rPr>
                <w:sz w:val="18"/>
                <w:szCs w:val="18"/>
              </w:rPr>
            </w:pPr>
            <w:r>
              <w:rPr>
                <w:rFonts w:eastAsia="Calibri" w:cs="Segoe UI Symbol" w:ascii="Segoe UI Symbol" w:hAnsi="Segoe UI Symbol"/>
                <w:color w:val="222222"/>
                <w:kern w:val="0"/>
                <w:sz w:val="21"/>
                <w:szCs w:val="21"/>
                <w:shd w:fill="FFFFFF" w:val="clear"/>
                <w:lang w:eastAsia="en-US" w:bidi="ar-SA"/>
              </w:rPr>
              <w:t>✗</w:t>
            </w:r>
          </w:p>
        </w:tc>
        <w:tc>
          <w:tcPr>
            <w:tcW w:w="2545" w:type="dxa"/>
            <w:tcBorders/>
          </w:tcPr>
          <w:p>
            <w:pPr>
              <w:pStyle w:val="Normal"/>
              <w:widowControl w:val="false"/>
              <w:suppressAutoHyphens w:val="true"/>
              <w:spacing w:lineRule="auto" w:line="240" w:before="0" w:after="0"/>
              <w:jc w:val="center"/>
              <w:rPr>
                <w:sz w:val="18"/>
                <w:szCs w:val="18"/>
              </w:rPr>
            </w:pPr>
            <w:r>
              <w:rPr>
                <w:sz w:val="18"/>
                <w:szCs w:val="18"/>
              </w:rPr>
            </w:r>
          </w:p>
        </w:tc>
      </w:tr>
      <w:tr>
        <w:trPr/>
        <w:tc>
          <w:tcPr>
            <w:tcW w:w="1925" w:type="dxa"/>
            <w:tcBorders/>
          </w:tcPr>
          <w:p>
            <w:pPr>
              <w:pStyle w:val="Normal"/>
              <w:widowControl w:val="false"/>
              <w:suppressAutoHyphens w:val="true"/>
              <w:spacing w:lineRule="auto" w:line="240" w:before="0" w:after="0"/>
              <w:jc w:val="center"/>
              <w:rPr>
                <w:sz w:val="18"/>
                <w:szCs w:val="18"/>
              </w:rPr>
            </w:pPr>
            <w:r>
              <w:rPr>
                <w:rFonts w:eastAsia="Calibri" w:cs=""/>
                <w:kern w:val="0"/>
                <w:sz w:val="18"/>
                <w:szCs w:val="18"/>
                <w:lang w:eastAsia="en-US" w:bidi="ar-SA"/>
              </w:rPr>
              <w:t>Permeability group correction selection</w:t>
            </w:r>
          </w:p>
        </w:tc>
        <w:tc>
          <w:tcPr>
            <w:tcW w:w="1614" w:type="dxa"/>
            <w:tcBorders/>
          </w:tcPr>
          <w:p>
            <w:pPr>
              <w:pStyle w:val="Normal"/>
              <w:widowControl w:val="false"/>
              <w:suppressAutoHyphens w:val="true"/>
              <w:spacing w:lineRule="auto" w:line="240" w:before="0" w:after="0"/>
              <w:jc w:val="center"/>
              <w:rPr>
                <w:sz w:val="18"/>
                <w:szCs w:val="18"/>
              </w:rPr>
            </w:pPr>
            <w:r>
              <w:rPr>
                <w:rFonts w:eastAsia="Calibri" w:cs=""/>
                <w:kern w:val="0"/>
                <w:sz w:val="18"/>
                <w:szCs w:val="18"/>
                <w:lang w:eastAsia="en-US" w:bidi="ar-SA"/>
              </w:rPr>
              <w:t>3</w:t>
            </w:r>
          </w:p>
        </w:tc>
        <w:tc>
          <w:tcPr>
            <w:tcW w:w="2310" w:type="dxa"/>
            <w:tcBorders/>
          </w:tcPr>
          <w:p>
            <w:pPr>
              <w:pStyle w:val="Normal"/>
              <w:widowControl w:val="false"/>
              <w:suppressAutoHyphens w:val="true"/>
              <w:spacing w:lineRule="auto" w:line="240" w:before="0" w:after="0"/>
              <w:jc w:val="left"/>
              <w:rPr>
                <w:sz w:val="18"/>
                <w:szCs w:val="18"/>
              </w:rPr>
            </w:pPr>
            <w:r>
              <w:rPr>
                <w:rFonts w:eastAsia="Calibri" w:cs=""/>
                <w:kern w:val="0"/>
                <w:sz w:val="18"/>
                <w:szCs w:val="18"/>
                <w:lang w:eastAsia="en-US" w:bidi="ar-SA"/>
              </w:rPr>
              <w:t xml:space="preserve">Permeability groups correction assignment to groundwater distance is not explained; literature is in German </w:t>
            </w:r>
          </w:p>
        </w:tc>
        <w:tc>
          <w:tcPr>
            <w:tcW w:w="1234" w:type="dxa"/>
            <w:tcBorders/>
          </w:tcPr>
          <w:p>
            <w:pPr>
              <w:pStyle w:val="Normal"/>
              <w:widowControl w:val="false"/>
              <w:suppressAutoHyphens w:val="true"/>
              <w:spacing w:lineRule="auto" w:line="240" w:before="0" w:after="0"/>
              <w:jc w:val="center"/>
              <w:rPr>
                <w:sz w:val="18"/>
                <w:szCs w:val="18"/>
              </w:rPr>
            </w:pPr>
            <w:r>
              <w:rPr>
                <w:rFonts w:eastAsia="Calibri" w:cs="Segoe UI Symbol" w:ascii="Segoe UI Symbol" w:hAnsi="Segoe UI Symbol"/>
                <w:color w:val="222222"/>
                <w:kern w:val="0"/>
                <w:sz w:val="21"/>
                <w:szCs w:val="21"/>
                <w:shd w:fill="FFFFFF" w:val="clear"/>
                <w:lang w:eastAsia="en-US" w:bidi="ar-SA"/>
              </w:rPr>
              <w:t>✗</w:t>
            </w:r>
          </w:p>
        </w:tc>
        <w:tc>
          <w:tcPr>
            <w:tcW w:w="2545" w:type="dxa"/>
            <w:tcBorders/>
          </w:tcPr>
          <w:p>
            <w:pPr>
              <w:pStyle w:val="Normal"/>
              <w:widowControl w:val="false"/>
              <w:suppressAutoHyphens w:val="true"/>
              <w:spacing w:lineRule="auto" w:line="240" w:before="0" w:after="0"/>
              <w:jc w:val="center"/>
              <w:rPr>
                <w:sz w:val="18"/>
                <w:szCs w:val="18"/>
              </w:rPr>
            </w:pPr>
            <w:r>
              <w:rPr>
                <w:sz w:val="18"/>
                <w:szCs w:val="18"/>
              </w:rPr>
            </w:r>
          </w:p>
        </w:tc>
      </w:tr>
      <w:tr>
        <w:trPr/>
        <w:tc>
          <w:tcPr>
            <w:tcW w:w="1925" w:type="dxa"/>
            <w:tcBorders/>
          </w:tcPr>
          <w:p>
            <w:pPr>
              <w:pStyle w:val="Normal"/>
              <w:widowControl w:val="false"/>
              <w:suppressAutoHyphens w:val="true"/>
              <w:spacing w:lineRule="auto" w:line="240" w:before="0" w:after="0"/>
              <w:jc w:val="center"/>
              <w:rPr>
                <w:sz w:val="18"/>
                <w:szCs w:val="18"/>
              </w:rPr>
            </w:pPr>
            <w:r>
              <w:rPr>
                <w:rFonts w:eastAsia="Calibri" w:cs=""/>
                <w:kern w:val="0"/>
                <w:sz w:val="18"/>
                <w:szCs w:val="18"/>
                <w:lang w:eastAsia="en-US" w:bidi="ar-SA"/>
              </w:rPr>
              <w:t>Adjustment of the corrected permeability group selection</w:t>
            </w:r>
          </w:p>
        </w:tc>
        <w:tc>
          <w:tcPr>
            <w:tcW w:w="1614" w:type="dxa"/>
            <w:tcBorders/>
          </w:tcPr>
          <w:p>
            <w:pPr>
              <w:pStyle w:val="Normal"/>
              <w:widowControl w:val="false"/>
              <w:suppressAutoHyphens w:val="true"/>
              <w:spacing w:lineRule="auto" w:line="240" w:before="0" w:after="0"/>
              <w:jc w:val="center"/>
              <w:rPr>
                <w:sz w:val="18"/>
                <w:szCs w:val="18"/>
              </w:rPr>
            </w:pPr>
            <w:r>
              <w:rPr>
                <w:rFonts w:eastAsia="Calibri" w:cs=""/>
                <w:kern w:val="0"/>
                <w:sz w:val="18"/>
                <w:szCs w:val="18"/>
                <w:lang w:eastAsia="en-US" w:bidi="ar-SA"/>
              </w:rPr>
              <w:t>3</w:t>
            </w:r>
          </w:p>
        </w:tc>
        <w:tc>
          <w:tcPr>
            <w:tcW w:w="2310" w:type="dxa"/>
            <w:tcBorders/>
          </w:tcPr>
          <w:p>
            <w:pPr>
              <w:pStyle w:val="Normal"/>
              <w:widowControl w:val="false"/>
              <w:suppressAutoHyphens w:val="true"/>
              <w:spacing w:lineRule="auto" w:line="240" w:before="0" w:after="0"/>
              <w:jc w:val="left"/>
              <w:rPr>
                <w:sz w:val="18"/>
                <w:szCs w:val="18"/>
              </w:rPr>
            </w:pPr>
            <w:r>
              <w:rPr>
                <w:rFonts w:eastAsia="Calibri" w:cs=""/>
                <w:kern w:val="0"/>
                <w:sz w:val="18"/>
                <w:szCs w:val="18"/>
                <w:lang w:eastAsia="en-US" w:bidi="ar-SA"/>
              </w:rPr>
              <w:t>Adjustment of the corrected permeability group selection assignment to corrected permeability group is not explained; no literature is reported</w:t>
            </w:r>
          </w:p>
        </w:tc>
        <w:tc>
          <w:tcPr>
            <w:tcW w:w="1234" w:type="dxa"/>
            <w:tcBorders/>
          </w:tcPr>
          <w:p>
            <w:pPr>
              <w:pStyle w:val="Normal"/>
              <w:widowControl w:val="false"/>
              <w:suppressAutoHyphens w:val="true"/>
              <w:spacing w:lineRule="auto" w:line="240" w:before="0" w:after="0"/>
              <w:jc w:val="center"/>
              <w:rPr>
                <w:sz w:val="18"/>
                <w:szCs w:val="18"/>
              </w:rPr>
            </w:pPr>
            <w:r>
              <w:rPr>
                <w:rFonts w:eastAsia="Calibri" w:cs="Segoe UI Symbol" w:ascii="Segoe UI Symbol" w:hAnsi="Segoe UI Symbol"/>
                <w:color w:val="222222"/>
                <w:kern w:val="0"/>
                <w:sz w:val="21"/>
                <w:szCs w:val="21"/>
                <w:shd w:fill="FFFFFF" w:val="clear"/>
                <w:lang w:eastAsia="en-US" w:bidi="ar-SA"/>
              </w:rPr>
              <w:t>✗</w:t>
            </w:r>
          </w:p>
        </w:tc>
        <w:tc>
          <w:tcPr>
            <w:tcW w:w="2545" w:type="dxa"/>
            <w:tcBorders/>
          </w:tcPr>
          <w:p>
            <w:pPr>
              <w:pStyle w:val="Normal"/>
              <w:widowControl w:val="false"/>
              <w:suppressAutoHyphens w:val="true"/>
              <w:spacing w:lineRule="auto" w:line="240" w:before="0" w:after="0"/>
              <w:jc w:val="center"/>
              <w:rPr>
                <w:sz w:val="18"/>
                <w:szCs w:val="18"/>
              </w:rPr>
            </w:pPr>
            <w:r>
              <w:rPr>
                <w:sz w:val="18"/>
                <w:szCs w:val="18"/>
              </w:rPr>
            </w:r>
          </w:p>
        </w:tc>
      </w:tr>
      <w:tr>
        <w:trPr/>
        <w:tc>
          <w:tcPr>
            <w:tcW w:w="1925" w:type="dxa"/>
            <w:tcBorders/>
          </w:tcPr>
          <w:p>
            <w:pPr>
              <w:pStyle w:val="Normal"/>
              <w:widowControl w:val="false"/>
              <w:suppressAutoHyphens w:val="true"/>
              <w:spacing w:lineRule="auto" w:line="240" w:before="0" w:after="0"/>
              <w:jc w:val="center"/>
              <w:rPr>
                <w:sz w:val="18"/>
                <w:szCs w:val="18"/>
              </w:rPr>
            </w:pPr>
            <w:r>
              <w:rPr>
                <w:rFonts w:eastAsia="Calibri" w:cs=""/>
                <w:kern w:val="0"/>
                <w:sz w:val="18"/>
                <w:szCs w:val="18"/>
                <w:lang w:eastAsia="en-US" w:bidi="ar-SA"/>
              </w:rPr>
              <w:t>Land use type insertion</w:t>
            </w:r>
          </w:p>
        </w:tc>
        <w:tc>
          <w:tcPr>
            <w:tcW w:w="1614" w:type="dxa"/>
            <w:tcBorders/>
          </w:tcPr>
          <w:p>
            <w:pPr>
              <w:pStyle w:val="Normal"/>
              <w:widowControl w:val="false"/>
              <w:suppressAutoHyphens w:val="true"/>
              <w:spacing w:lineRule="auto" w:line="240" w:before="0" w:after="0"/>
              <w:jc w:val="center"/>
              <w:rPr>
                <w:sz w:val="18"/>
                <w:szCs w:val="18"/>
              </w:rPr>
            </w:pPr>
            <w:r>
              <w:rPr>
                <w:rFonts w:eastAsia="Calibri" w:cs=""/>
                <w:kern w:val="0"/>
                <w:sz w:val="18"/>
                <w:szCs w:val="18"/>
                <w:lang w:eastAsia="en-US" w:bidi="ar-SA"/>
              </w:rPr>
              <w:t>1</w:t>
            </w:r>
          </w:p>
        </w:tc>
        <w:tc>
          <w:tcPr>
            <w:tcW w:w="2310" w:type="dxa"/>
            <w:tcBorders/>
          </w:tcPr>
          <w:p>
            <w:pPr>
              <w:pStyle w:val="Normal"/>
              <w:widowControl w:val="false"/>
              <w:suppressAutoHyphens w:val="true"/>
              <w:spacing w:lineRule="auto" w:line="240" w:before="0" w:after="0"/>
              <w:jc w:val="left"/>
              <w:rPr>
                <w:sz w:val="18"/>
                <w:szCs w:val="18"/>
              </w:rPr>
            </w:pPr>
            <w:r>
              <w:rPr>
                <w:sz w:val="18"/>
                <w:szCs w:val="18"/>
              </w:rPr>
            </w:r>
          </w:p>
        </w:tc>
        <w:tc>
          <w:tcPr>
            <w:tcW w:w="1234" w:type="dxa"/>
            <w:tcBorders/>
          </w:tcPr>
          <w:p>
            <w:pPr>
              <w:pStyle w:val="Normal"/>
              <w:widowControl w:val="false"/>
              <w:suppressAutoHyphens w:val="true"/>
              <w:spacing w:lineRule="auto" w:line="240" w:before="0" w:after="0"/>
              <w:jc w:val="center"/>
              <w:rPr>
                <w:sz w:val="18"/>
                <w:szCs w:val="18"/>
              </w:rPr>
            </w:pPr>
            <w:r>
              <w:rPr>
                <w:rFonts w:eastAsia="Calibri" w:cs="Segoe UI Symbol" w:ascii="Segoe UI Symbol" w:hAnsi="Segoe UI Symbol"/>
                <w:color w:val="222222"/>
                <w:kern w:val="0"/>
                <w:sz w:val="21"/>
                <w:szCs w:val="21"/>
                <w:shd w:fill="FFFFFF" w:val="clear"/>
                <w:lang w:eastAsia="en-US" w:bidi="ar-SA"/>
              </w:rPr>
              <w:t>✗</w:t>
            </w:r>
          </w:p>
        </w:tc>
        <w:tc>
          <w:tcPr>
            <w:tcW w:w="2545" w:type="dxa"/>
            <w:tcBorders/>
          </w:tcPr>
          <w:p>
            <w:pPr>
              <w:pStyle w:val="Normal"/>
              <w:widowControl w:val="false"/>
              <w:suppressAutoHyphens w:val="true"/>
              <w:spacing w:lineRule="auto" w:line="240" w:before="0" w:after="0"/>
              <w:jc w:val="center"/>
              <w:rPr>
                <w:sz w:val="18"/>
                <w:szCs w:val="18"/>
              </w:rPr>
            </w:pPr>
            <w:r>
              <w:rPr>
                <w:sz w:val="18"/>
                <w:szCs w:val="18"/>
              </w:rPr>
            </w:r>
          </w:p>
        </w:tc>
      </w:tr>
      <w:tr>
        <w:trPr/>
        <w:tc>
          <w:tcPr>
            <w:tcW w:w="1925" w:type="dxa"/>
            <w:tcBorders/>
          </w:tcPr>
          <w:p>
            <w:pPr>
              <w:pStyle w:val="Normal"/>
              <w:widowControl w:val="false"/>
              <w:suppressAutoHyphens w:val="true"/>
              <w:spacing w:lineRule="auto" w:line="240" w:before="0" w:after="0"/>
              <w:jc w:val="center"/>
              <w:rPr>
                <w:sz w:val="18"/>
                <w:szCs w:val="18"/>
              </w:rPr>
            </w:pPr>
            <w:r>
              <w:rPr>
                <w:rFonts w:eastAsia="Calibri" w:cs=""/>
                <w:kern w:val="0"/>
                <w:sz w:val="18"/>
                <w:szCs w:val="18"/>
                <w:lang w:eastAsia="en-US" w:bidi="ar-SA"/>
              </w:rPr>
              <w:t>Conversion to LANCA land use type classification system</w:t>
            </w:r>
          </w:p>
        </w:tc>
        <w:tc>
          <w:tcPr>
            <w:tcW w:w="1614" w:type="dxa"/>
            <w:tcBorders/>
          </w:tcPr>
          <w:p>
            <w:pPr>
              <w:pStyle w:val="Normal"/>
              <w:widowControl w:val="false"/>
              <w:suppressAutoHyphens w:val="true"/>
              <w:spacing w:lineRule="auto" w:line="240" w:before="0" w:after="0"/>
              <w:jc w:val="center"/>
              <w:rPr>
                <w:sz w:val="18"/>
                <w:szCs w:val="18"/>
              </w:rPr>
            </w:pPr>
            <w:r>
              <w:rPr>
                <w:rFonts w:eastAsia="Calibri" w:cs=""/>
                <w:kern w:val="0"/>
                <w:sz w:val="18"/>
                <w:szCs w:val="18"/>
                <w:lang w:eastAsia="en-US" w:bidi="ar-SA"/>
              </w:rPr>
              <w:t>3</w:t>
            </w:r>
          </w:p>
        </w:tc>
        <w:tc>
          <w:tcPr>
            <w:tcW w:w="2310" w:type="dxa"/>
            <w:tcBorders/>
          </w:tcPr>
          <w:p>
            <w:pPr>
              <w:pStyle w:val="Normal"/>
              <w:widowControl w:val="false"/>
              <w:suppressAutoHyphens w:val="true"/>
              <w:spacing w:lineRule="auto" w:line="240" w:before="0" w:after="0"/>
              <w:jc w:val="left"/>
              <w:rPr>
                <w:sz w:val="18"/>
                <w:szCs w:val="18"/>
              </w:rPr>
            </w:pPr>
            <w:r>
              <w:rPr>
                <w:rFonts w:eastAsia="Calibri" w:cs=""/>
                <w:kern w:val="0"/>
                <w:sz w:val="18"/>
                <w:szCs w:val="18"/>
                <w:lang w:eastAsia="en-US" w:bidi="ar-SA"/>
              </w:rPr>
              <w:t>No explication about the adopted land use type classification system is provided; no literature is reported</w:t>
            </w:r>
          </w:p>
        </w:tc>
        <w:tc>
          <w:tcPr>
            <w:tcW w:w="1234" w:type="dxa"/>
            <w:tcBorders/>
          </w:tcPr>
          <w:p>
            <w:pPr>
              <w:pStyle w:val="Normal"/>
              <w:widowControl w:val="false"/>
              <w:suppressAutoHyphens w:val="true"/>
              <w:spacing w:lineRule="auto" w:line="240" w:before="0" w:after="0"/>
              <w:jc w:val="center"/>
              <w:rPr>
                <w:sz w:val="18"/>
                <w:szCs w:val="18"/>
              </w:rPr>
            </w:pPr>
            <w:r>
              <w:rPr>
                <w:rFonts w:eastAsia="Calibri" w:cs="Segoe UI Symbol" w:ascii="Segoe UI Symbol" w:hAnsi="Segoe UI Symbol"/>
                <w:color w:val="222222"/>
                <w:kern w:val="0"/>
                <w:sz w:val="21"/>
                <w:szCs w:val="21"/>
                <w:shd w:fill="FFFFFF" w:val="clear"/>
                <w:lang w:eastAsia="en-US" w:bidi="ar-SA"/>
              </w:rPr>
              <w:t>✓</w:t>
            </w:r>
          </w:p>
        </w:tc>
        <w:tc>
          <w:tcPr>
            <w:tcW w:w="2545" w:type="dxa"/>
            <w:tcBorders/>
          </w:tcPr>
          <w:p>
            <w:pPr>
              <w:pStyle w:val="Normal"/>
              <w:widowControl w:val="false"/>
              <w:suppressAutoHyphens w:val="true"/>
              <w:spacing w:lineRule="auto" w:line="240" w:before="0" w:after="0"/>
              <w:jc w:val="center"/>
              <w:rPr>
                <w:sz w:val="18"/>
                <w:szCs w:val="18"/>
              </w:rPr>
            </w:pPr>
            <w:r>
              <w:rPr>
                <w:rFonts w:eastAsia="Calibri" w:cs=""/>
                <w:kern w:val="0"/>
                <w:sz w:val="18"/>
                <w:szCs w:val="18"/>
                <w:lang w:eastAsia="en-US" w:bidi="ar-SA"/>
              </w:rPr>
              <w:t xml:space="preserve">The user must arbitrary convert the land use type classification system he adopted to the one used in LANCA without any indications </w:t>
            </w:r>
          </w:p>
        </w:tc>
      </w:tr>
      <w:tr>
        <w:trPr/>
        <w:tc>
          <w:tcPr>
            <w:tcW w:w="1925" w:type="dxa"/>
            <w:tcBorders/>
          </w:tcPr>
          <w:p>
            <w:pPr>
              <w:pStyle w:val="Normal"/>
              <w:widowControl w:val="false"/>
              <w:suppressAutoHyphens w:val="true"/>
              <w:spacing w:lineRule="auto" w:line="240" w:before="0" w:after="0"/>
              <w:jc w:val="center"/>
              <w:rPr>
                <w:sz w:val="18"/>
                <w:szCs w:val="18"/>
              </w:rPr>
            </w:pPr>
            <w:r>
              <w:rPr>
                <w:rFonts w:eastAsia="Calibri" w:cs=""/>
                <w:kern w:val="0"/>
                <w:sz w:val="18"/>
                <w:szCs w:val="18"/>
                <w:lang w:eastAsia="en-US" w:bidi="ar-SA"/>
              </w:rPr>
              <w:t>Soil sealing code selection</w:t>
            </w:r>
          </w:p>
        </w:tc>
        <w:tc>
          <w:tcPr>
            <w:tcW w:w="1614" w:type="dxa"/>
            <w:tcBorders/>
          </w:tcPr>
          <w:p>
            <w:pPr>
              <w:pStyle w:val="Normal"/>
              <w:widowControl w:val="false"/>
              <w:suppressAutoHyphens w:val="true"/>
              <w:spacing w:lineRule="auto" w:line="240" w:before="0" w:after="0"/>
              <w:jc w:val="center"/>
              <w:rPr>
                <w:sz w:val="18"/>
                <w:szCs w:val="18"/>
              </w:rPr>
            </w:pPr>
            <w:r>
              <w:rPr>
                <w:rFonts w:eastAsia="Calibri" w:cs=""/>
                <w:kern w:val="0"/>
                <w:sz w:val="18"/>
                <w:szCs w:val="18"/>
                <w:lang w:eastAsia="en-US" w:bidi="ar-SA"/>
              </w:rPr>
              <w:t>1</w:t>
            </w:r>
          </w:p>
        </w:tc>
        <w:tc>
          <w:tcPr>
            <w:tcW w:w="2310" w:type="dxa"/>
            <w:tcBorders/>
          </w:tcPr>
          <w:p>
            <w:pPr>
              <w:pStyle w:val="Normal"/>
              <w:widowControl w:val="false"/>
              <w:suppressAutoHyphens w:val="true"/>
              <w:spacing w:lineRule="auto" w:line="240" w:before="0" w:after="0"/>
              <w:jc w:val="left"/>
              <w:rPr>
                <w:sz w:val="18"/>
                <w:szCs w:val="18"/>
              </w:rPr>
            </w:pPr>
            <w:r>
              <w:rPr>
                <w:sz w:val="18"/>
                <w:szCs w:val="18"/>
              </w:rPr>
            </w:r>
          </w:p>
        </w:tc>
        <w:tc>
          <w:tcPr>
            <w:tcW w:w="1234" w:type="dxa"/>
            <w:tcBorders/>
          </w:tcPr>
          <w:p>
            <w:pPr>
              <w:pStyle w:val="Normal"/>
              <w:widowControl w:val="false"/>
              <w:suppressAutoHyphens w:val="true"/>
              <w:spacing w:lineRule="auto" w:line="240" w:before="0" w:after="0"/>
              <w:jc w:val="center"/>
              <w:rPr>
                <w:sz w:val="18"/>
                <w:szCs w:val="18"/>
              </w:rPr>
            </w:pPr>
            <w:r>
              <w:rPr>
                <w:rFonts w:eastAsia="Calibri" w:cs="Segoe UI Symbol" w:ascii="Segoe UI Symbol" w:hAnsi="Segoe UI Symbol"/>
                <w:color w:val="222222"/>
                <w:kern w:val="0"/>
                <w:sz w:val="21"/>
                <w:szCs w:val="21"/>
                <w:shd w:fill="FFFFFF" w:val="clear"/>
                <w:lang w:eastAsia="en-US" w:bidi="ar-SA"/>
              </w:rPr>
              <w:t>✗</w:t>
            </w:r>
          </w:p>
        </w:tc>
        <w:tc>
          <w:tcPr>
            <w:tcW w:w="2545" w:type="dxa"/>
            <w:tcBorders/>
          </w:tcPr>
          <w:p>
            <w:pPr>
              <w:pStyle w:val="Normal"/>
              <w:widowControl w:val="false"/>
              <w:suppressAutoHyphens w:val="true"/>
              <w:spacing w:lineRule="auto" w:line="240" w:before="0" w:after="0"/>
              <w:jc w:val="center"/>
              <w:rPr>
                <w:sz w:val="18"/>
                <w:szCs w:val="18"/>
              </w:rPr>
            </w:pPr>
            <w:r>
              <w:rPr>
                <w:sz w:val="18"/>
                <w:szCs w:val="18"/>
              </w:rPr>
            </w:r>
          </w:p>
        </w:tc>
      </w:tr>
      <w:tr>
        <w:trPr/>
        <w:tc>
          <w:tcPr>
            <w:tcW w:w="1925" w:type="dxa"/>
            <w:tcBorders/>
          </w:tcPr>
          <w:p>
            <w:pPr>
              <w:pStyle w:val="Normal"/>
              <w:widowControl w:val="false"/>
              <w:suppressAutoHyphens w:val="true"/>
              <w:spacing w:lineRule="auto" w:line="240" w:before="0" w:after="0"/>
              <w:jc w:val="center"/>
              <w:rPr>
                <w:sz w:val="18"/>
                <w:szCs w:val="18"/>
              </w:rPr>
            </w:pPr>
            <w:r>
              <w:rPr>
                <w:rFonts w:eastAsia="Calibri" w:cs=""/>
                <w:kern w:val="0"/>
                <w:sz w:val="18"/>
                <w:szCs w:val="18"/>
                <w:lang w:eastAsia="en-US" w:bidi="ar-SA"/>
              </w:rPr>
              <w:t>Correction factor selection</w:t>
            </w:r>
          </w:p>
        </w:tc>
        <w:tc>
          <w:tcPr>
            <w:tcW w:w="1614" w:type="dxa"/>
            <w:tcBorders/>
          </w:tcPr>
          <w:p>
            <w:pPr>
              <w:pStyle w:val="Normal"/>
              <w:widowControl w:val="false"/>
              <w:suppressAutoHyphens w:val="true"/>
              <w:spacing w:lineRule="auto" w:line="240" w:before="0" w:after="0"/>
              <w:jc w:val="center"/>
              <w:rPr>
                <w:sz w:val="18"/>
                <w:szCs w:val="18"/>
              </w:rPr>
            </w:pPr>
            <w:r>
              <w:rPr>
                <w:rFonts w:eastAsia="Calibri" w:cs=""/>
                <w:kern w:val="0"/>
                <w:sz w:val="18"/>
                <w:szCs w:val="18"/>
                <w:lang w:eastAsia="en-US" w:bidi="ar-SA"/>
              </w:rPr>
              <w:t>3</w:t>
            </w:r>
          </w:p>
        </w:tc>
        <w:tc>
          <w:tcPr>
            <w:tcW w:w="2310" w:type="dxa"/>
            <w:tcBorders/>
          </w:tcPr>
          <w:p>
            <w:pPr>
              <w:pStyle w:val="Normal"/>
              <w:widowControl w:val="false"/>
              <w:suppressAutoHyphens w:val="true"/>
              <w:spacing w:lineRule="auto" w:line="240" w:before="0" w:after="0"/>
              <w:jc w:val="left"/>
              <w:rPr>
                <w:sz w:val="18"/>
                <w:szCs w:val="18"/>
              </w:rPr>
            </w:pPr>
            <w:r>
              <w:rPr>
                <w:rFonts w:eastAsia="Calibri" w:cs=""/>
                <w:kern w:val="0"/>
                <w:sz w:val="18"/>
                <w:szCs w:val="18"/>
                <w:lang w:eastAsia="en-US" w:bidi="ar-SA"/>
              </w:rPr>
              <w:t>Correction factor assignment to soil sealing code is not explained; no literature is reported</w:t>
            </w:r>
          </w:p>
        </w:tc>
        <w:tc>
          <w:tcPr>
            <w:tcW w:w="1234" w:type="dxa"/>
            <w:tcBorders/>
          </w:tcPr>
          <w:p>
            <w:pPr>
              <w:pStyle w:val="Normal"/>
              <w:widowControl w:val="false"/>
              <w:suppressAutoHyphens w:val="true"/>
              <w:spacing w:lineRule="auto" w:line="240" w:before="0" w:after="0"/>
              <w:jc w:val="center"/>
              <w:rPr>
                <w:sz w:val="18"/>
                <w:szCs w:val="18"/>
              </w:rPr>
            </w:pPr>
            <w:r>
              <w:rPr>
                <w:rFonts w:eastAsia="Calibri" w:cs="Segoe UI Symbol" w:ascii="Segoe UI Symbol" w:hAnsi="Segoe UI Symbol"/>
                <w:color w:val="222222"/>
                <w:kern w:val="0"/>
                <w:sz w:val="21"/>
                <w:szCs w:val="21"/>
                <w:shd w:fill="FFFFFF" w:val="clear"/>
                <w:lang w:eastAsia="en-US" w:bidi="ar-SA"/>
              </w:rPr>
              <w:t>✗</w:t>
            </w:r>
          </w:p>
        </w:tc>
        <w:tc>
          <w:tcPr>
            <w:tcW w:w="2545" w:type="dxa"/>
            <w:tcBorders/>
          </w:tcPr>
          <w:p>
            <w:pPr>
              <w:pStyle w:val="Normal"/>
              <w:widowControl w:val="false"/>
              <w:suppressAutoHyphens w:val="true"/>
              <w:spacing w:lineRule="auto" w:line="240" w:before="0" w:after="0"/>
              <w:jc w:val="center"/>
              <w:rPr>
                <w:sz w:val="18"/>
                <w:szCs w:val="18"/>
              </w:rPr>
            </w:pPr>
            <w:r>
              <w:rPr>
                <w:sz w:val="18"/>
                <w:szCs w:val="18"/>
              </w:rPr>
            </w:r>
          </w:p>
        </w:tc>
      </w:tr>
      <w:tr>
        <w:trPr/>
        <w:tc>
          <w:tcPr>
            <w:tcW w:w="1925" w:type="dxa"/>
            <w:tcBorders/>
          </w:tcPr>
          <w:p>
            <w:pPr>
              <w:pStyle w:val="Normal"/>
              <w:widowControl w:val="false"/>
              <w:suppressAutoHyphens w:val="true"/>
              <w:spacing w:lineRule="auto" w:line="240" w:before="0" w:after="0"/>
              <w:jc w:val="center"/>
              <w:rPr>
                <w:sz w:val="18"/>
                <w:szCs w:val="18"/>
              </w:rPr>
            </w:pPr>
            <w:r>
              <w:rPr>
                <w:rFonts w:eastAsia="Calibri" w:cs=""/>
                <w:kern w:val="0"/>
                <w:sz w:val="18"/>
                <w:szCs w:val="18"/>
                <w:lang w:eastAsia="en-US" w:bidi="ar-SA"/>
              </w:rPr>
              <w:t>Mechanical filtration equation application</w:t>
            </w:r>
          </w:p>
        </w:tc>
        <w:tc>
          <w:tcPr>
            <w:tcW w:w="1614" w:type="dxa"/>
            <w:tcBorders/>
          </w:tcPr>
          <w:p>
            <w:pPr>
              <w:pStyle w:val="Normal"/>
              <w:widowControl w:val="false"/>
              <w:suppressAutoHyphens w:val="true"/>
              <w:spacing w:lineRule="auto" w:line="240" w:before="0" w:after="0"/>
              <w:jc w:val="center"/>
              <w:rPr>
                <w:sz w:val="18"/>
                <w:szCs w:val="18"/>
              </w:rPr>
            </w:pPr>
            <w:r>
              <w:rPr>
                <w:rFonts w:eastAsia="Calibri" w:cs=""/>
                <w:kern w:val="0"/>
                <w:sz w:val="18"/>
                <w:szCs w:val="18"/>
                <w:lang w:eastAsia="en-US" w:bidi="ar-SA"/>
              </w:rPr>
              <w:t>1</w:t>
            </w:r>
          </w:p>
        </w:tc>
        <w:tc>
          <w:tcPr>
            <w:tcW w:w="2310" w:type="dxa"/>
            <w:tcBorders/>
          </w:tcPr>
          <w:p>
            <w:pPr>
              <w:pStyle w:val="Normal"/>
              <w:widowControl w:val="false"/>
              <w:suppressAutoHyphens w:val="true"/>
              <w:spacing w:lineRule="auto" w:line="240" w:before="0" w:after="0"/>
              <w:jc w:val="center"/>
              <w:rPr>
                <w:sz w:val="18"/>
                <w:szCs w:val="18"/>
              </w:rPr>
            </w:pPr>
            <w:r>
              <w:rPr>
                <w:sz w:val="18"/>
                <w:szCs w:val="18"/>
              </w:rPr>
            </w:r>
          </w:p>
        </w:tc>
        <w:tc>
          <w:tcPr>
            <w:tcW w:w="1234" w:type="dxa"/>
            <w:tcBorders/>
          </w:tcPr>
          <w:p>
            <w:pPr>
              <w:pStyle w:val="Normal"/>
              <w:widowControl w:val="false"/>
              <w:suppressAutoHyphens w:val="true"/>
              <w:spacing w:lineRule="auto" w:line="240" w:before="0" w:after="0"/>
              <w:jc w:val="center"/>
              <w:rPr>
                <w:sz w:val="18"/>
                <w:szCs w:val="18"/>
              </w:rPr>
            </w:pPr>
            <w:r>
              <w:rPr>
                <w:rFonts w:eastAsia="Calibri" w:cs="Segoe UI Symbol" w:ascii="Segoe UI Symbol" w:hAnsi="Segoe UI Symbol"/>
                <w:color w:val="222222"/>
                <w:kern w:val="0"/>
                <w:sz w:val="21"/>
                <w:szCs w:val="21"/>
                <w:shd w:fill="FFFFFF" w:val="clear"/>
                <w:lang w:eastAsia="en-US" w:bidi="ar-SA"/>
              </w:rPr>
              <w:t>✗</w:t>
            </w:r>
          </w:p>
        </w:tc>
        <w:tc>
          <w:tcPr>
            <w:tcW w:w="2545" w:type="dxa"/>
            <w:tcBorders/>
          </w:tcPr>
          <w:p>
            <w:pPr>
              <w:pStyle w:val="Normal"/>
              <w:widowControl w:val="false"/>
              <w:suppressAutoHyphens w:val="true"/>
              <w:spacing w:lineRule="auto" w:line="240" w:before="0" w:after="0"/>
              <w:jc w:val="center"/>
              <w:rPr>
                <w:sz w:val="18"/>
                <w:szCs w:val="18"/>
              </w:rPr>
            </w:pPr>
            <w:r>
              <w:rPr>
                <w:sz w:val="18"/>
                <w:szCs w:val="18"/>
              </w:rPr>
            </w:r>
          </w:p>
        </w:tc>
      </w:tr>
      <w:tr>
        <w:trPr/>
        <w:tc>
          <w:tcPr>
            <w:tcW w:w="9628" w:type="dxa"/>
            <w:gridSpan w:val="5"/>
            <w:tcBorders/>
          </w:tcPr>
          <w:p>
            <w:pPr>
              <w:pStyle w:val="Normal"/>
              <w:widowControl w:val="false"/>
              <w:suppressAutoHyphens w:val="true"/>
              <w:spacing w:lineRule="auto" w:line="240" w:before="0" w:after="0"/>
              <w:jc w:val="center"/>
              <w:rPr>
                <w:sz w:val="18"/>
                <w:szCs w:val="18"/>
              </w:rPr>
            </w:pPr>
            <w:r>
              <w:rPr>
                <w:rFonts w:eastAsia="Calibri" w:cs=""/>
                <w:kern w:val="0"/>
                <w:sz w:val="18"/>
                <w:szCs w:val="18"/>
                <w:lang w:eastAsia="en-US" w:bidi="ar-SA"/>
              </w:rPr>
              <w:t>PHYSICOCHEMICAL FILTRATION CALCULATION</w:t>
            </w:r>
          </w:p>
        </w:tc>
      </w:tr>
      <w:tr>
        <w:trPr/>
        <w:tc>
          <w:tcPr>
            <w:tcW w:w="1925" w:type="dxa"/>
            <w:tcBorders/>
          </w:tcPr>
          <w:p>
            <w:pPr>
              <w:pStyle w:val="Normal"/>
              <w:widowControl w:val="false"/>
              <w:suppressAutoHyphens w:val="true"/>
              <w:spacing w:lineRule="auto" w:line="240" w:before="0" w:after="0"/>
              <w:jc w:val="center"/>
              <w:rPr>
                <w:sz w:val="18"/>
                <w:szCs w:val="18"/>
              </w:rPr>
            </w:pPr>
            <w:r>
              <w:rPr>
                <w:rFonts w:eastAsia="Calibri" w:cs=""/>
                <w:kern w:val="0"/>
                <w:sz w:val="18"/>
                <w:szCs w:val="18"/>
                <w:lang w:eastAsia="en-US" w:bidi="ar-SA"/>
              </w:rPr>
              <w:t>CEC</w:t>
            </w:r>
            <w:r>
              <w:rPr>
                <w:rFonts w:eastAsia="Calibri" w:cs=""/>
                <w:kern w:val="0"/>
                <w:sz w:val="18"/>
                <w:szCs w:val="18"/>
                <w:vertAlign w:val="subscript"/>
                <w:lang w:eastAsia="en-US" w:bidi="ar-SA"/>
              </w:rPr>
              <w:t>eff</w:t>
            </w:r>
            <w:r>
              <w:rPr>
                <w:rFonts w:eastAsia="Calibri" w:cs=""/>
                <w:kern w:val="0"/>
                <w:sz w:val="18"/>
                <w:szCs w:val="18"/>
                <w:lang w:eastAsia="en-US" w:bidi="ar-SA"/>
              </w:rPr>
              <w:t xml:space="preserve"> selection</w:t>
            </w:r>
          </w:p>
        </w:tc>
        <w:tc>
          <w:tcPr>
            <w:tcW w:w="1614" w:type="dxa"/>
            <w:tcBorders/>
          </w:tcPr>
          <w:p>
            <w:pPr>
              <w:pStyle w:val="Normal"/>
              <w:widowControl w:val="false"/>
              <w:suppressAutoHyphens w:val="true"/>
              <w:spacing w:lineRule="auto" w:line="240" w:before="0" w:after="0"/>
              <w:jc w:val="center"/>
              <w:rPr>
                <w:sz w:val="18"/>
                <w:szCs w:val="18"/>
              </w:rPr>
            </w:pPr>
            <w:r>
              <w:rPr>
                <w:rFonts w:eastAsia="Calibri" w:cs=""/>
                <w:kern w:val="0"/>
                <w:sz w:val="18"/>
                <w:szCs w:val="18"/>
                <w:lang w:eastAsia="en-US" w:bidi="ar-SA"/>
              </w:rPr>
              <w:t>3</w:t>
            </w:r>
          </w:p>
        </w:tc>
        <w:tc>
          <w:tcPr>
            <w:tcW w:w="2310" w:type="dxa"/>
            <w:tcBorders/>
          </w:tcPr>
          <w:p>
            <w:pPr>
              <w:pStyle w:val="Normal"/>
              <w:widowControl w:val="false"/>
              <w:suppressAutoHyphens w:val="true"/>
              <w:spacing w:lineRule="auto" w:line="240" w:before="0" w:after="0"/>
              <w:jc w:val="left"/>
              <w:rPr>
                <w:sz w:val="18"/>
                <w:szCs w:val="18"/>
              </w:rPr>
            </w:pPr>
            <w:r>
              <w:rPr>
                <w:rFonts w:eastAsia="Calibri" w:cs=""/>
                <w:kern w:val="0"/>
                <w:sz w:val="18"/>
                <w:szCs w:val="18"/>
                <w:lang w:eastAsia="en-US" w:bidi="ar-SA"/>
              </w:rPr>
              <w:t>CEC</w:t>
            </w:r>
            <w:r>
              <w:rPr>
                <w:rFonts w:eastAsia="Calibri" w:cs=""/>
                <w:kern w:val="0"/>
                <w:sz w:val="18"/>
                <w:szCs w:val="18"/>
                <w:vertAlign w:val="subscript"/>
                <w:lang w:eastAsia="en-US" w:bidi="ar-SA"/>
              </w:rPr>
              <w:t>eff</w:t>
            </w:r>
            <w:r>
              <w:rPr>
                <w:rFonts w:eastAsia="Calibri" w:cs=""/>
                <w:kern w:val="0"/>
                <w:sz w:val="18"/>
                <w:szCs w:val="18"/>
                <w:lang w:eastAsia="en-US" w:bidi="ar-SA"/>
              </w:rPr>
              <w:t xml:space="preserve"> assignment to clay and silt content is not explained; reported literature is in German</w:t>
            </w:r>
          </w:p>
        </w:tc>
        <w:tc>
          <w:tcPr>
            <w:tcW w:w="1234" w:type="dxa"/>
            <w:tcBorders/>
          </w:tcPr>
          <w:p>
            <w:pPr>
              <w:pStyle w:val="Normal"/>
              <w:widowControl w:val="false"/>
              <w:suppressAutoHyphens w:val="true"/>
              <w:spacing w:lineRule="auto" w:line="240" w:before="0" w:after="0"/>
              <w:jc w:val="center"/>
              <w:rPr>
                <w:sz w:val="18"/>
                <w:szCs w:val="18"/>
              </w:rPr>
            </w:pPr>
            <w:r>
              <w:rPr>
                <w:rFonts w:eastAsia="Calibri" w:cs="Segoe UI Symbol" w:ascii="Segoe UI Symbol" w:hAnsi="Segoe UI Symbol"/>
                <w:color w:val="222222"/>
                <w:kern w:val="0"/>
                <w:sz w:val="21"/>
                <w:szCs w:val="21"/>
                <w:shd w:fill="FFFFFF" w:val="clear"/>
                <w:lang w:eastAsia="en-US" w:bidi="ar-SA"/>
              </w:rPr>
              <w:t>✗</w:t>
            </w:r>
          </w:p>
        </w:tc>
        <w:tc>
          <w:tcPr>
            <w:tcW w:w="2545" w:type="dxa"/>
            <w:tcBorders/>
          </w:tcPr>
          <w:p>
            <w:pPr>
              <w:pStyle w:val="Normal"/>
              <w:widowControl w:val="false"/>
              <w:suppressAutoHyphens w:val="true"/>
              <w:spacing w:lineRule="auto" w:line="240" w:before="0" w:after="0"/>
              <w:jc w:val="center"/>
              <w:rPr>
                <w:sz w:val="18"/>
                <w:szCs w:val="18"/>
              </w:rPr>
            </w:pPr>
            <w:r>
              <w:rPr>
                <w:sz w:val="18"/>
                <w:szCs w:val="18"/>
              </w:rPr>
            </w:r>
          </w:p>
        </w:tc>
      </w:tr>
      <w:tr>
        <w:trPr/>
        <w:tc>
          <w:tcPr>
            <w:tcW w:w="1925" w:type="dxa"/>
            <w:tcBorders/>
          </w:tcPr>
          <w:p>
            <w:pPr>
              <w:pStyle w:val="Normal"/>
              <w:widowControl w:val="false"/>
              <w:suppressAutoHyphens w:val="true"/>
              <w:spacing w:lineRule="auto" w:line="240" w:before="0" w:after="0"/>
              <w:jc w:val="center"/>
              <w:rPr>
                <w:sz w:val="18"/>
                <w:szCs w:val="18"/>
              </w:rPr>
            </w:pPr>
            <w:r>
              <w:rPr>
                <w:rFonts w:eastAsia="Calibri" w:cs=""/>
                <w:kern w:val="0"/>
                <w:sz w:val="18"/>
                <w:szCs w:val="18"/>
                <w:lang w:eastAsia="en-US" w:bidi="ar-SA"/>
              </w:rPr>
              <w:t>Humus content insertion</w:t>
            </w:r>
          </w:p>
        </w:tc>
        <w:tc>
          <w:tcPr>
            <w:tcW w:w="1614" w:type="dxa"/>
            <w:tcBorders/>
          </w:tcPr>
          <w:p>
            <w:pPr>
              <w:pStyle w:val="Normal"/>
              <w:widowControl w:val="false"/>
              <w:suppressAutoHyphens w:val="true"/>
              <w:spacing w:lineRule="auto" w:line="240" w:before="0" w:after="0"/>
              <w:jc w:val="center"/>
              <w:rPr>
                <w:sz w:val="18"/>
                <w:szCs w:val="18"/>
              </w:rPr>
            </w:pPr>
            <w:r>
              <w:rPr>
                <w:rFonts w:eastAsia="Calibri" w:cs=""/>
                <w:kern w:val="0"/>
                <w:sz w:val="18"/>
                <w:szCs w:val="18"/>
                <w:lang w:eastAsia="en-US" w:bidi="ar-SA"/>
              </w:rPr>
              <w:t>1</w:t>
            </w:r>
          </w:p>
        </w:tc>
        <w:tc>
          <w:tcPr>
            <w:tcW w:w="2310" w:type="dxa"/>
            <w:tcBorders/>
          </w:tcPr>
          <w:p>
            <w:pPr>
              <w:pStyle w:val="Normal"/>
              <w:widowControl w:val="false"/>
              <w:suppressAutoHyphens w:val="true"/>
              <w:spacing w:lineRule="auto" w:line="240" w:before="0" w:after="0"/>
              <w:jc w:val="left"/>
              <w:rPr>
                <w:sz w:val="18"/>
                <w:szCs w:val="18"/>
              </w:rPr>
            </w:pPr>
            <w:r>
              <w:rPr>
                <w:rFonts w:eastAsia="Calibri" w:cs=""/>
                <w:kern w:val="0"/>
                <w:sz w:val="18"/>
                <w:szCs w:val="18"/>
                <w:lang w:eastAsia="en-US" w:bidi="ar-SA"/>
              </w:rPr>
              <w:t>CEC</w:t>
            </w:r>
            <w:r>
              <w:rPr>
                <w:rFonts w:eastAsia="Calibri" w:cs=""/>
                <w:kern w:val="0"/>
                <w:sz w:val="18"/>
                <w:szCs w:val="18"/>
                <w:vertAlign w:val="subscript"/>
                <w:lang w:eastAsia="en-US" w:bidi="ar-SA"/>
              </w:rPr>
              <w:t>pot</w:t>
            </w:r>
            <w:r>
              <w:rPr>
                <w:rFonts w:eastAsia="Calibri" w:cs=""/>
                <w:kern w:val="0"/>
                <w:sz w:val="18"/>
                <w:szCs w:val="18"/>
                <w:lang w:eastAsia="en-US" w:bidi="ar-SA"/>
              </w:rPr>
              <w:t xml:space="preserve"> assignment to humus content is not explained; reported literature is in German</w:t>
            </w:r>
          </w:p>
        </w:tc>
        <w:tc>
          <w:tcPr>
            <w:tcW w:w="1234" w:type="dxa"/>
            <w:tcBorders/>
          </w:tcPr>
          <w:p>
            <w:pPr>
              <w:pStyle w:val="Normal"/>
              <w:widowControl w:val="false"/>
              <w:suppressAutoHyphens w:val="true"/>
              <w:spacing w:lineRule="auto" w:line="240" w:before="0" w:after="0"/>
              <w:jc w:val="center"/>
              <w:rPr>
                <w:sz w:val="18"/>
                <w:szCs w:val="18"/>
              </w:rPr>
            </w:pPr>
            <w:r>
              <w:rPr>
                <w:rFonts w:eastAsia="Calibri" w:cs="Segoe UI Symbol" w:ascii="Segoe UI Symbol" w:hAnsi="Segoe UI Symbol"/>
                <w:color w:val="222222"/>
                <w:kern w:val="0"/>
                <w:sz w:val="21"/>
                <w:szCs w:val="21"/>
                <w:shd w:fill="FFFFFF" w:val="clear"/>
                <w:lang w:eastAsia="en-US" w:bidi="ar-SA"/>
              </w:rPr>
              <w:t>✗</w:t>
            </w:r>
          </w:p>
        </w:tc>
        <w:tc>
          <w:tcPr>
            <w:tcW w:w="2545" w:type="dxa"/>
            <w:tcBorders/>
          </w:tcPr>
          <w:p>
            <w:pPr>
              <w:pStyle w:val="Normal"/>
              <w:widowControl w:val="false"/>
              <w:suppressAutoHyphens w:val="true"/>
              <w:spacing w:lineRule="auto" w:line="240" w:before="0" w:after="0"/>
              <w:jc w:val="center"/>
              <w:rPr>
                <w:sz w:val="18"/>
                <w:szCs w:val="18"/>
              </w:rPr>
            </w:pPr>
            <w:r>
              <w:rPr>
                <w:sz w:val="18"/>
                <w:szCs w:val="18"/>
              </w:rPr>
            </w:r>
          </w:p>
        </w:tc>
      </w:tr>
      <w:tr>
        <w:trPr/>
        <w:tc>
          <w:tcPr>
            <w:tcW w:w="1925" w:type="dxa"/>
            <w:tcBorders/>
          </w:tcPr>
          <w:p>
            <w:pPr>
              <w:pStyle w:val="Normal"/>
              <w:widowControl w:val="false"/>
              <w:suppressAutoHyphens w:val="true"/>
              <w:spacing w:lineRule="auto" w:line="240" w:before="0" w:after="0"/>
              <w:jc w:val="center"/>
              <w:rPr>
                <w:sz w:val="18"/>
                <w:szCs w:val="18"/>
              </w:rPr>
            </w:pPr>
            <w:r>
              <w:rPr>
                <w:rFonts w:eastAsia="Calibri" w:cs=""/>
                <w:kern w:val="0"/>
                <w:sz w:val="18"/>
                <w:szCs w:val="18"/>
                <w:lang w:eastAsia="en-US" w:bidi="ar-SA"/>
              </w:rPr>
              <w:t>CEC</w:t>
            </w:r>
            <w:r>
              <w:rPr>
                <w:rFonts w:eastAsia="Calibri" w:cs=""/>
                <w:kern w:val="0"/>
                <w:sz w:val="18"/>
                <w:szCs w:val="18"/>
                <w:vertAlign w:val="subscript"/>
                <w:lang w:eastAsia="en-US" w:bidi="ar-SA"/>
              </w:rPr>
              <w:t>pot</w:t>
            </w:r>
            <w:r>
              <w:rPr>
                <w:rFonts w:eastAsia="Calibri" w:cs=""/>
                <w:kern w:val="0"/>
                <w:sz w:val="18"/>
                <w:szCs w:val="18"/>
                <w:lang w:eastAsia="en-US" w:bidi="ar-SA"/>
              </w:rPr>
              <w:t xml:space="preserve"> insertion</w:t>
            </w:r>
          </w:p>
        </w:tc>
        <w:tc>
          <w:tcPr>
            <w:tcW w:w="1614" w:type="dxa"/>
            <w:tcBorders/>
          </w:tcPr>
          <w:p>
            <w:pPr>
              <w:pStyle w:val="Normal"/>
              <w:widowControl w:val="false"/>
              <w:suppressAutoHyphens w:val="true"/>
              <w:spacing w:lineRule="auto" w:line="240" w:before="0" w:after="0"/>
              <w:jc w:val="center"/>
              <w:rPr>
                <w:sz w:val="18"/>
                <w:szCs w:val="18"/>
              </w:rPr>
            </w:pPr>
            <w:r>
              <w:rPr>
                <w:rFonts w:eastAsia="Calibri" w:cs=""/>
                <w:kern w:val="0"/>
                <w:sz w:val="18"/>
                <w:szCs w:val="18"/>
                <w:lang w:eastAsia="en-US" w:bidi="ar-SA"/>
              </w:rPr>
              <w:t>3</w:t>
            </w:r>
          </w:p>
        </w:tc>
        <w:tc>
          <w:tcPr>
            <w:tcW w:w="2310" w:type="dxa"/>
            <w:tcBorders/>
          </w:tcPr>
          <w:p>
            <w:pPr>
              <w:pStyle w:val="Normal"/>
              <w:widowControl w:val="false"/>
              <w:suppressAutoHyphens w:val="true"/>
              <w:spacing w:lineRule="auto" w:line="240" w:before="0" w:after="0"/>
              <w:jc w:val="left"/>
              <w:rPr>
                <w:sz w:val="18"/>
                <w:szCs w:val="18"/>
              </w:rPr>
            </w:pPr>
            <w:r>
              <w:rPr>
                <w:sz w:val="18"/>
                <w:szCs w:val="18"/>
              </w:rPr>
            </w:r>
          </w:p>
        </w:tc>
        <w:tc>
          <w:tcPr>
            <w:tcW w:w="1234" w:type="dxa"/>
            <w:tcBorders/>
          </w:tcPr>
          <w:p>
            <w:pPr>
              <w:pStyle w:val="Normal"/>
              <w:widowControl w:val="false"/>
              <w:suppressAutoHyphens w:val="true"/>
              <w:spacing w:lineRule="auto" w:line="240" w:before="0" w:after="0"/>
              <w:jc w:val="center"/>
              <w:rPr>
                <w:sz w:val="18"/>
                <w:szCs w:val="18"/>
              </w:rPr>
            </w:pPr>
            <w:r>
              <w:rPr>
                <w:rFonts w:eastAsia="Calibri" w:cs="Segoe UI Symbol" w:ascii="Segoe UI Symbol" w:hAnsi="Segoe UI Symbol"/>
                <w:color w:val="222222"/>
                <w:kern w:val="0"/>
                <w:sz w:val="21"/>
                <w:szCs w:val="21"/>
                <w:shd w:fill="FFFFFF" w:val="clear"/>
                <w:lang w:eastAsia="en-US" w:bidi="ar-SA"/>
              </w:rPr>
              <w:t>✗</w:t>
            </w:r>
          </w:p>
        </w:tc>
        <w:tc>
          <w:tcPr>
            <w:tcW w:w="2545" w:type="dxa"/>
            <w:tcBorders/>
          </w:tcPr>
          <w:p>
            <w:pPr>
              <w:pStyle w:val="Normal"/>
              <w:widowControl w:val="false"/>
              <w:suppressAutoHyphens w:val="true"/>
              <w:spacing w:lineRule="auto" w:line="240" w:before="0" w:after="0"/>
              <w:jc w:val="center"/>
              <w:rPr>
                <w:sz w:val="18"/>
                <w:szCs w:val="18"/>
              </w:rPr>
            </w:pPr>
            <w:r>
              <w:rPr>
                <w:sz w:val="18"/>
                <w:szCs w:val="18"/>
              </w:rPr>
            </w:r>
          </w:p>
        </w:tc>
      </w:tr>
      <w:tr>
        <w:trPr/>
        <w:tc>
          <w:tcPr>
            <w:tcW w:w="1925" w:type="dxa"/>
            <w:tcBorders/>
          </w:tcPr>
          <w:p>
            <w:pPr>
              <w:pStyle w:val="Normal"/>
              <w:widowControl w:val="false"/>
              <w:suppressAutoHyphens w:val="true"/>
              <w:spacing w:lineRule="auto" w:line="240" w:before="0" w:after="0"/>
              <w:jc w:val="center"/>
              <w:rPr>
                <w:sz w:val="18"/>
                <w:szCs w:val="18"/>
              </w:rPr>
            </w:pPr>
            <w:r>
              <w:rPr>
                <w:rFonts w:eastAsia="Calibri" w:cs=""/>
                <w:kern w:val="0"/>
                <w:sz w:val="18"/>
                <w:szCs w:val="18"/>
                <w:lang w:eastAsia="en-US" w:bidi="ar-SA"/>
              </w:rPr>
              <w:t>pH insertion</w:t>
            </w:r>
          </w:p>
        </w:tc>
        <w:tc>
          <w:tcPr>
            <w:tcW w:w="1614" w:type="dxa"/>
            <w:tcBorders/>
          </w:tcPr>
          <w:p>
            <w:pPr>
              <w:pStyle w:val="Normal"/>
              <w:widowControl w:val="false"/>
              <w:suppressAutoHyphens w:val="true"/>
              <w:spacing w:lineRule="auto" w:line="240" w:before="0" w:after="0"/>
              <w:jc w:val="center"/>
              <w:rPr>
                <w:sz w:val="18"/>
                <w:szCs w:val="18"/>
              </w:rPr>
            </w:pPr>
            <w:r>
              <w:rPr>
                <w:rFonts w:eastAsia="Calibri" w:cs=""/>
                <w:kern w:val="0"/>
                <w:sz w:val="18"/>
                <w:szCs w:val="18"/>
                <w:lang w:eastAsia="en-US" w:bidi="ar-SA"/>
              </w:rPr>
              <w:t>1</w:t>
            </w:r>
          </w:p>
        </w:tc>
        <w:tc>
          <w:tcPr>
            <w:tcW w:w="2310" w:type="dxa"/>
            <w:tcBorders/>
          </w:tcPr>
          <w:p>
            <w:pPr>
              <w:pStyle w:val="Normal"/>
              <w:widowControl w:val="false"/>
              <w:suppressAutoHyphens w:val="true"/>
              <w:spacing w:lineRule="auto" w:line="240" w:before="0" w:after="0"/>
              <w:jc w:val="left"/>
              <w:rPr>
                <w:sz w:val="18"/>
                <w:szCs w:val="18"/>
              </w:rPr>
            </w:pPr>
            <w:r>
              <w:rPr>
                <w:sz w:val="18"/>
                <w:szCs w:val="18"/>
              </w:rPr>
            </w:r>
          </w:p>
        </w:tc>
        <w:tc>
          <w:tcPr>
            <w:tcW w:w="1234" w:type="dxa"/>
            <w:tcBorders/>
          </w:tcPr>
          <w:p>
            <w:pPr>
              <w:pStyle w:val="Normal"/>
              <w:widowControl w:val="false"/>
              <w:suppressAutoHyphens w:val="true"/>
              <w:spacing w:lineRule="auto" w:line="240" w:before="0" w:after="0"/>
              <w:jc w:val="center"/>
              <w:rPr>
                <w:sz w:val="18"/>
                <w:szCs w:val="18"/>
              </w:rPr>
            </w:pPr>
            <w:r>
              <w:rPr>
                <w:rFonts w:eastAsia="Calibri" w:cs="Segoe UI Symbol" w:ascii="Segoe UI Symbol" w:hAnsi="Segoe UI Symbol"/>
                <w:color w:val="222222"/>
                <w:kern w:val="0"/>
                <w:sz w:val="21"/>
                <w:szCs w:val="21"/>
                <w:shd w:fill="FFFFFF" w:val="clear"/>
                <w:lang w:eastAsia="en-US" w:bidi="ar-SA"/>
              </w:rPr>
              <w:t>✗</w:t>
            </w:r>
          </w:p>
        </w:tc>
        <w:tc>
          <w:tcPr>
            <w:tcW w:w="2545" w:type="dxa"/>
            <w:tcBorders/>
          </w:tcPr>
          <w:p>
            <w:pPr>
              <w:pStyle w:val="Normal"/>
              <w:widowControl w:val="false"/>
              <w:suppressAutoHyphens w:val="true"/>
              <w:spacing w:lineRule="auto" w:line="240" w:before="0" w:after="0"/>
              <w:jc w:val="center"/>
              <w:rPr>
                <w:sz w:val="18"/>
                <w:szCs w:val="18"/>
              </w:rPr>
            </w:pPr>
            <w:r>
              <w:rPr>
                <w:sz w:val="18"/>
                <w:szCs w:val="18"/>
              </w:rPr>
            </w:r>
          </w:p>
        </w:tc>
      </w:tr>
      <w:tr>
        <w:trPr/>
        <w:tc>
          <w:tcPr>
            <w:tcW w:w="1925" w:type="dxa"/>
            <w:tcBorders/>
          </w:tcPr>
          <w:p>
            <w:pPr>
              <w:pStyle w:val="Normal"/>
              <w:widowControl w:val="false"/>
              <w:suppressAutoHyphens w:val="true"/>
              <w:spacing w:lineRule="auto" w:line="240" w:before="0" w:after="0"/>
              <w:jc w:val="center"/>
              <w:rPr>
                <w:sz w:val="18"/>
                <w:szCs w:val="18"/>
              </w:rPr>
            </w:pPr>
            <w:r>
              <w:rPr>
                <w:rFonts w:eastAsia="Calibri" w:cs=""/>
                <w:kern w:val="0"/>
                <w:sz w:val="18"/>
                <w:szCs w:val="18"/>
                <w:lang w:eastAsia="en-US" w:bidi="ar-SA"/>
              </w:rPr>
              <w:t>pH factor selection</w:t>
            </w:r>
          </w:p>
        </w:tc>
        <w:tc>
          <w:tcPr>
            <w:tcW w:w="1614" w:type="dxa"/>
            <w:tcBorders/>
          </w:tcPr>
          <w:p>
            <w:pPr>
              <w:pStyle w:val="Normal"/>
              <w:widowControl w:val="false"/>
              <w:suppressAutoHyphens w:val="true"/>
              <w:spacing w:lineRule="auto" w:line="240" w:before="0" w:after="0"/>
              <w:jc w:val="center"/>
              <w:rPr>
                <w:sz w:val="18"/>
                <w:szCs w:val="18"/>
              </w:rPr>
            </w:pPr>
            <w:r>
              <w:rPr>
                <w:rFonts w:eastAsia="Calibri" w:cs=""/>
                <w:kern w:val="0"/>
                <w:sz w:val="18"/>
                <w:szCs w:val="18"/>
                <w:lang w:eastAsia="en-US" w:bidi="ar-SA"/>
              </w:rPr>
              <w:t>3</w:t>
            </w:r>
          </w:p>
        </w:tc>
        <w:tc>
          <w:tcPr>
            <w:tcW w:w="2310" w:type="dxa"/>
            <w:tcBorders/>
          </w:tcPr>
          <w:p>
            <w:pPr>
              <w:pStyle w:val="Normal"/>
              <w:widowControl w:val="false"/>
              <w:suppressAutoHyphens w:val="true"/>
              <w:spacing w:lineRule="auto" w:line="240" w:before="0" w:after="0"/>
              <w:jc w:val="left"/>
              <w:rPr>
                <w:sz w:val="18"/>
                <w:szCs w:val="18"/>
              </w:rPr>
            </w:pPr>
            <w:r>
              <w:rPr>
                <w:rFonts w:eastAsia="Calibri" w:cs=""/>
                <w:kern w:val="0"/>
                <w:sz w:val="18"/>
                <w:szCs w:val="18"/>
                <w:lang w:eastAsia="en-US" w:bidi="ar-SA"/>
              </w:rPr>
              <w:t>pH factor assignment to pH is not explained; reported literature is in German</w:t>
            </w:r>
          </w:p>
        </w:tc>
        <w:tc>
          <w:tcPr>
            <w:tcW w:w="1234" w:type="dxa"/>
            <w:tcBorders/>
          </w:tcPr>
          <w:p>
            <w:pPr>
              <w:pStyle w:val="Normal"/>
              <w:widowControl w:val="false"/>
              <w:suppressAutoHyphens w:val="true"/>
              <w:spacing w:lineRule="auto" w:line="240" w:before="0" w:after="0"/>
              <w:jc w:val="center"/>
              <w:rPr>
                <w:sz w:val="18"/>
                <w:szCs w:val="18"/>
              </w:rPr>
            </w:pPr>
            <w:r>
              <w:rPr>
                <w:rFonts w:eastAsia="Calibri" w:cs="Segoe UI Symbol" w:ascii="Segoe UI Symbol" w:hAnsi="Segoe UI Symbol"/>
                <w:color w:val="222222"/>
                <w:kern w:val="0"/>
                <w:sz w:val="21"/>
                <w:szCs w:val="21"/>
                <w:shd w:fill="FFFFFF" w:val="clear"/>
                <w:lang w:eastAsia="en-US" w:bidi="ar-SA"/>
              </w:rPr>
              <w:t>✗</w:t>
            </w:r>
          </w:p>
        </w:tc>
        <w:tc>
          <w:tcPr>
            <w:tcW w:w="2545" w:type="dxa"/>
            <w:tcBorders/>
          </w:tcPr>
          <w:p>
            <w:pPr>
              <w:pStyle w:val="Normal"/>
              <w:widowControl w:val="false"/>
              <w:suppressAutoHyphens w:val="true"/>
              <w:spacing w:lineRule="auto" w:line="240" w:before="0" w:after="0"/>
              <w:jc w:val="center"/>
              <w:rPr>
                <w:sz w:val="18"/>
                <w:szCs w:val="18"/>
              </w:rPr>
            </w:pPr>
            <w:r>
              <w:rPr>
                <w:sz w:val="18"/>
                <w:szCs w:val="18"/>
              </w:rPr>
            </w:r>
          </w:p>
        </w:tc>
      </w:tr>
      <w:tr>
        <w:trPr/>
        <w:tc>
          <w:tcPr>
            <w:tcW w:w="1925" w:type="dxa"/>
            <w:tcBorders/>
          </w:tcPr>
          <w:p>
            <w:pPr>
              <w:pStyle w:val="Normal"/>
              <w:widowControl w:val="false"/>
              <w:suppressAutoHyphens w:val="true"/>
              <w:spacing w:lineRule="auto" w:line="240" w:before="0" w:after="0"/>
              <w:jc w:val="center"/>
              <w:rPr>
                <w:sz w:val="18"/>
                <w:szCs w:val="18"/>
              </w:rPr>
            </w:pPr>
            <w:r>
              <w:rPr>
                <w:rFonts w:eastAsia="Calibri" w:cs=""/>
                <w:kern w:val="0"/>
                <w:sz w:val="18"/>
                <w:szCs w:val="18"/>
                <w:lang w:eastAsia="en-US" w:bidi="ar-SA"/>
              </w:rPr>
              <w:t>Physicochemical filtration equation application</w:t>
            </w:r>
          </w:p>
        </w:tc>
        <w:tc>
          <w:tcPr>
            <w:tcW w:w="1614" w:type="dxa"/>
            <w:tcBorders/>
          </w:tcPr>
          <w:p>
            <w:pPr>
              <w:pStyle w:val="Normal"/>
              <w:widowControl w:val="false"/>
              <w:suppressAutoHyphens w:val="true"/>
              <w:spacing w:lineRule="auto" w:line="240" w:before="0" w:after="0"/>
              <w:jc w:val="center"/>
              <w:rPr>
                <w:sz w:val="18"/>
                <w:szCs w:val="18"/>
              </w:rPr>
            </w:pPr>
            <w:r>
              <w:rPr>
                <w:rFonts w:eastAsia="Calibri" w:cs=""/>
                <w:kern w:val="0"/>
                <w:sz w:val="18"/>
                <w:szCs w:val="18"/>
                <w:lang w:eastAsia="en-US" w:bidi="ar-SA"/>
              </w:rPr>
              <w:t>3</w:t>
            </w:r>
          </w:p>
        </w:tc>
        <w:tc>
          <w:tcPr>
            <w:tcW w:w="2310" w:type="dxa"/>
            <w:tcBorders/>
          </w:tcPr>
          <w:p>
            <w:pPr>
              <w:pStyle w:val="Normal"/>
              <w:widowControl w:val="false"/>
              <w:suppressAutoHyphens w:val="true"/>
              <w:spacing w:lineRule="auto" w:line="240" w:before="0" w:after="0"/>
              <w:jc w:val="left"/>
              <w:rPr>
                <w:sz w:val="18"/>
                <w:szCs w:val="18"/>
              </w:rPr>
            </w:pPr>
            <w:r>
              <w:rPr>
                <w:rFonts w:eastAsia="Calibri" w:cs=""/>
                <w:kern w:val="0"/>
                <w:sz w:val="18"/>
                <w:szCs w:val="18"/>
                <w:lang w:eastAsia="en-US" w:bidi="ar-SA"/>
              </w:rPr>
              <w:t>No validity/parameters space is reported; no literature is reported</w:t>
            </w:r>
          </w:p>
        </w:tc>
        <w:tc>
          <w:tcPr>
            <w:tcW w:w="1234" w:type="dxa"/>
            <w:tcBorders/>
          </w:tcPr>
          <w:p>
            <w:pPr>
              <w:pStyle w:val="Normal"/>
              <w:widowControl w:val="false"/>
              <w:suppressAutoHyphens w:val="true"/>
              <w:spacing w:lineRule="auto" w:line="240" w:before="0" w:after="0"/>
              <w:jc w:val="center"/>
              <w:rPr>
                <w:sz w:val="18"/>
                <w:szCs w:val="18"/>
              </w:rPr>
            </w:pPr>
            <w:r>
              <w:rPr>
                <w:rFonts w:eastAsia="Calibri" w:cs="Segoe UI Symbol" w:ascii="Segoe UI Symbol" w:hAnsi="Segoe UI Symbol"/>
                <w:color w:val="222222"/>
                <w:kern w:val="0"/>
                <w:sz w:val="21"/>
                <w:szCs w:val="21"/>
                <w:shd w:fill="FFFFFF" w:val="clear"/>
                <w:lang w:eastAsia="en-US" w:bidi="ar-SA"/>
              </w:rPr>
              <w:t>✗</w:t>
            </w:r>
          </w:p>
        </w:tc>
        <w:tc>
          <w:tcPr>
            <w:tcW w:w="2545" w:type="dxa"/>
            <w:tcBorders/>
          </w:tcPr>
          <w:p>
            <w:pPr>
              <w:pStyle w:val="Normal"/>
              <w:widowControl w:val="false"/>
              <w:suppressAutoHyphens w:val="true"/>
              <w:spacing w:lineRule="auto" w:line="240" w:before="0" w:after="0"/>
              <w:jc w:val="center"/>
              <w:rPr>
                <w:sz w:val="18"/>
                <w:szCs w:val="18"/>
              </w:rPr>
            </w:pPr>
            <w:r>
              <w:rPr>
                <w:sz w:val="18"/>
                <w:szCs w:val="18"/>
              </w:rPr>
            </w:r>
          </w:p>
        </w:tc>
      </w:tr>
      <w:tr>
        <w:trPr/>
        <w:tc>
          <w:tcPr>
            <w:tcW w:w="1925" w:type="dxa"/>
            <w:tcBorders/>
          </w:tcPr>
          <w:p>
            <w:pPr>
              <w:pStyle w:val="Normal"/>
              <w:widowControl w:val="false"/>
              <w:suppressAutoHyphens w:val="true"/>
              <w:spacing w:lineRule="auto" w:line="240" w:before="0" w:after="0"/>
              <w:jc w:val="center"/>
              <w:rPr>
                <w:sz w:val="18"/>
                <w:szCs w:val="18"/>
              </w:rPr>
            </w:pPr>
            <w:r>
              <w:rPr>
                <w:rFonts w:eastAsia="Calibri" w:cs=""/>
                <w:kern w:val="0"/>
                <w:sz w:val="18"/>
                <w:szCs w:val="18"/>
                <w:lang w:eastAsia="en-US" w:bidi="ar-SA"/>
              </w:rPr>
              <w:t xml:space="preserve">Physicochemical filtration </w:t>
            </w:r>
            <w:r>
              <w:rPr>
                <w:rFonts w:eastAsia="Calibri" w:cs=""/>
                <w:kern w:val="0"/>
                <w:sz w:val="18"/>
                <w:szCs w:val="18"/>
                <w:lang w:eastAsia="en-US" w:bidi="ar-SA"/>
              </w:rPr>
              <w:t>c</w:t>
            </w:r>
            <w:r>
              <w:rPr>
                <w:rFonts w:eastAsia="Calibri" w:cs=""/>
                <w:kern w:val="0"/>
                <w:sz w:val="18"/>
                <w:szCs w:val="18"/>
                <w:lang w:eastAsia="en-US" w:bidi="ar-SA"/>
              </w:rPr>
              <w:t xml:space="preserve">alculation  </w:t>
            </w:r>
            <w:r>
              <w:rPr>
                <w:rFonts w:eastAsia="Calibri" w:cs=""/>
                <w:kern w:val="0"/>
                <w:sz w:val="18"/>
                <w:szCs w:val="18"/>
                <w:lang w:eastAsia="en-US" w:bidi="ar-SA"/>
              </w:rPr>
              <w:t>based on</w:t>
            </w:r>
            <w:r>
              <w:rPr>
                <w:rFonts w:eastAsia="Calibri" w:cs=""/>
                <w:kern w:val="0"/>
                <w:sz w:val="18"/>
                <w:szCs w:val="18"/>
                <w:lang w:eastAsia="en-US" w:bidi="ar-SA"/>
              </w:rPr>
              <w:t xml:space="preserve"> land use</w:t>
            </w:r>
          </w:p>
        </w:tc>
        <w:tc>
          <w:tcPr>
            <w:tcW w:w="1614" w:type="dxa"/>
            <w:tcBorders/>
          </w:tcPr>
          <w:p>
            <w:pPr>
              <w:pStyle w:val="Normal"/>
              <w:widowControl w:val="false"/>
              <w:suppressAutoHyphens w:val="true"/>
              <w:spacing w:lineRule="auto" w:line="240" w:before="0" w:after="0"/>
              <w:jc w:val="center"/>
              <w:rPr>
                <w:sz w:val="18"/>
                <w:szCs w:val="18"/>
              </w:rPr>
            </w:pPr>
            <w:r>
              <w:rPr>
                <w:rFonts w:eastAsia="Calibri" w:cs=""/>
                <w:kern w:val="0"/>
                <w:sz w:val="18"/>
                <w:szCs w:val="18"/>
                <w:lang w:eastAsia="en-US" w:bidi="ar-SA"/>
              </w:rPr>
              <w:t>4</w:t>
            </w:r>
          </w:p>
        </w:tc>
        <w:tc>
          <w:tcPr>
            <w:tcW w:w="2310" w:type="dxa"/>
            <w:tcBorders/>
          </w:tcPr>
          <w:p>
            <w:pPr>
              <w:pStyle w:val="Normal"/>
              <w:widowControl w:val="false"/>
              <w:suppressAutoHyphens w:val="true"/>
              <w:spacing w:lineRule="auto" w:line="240" w:before="0" w:after="0"/>
              <w:jc w:val="left"/>
              <w:rPr>
                <w:sz w:val="18"/>
                <w:szCs w:val="18"/>
              </w:rPr>
            </w:pPr>
            <w:r>
              <w:rPr>
                <w:rFonts w:eastAsia="Calibri" w:cs=""/>
                <w:kern w:val="0"/>
                <w:sz w:val="18"/>
                <w:szCs w:val="18"/>
                <w:lang w:eastAsia="en-US" w:bidi="ar-SA"/>
              </w:rPr>
              <w:t>No land use influence on physicochemical filtration is clearly mentioned</w:t>
            </w:r>
          </w:p>
        </w:tc>
        <w:tc>
          <w:tcPr>
            <w:tcW w:w="1234" w:type="dxa"/>
            <w:tcBorders/>
          </w:tcPr>
          <w:p>
            <w:pPr>
              <w:pStyle w:val="Normal"/>
              <w:widowControl w:val="false"/>
              <w:suppressAutoHyphens w:val="true"/>
              <w:spacing w:lineRule="auto" w:line="240" w:before="0" w:after="0"/>
              <w:jc w:val="center"/>
              <w:rPr>
                <w:sz w:val="18"/>
                <w:szCs w:val="18"/>
              </w:rPr>
            </w:pPr>
            <w:r>
              <w:rPr>
                <w:rFonts w:eastAsia="Calibri" w:cs="Segoe UI Symbol" w:ascii="Segoe UI Symbol" w:hAnsi="Segoe UI Symbol"/>
                <w:color w:val="222222"/>
                <w:kern w:val="0"/>
                <w:sz w:val="21"/>
                <w:szCs w:val="21"/>
                <w:shd w:fill="FFFFFF" w:val="clear"/>
                <w:lang w:eastAsia="en-US" w:bidi="ar-SA"/>
              </w:rPr>
              <w:t>✓</w:t>
            </w:r>
          </w:p>
        </w:tc>
        <w:tc>
          <w:tcPr>
            <w:tcW w:w="2545" w:type="dxa"/>
            <w:tcBorders/>
          </w:tcPr>
          <w:p>
            <w:pPr>
              <w:pStyle w:val="Normal"/>
              <w:widowControl w:val="false"/>
              <w:suppressAutoHyphens w:val="true"/>
              <w:spacing w:lineRule="auto" w:line="240" w:before="0" w:after="0"/>
              <w:jc w:val="center"/>
              <w:rPr>
                <w:sz w:val="18"/>
                <w:szCs w:val="18"/>
              </w:rPr>
            </w:pPr>
            <w:r>
              <w:rPr>
                <w:rFonts w:eastAsia="Calibri" w:cs=""/>
                <w:kern w:val="0"/>
                <w:sz w:val="18"/>
                <w:szCs w:val="18"/>
                <w:lang w:eastAsia="en-US" w:bidi="ar-SA"/>
              </w:rPr>
              <w:t>The user chooses if including land use influence on physicochemical filtration or not</w:t>
            </w:r>
          </w:p>
        </w:tc>
      </w:tr>
      <w:tr>
        <w:trPr/>
        <w:tc>
          <w:tcPr>
            <w:tcW w:w="9628" w:type="dxa"/>
            <w:gridSpan w:val="5"/>
            <w:tcBorders/>
          </w:tcPr>
          <w:p>
            <w:pPr>
              <w:pStyle w:val="Normal"/>
              <w:widowControl w:val="false"/>
              <w:suppressAutoHyphens w:val="true"/>
              <w:spacing w:lineRule="auto" w:line="240" w:before="0" w:after="0"/>
              <w:jc w:val="center"/>
              <w:rPr>
                <w:sz w:val="18"/>
                <w:szCs w:val="18"/>
              </w:rPr>
            </w:pPr>
            <w:r>
              <w:rPr>
                <w:rFonts w:eastAsia="Calibri" w:cs=""/>
                <w:kern w:val="0"/>
                <w:sz w:val="18"/>
                <w:szCs w:val="18"/>
                <w:lang w:eastAsia="en-US" w:bidi="ar-SA"/>
              </w:rPr>
              <w:t>Groundwater regeneration calculation</w:t>
            </w:r>
          </w:p>
        </w:tc>
      </w:tr>
      <w:tr>
        <w:trPr/>
        <w:tc>
          <w:tcPr>
            <w:tcW w:w="1925" w:type="dxa"/>
            <w:tcBorders/>
          </w:tcPr>
          <w:p>
            <w:pPr>
              <w:pStyle w:val="Normal"/>
              <w:widowControl w:val="false"/>
              <w:suppressAutoHyphens w:val="true"/>
              <w:spacing w:lineRule="auto" w:line="240" w:before="0" w:after="0"/>
              <w:jc w:val="center"/>
              <w:rPr>
                <w:sz w:val="18"/>
                <w:szCs w:val="18"/>
              </w:rPr>
            </w:pPr>
            <w:r>
              <w:rPr>
                <w:rFonts w:eastAsia="Calibri" w:cs=""/>
                <w:kern w:val="0"/>
                <w:sz w:val="18"/>
                <w:szCs w:val="18"/>
                <w:lang w:eastAsia="en-US" w:bidi="ar-SA"/>
              </w:rPr>
              <w:t>Annual evapotranspiration insertion</w:t>
            </w:r>
          </w:p>
        </w:tc>
        <w:tc>
          <w:tcPr>
            <w:tcW w:w="1614" w:type="dxa"/>
            <w:tcBorders/>
          </w:tcPr>
          <w:p>
            <w:pPr>
              <w:pStyle w:val="Normal"/>
              <w:widowControl w:val="false"/>
              <w:suppressAutoHyphens w:val="true"/>
              <w:spacing w:lineRule="auto" w:line="240" w:before="0" w:after="0"/>
              <w:jc w:val="center"/>
              <w:rPr>
                <w:sz w:val="18"/>
                <w:szCs w:val="18"/>
              </w:rPr>
            </w:pPr>
            <w:r>
              <w:rPr>
                <w:rFonts w:eastAsia="Calibri" w:cs=""/>
                <w:kern w:val="0"/>
                <w:sz w:val="18"/>
                <w:szCs w:val="18"/>
                <w:lang w:eastAsia="en-US" w:bidi="ar-SA"/>
              </w:rPr>
              <w:t>1</w:t>
            </w:r>
          </w:p>
        </w:tc>
        <w:tc>
          <w:tcPr>
            <w:tcW w:w="2310" w:type="dxa"/>
            <w:tcBorders/>
          </w:tcPr>
          <w:p>
            <w:pPr>
              <w:pStyle w:val="Normal"/>
              <w:widowControl w:val="false"/>
              <w:suppressAutoHyphens w:val="true"/>
              <w:spacing w:lineRule="auto" w:line="240" w:before="0" w:after="0"/>
              <w:jc w:val="center"/>
              <w:rPr>
                <w:sz w:val="18"/>
                <w:szCs w:val="18"/>
              </w:rPr>
            </w:pPr>
            <w:r>
              <w:rPr>
                <w:sz w:val="18"/>
                <w:szCs w:val="18"/>
              </w:rPr>
            </w:r>
          </w:p>
        </w:tc>
        <w:tc>
          <w:tcPr>
            <w:tcW w:w="1234" w:type="dxa"/>
            <w:tcBorders/>
          </w:tcPr>
          <w:p>
            <w:pPr>
              <w:pStyle w:val="Normal"/>
              <w:widowControl w:val="false"/>
              <w:suppressAutoHyphens w:val="true"/>
              <w:spacing w:lineRule="auto" w:line="240" w:before="0" w:after="0"/>
              <w:jc w:val="center"/>
              <w:rPr>
                <w:sz w:val="18"/>
                <w:szCs w:val="18"/>
              </w:rPr>
            </w:pPr>
            <w:r>
              <w:rPr>
                <w:rFonts w:eastAsia="Calibri" w:cs="Segoe UI Symbol" w:ascii="Segoe UI Symbol" w:hAnsi="Segoe UI Symbol"/>
                <w:color w:val="222222"/>
                <w:kern w:val="0"/>
                <w:sz w:val="21"/>
                <w:szCs w:val="21"/>
                <w:shd w:fill="FFFFFF" w:val="clear"/>
                <w:lang w:eastAsia="en-US" w:bidi="ar-SA"/>
              </w:rPr>
              <w:t>✓</w:t>
            </w:r>
          </w:p>
        </w:tc>
        <w:tc>
          <w:tcPr>
            <w:tcW w:w="2545" w:type="dxa"/>
            <w:tcBorders/>
          </w:tcPr>
          <w:p>
            <w:pPr>
              <w:pStyle w:val="Normal"/>
              <w:widowControl w:val="false"/>
              <w:suppressAutoHyphens w:val="true"/>
              <w:spacing w:lineRule="auto" w:line="240" w:before="0" w:after="0"/>
              <w:jc w:val="center"/>
              <w:rPr>
                <w:sz w:val="18"/>
                <w:szCs w:val="18"/>
              </w:rPr>
            </w:pPr>
            <w:r>
              <w:rPr>
                <w:rFonts w:eastAsia="Calibri" w:cs=""/>
                <w:kern w:val="0"/>
                <w:sz w:val="18"/>
                <w:szCs w:val="18"/>
                <w:lang w:eastAsia="en-US" w:bidi="ar-SA"/>
              </w:rPr>
              <w:t>No specification about effective evapotranspiration or potential evapotranspiration</w:t>
            </w:r>
          </w:p>
        </w:tc>
      </w:tr>
      <w:tr>
        <w:trPr/>
        <w:tc>
          <w:tcPr>
            <w:tcW w:w="1925" w:type="dxa"/>
            <w:tcBorders/>
          </w:tcPr>
          <w:p>
            <w:pPr>
              <w:pStyle w:val="Normal"/>
              <w:widowControl w:val="false"/>
              <w:suppressAutoHyphens w:val="true"/>
              <w:spacing w:lineRule="auto" w:line="240" w:before="0" w:after="0"/>
              <w:jc w:val="center"/>
              <w:rPr>
                <w:sz w:val="18"/>
                <w:szCs w:val="18"/>
              </w:rPr>
            </w:pPr>
            <w:r>
              <w:rPr>
                <w:rFonts w:eastAsia="Calibri" w:cs=""/>
                <w:kern w:val="0"/>
                <w:sz w:val="18"/>
                <w:szCs w:val="18"/>
                <w:lang w:eastAsia="en-US" w:bidi="ar-SA"/>
              </w:rPr>
              <w:t>Surface runoff insertion</w:t>
            </w:r>
          </w:p>
        </w:tc>
        <w:tc>
          <w:tcPr>
            <w:tcW w:w="1614" w:type="dxa"/>
            <w:tcBorders/>
          </w:tcPr>
          <w:p>
            <w:pPr>
              <w:pStyle w:val="Normal"/>
              <w:widowControl w:val="false"/>
              <w:suppressAutoHyphens w:val="true"/>
              <w:spacing w:lineRule="auto" w:line="240" w:before="0" w:after="0"/>
              <w:jc w:val="center"/>
              <w:rPr>
                <w:sz w:val="18"/>
                <w:szCs w:val="18"/>
              </w:rPr>
            </w:pPr>
            <w:r>
              <w:rPr>
                <w:rFonts w:eastAsia="Calibri" w:cs=""/>
                <w:kern w:val="0"/>
                <w:sz w:val="18"/>
                <w:szCs w:val="18"/>
                <w:lang w:eastAsia="en-US" w:bidi="ar-SA"/>
              </w:rPr>
              <w:t>4</w:t>
            </w:r>
          </w:p>
        </w:tc>
        <w:tc>
          <w:tcPr>
            <w:tcW w:w="2310" w:type="dxa"/>
            <w:tcBorders/>
          </w:tcPr>
          <w:p>
            <w:pPr>
              <w:pStyle w:val="Normal"/>
              <w:widowControl w:val="false"/>
              <w:suppressAutoHyphens w:val="true"/>
              <w:spacing w:lineRule="auto" w:line="240" w:before="0" w:after="0"/>
              <w:jc w:val="left"/>
              <w:rPr>
                <w:sz w:val="18"/>
                <w:szCs w:val="18"/>
              </w:rPr>
            </w:pPr>
            <w:r>
              <w:rPr>
                <w:rFonts w:eastAsia="Calibri" w:cs=""/>
                <w:kern w:val="0"/>
                <w:sz w:val="18"/>
                <w:szCs w:val="18"/>
                <w:lang w:eastAsia="en-US" w:bidi="ar-SA"/>
              </w:rPr>
              <w:t>No surface runoff calculation method is reported</w:t>
            </w:r>
          </w:p>
        </w:tc>
        <w:tc>
          <w:tcPr>
            <w:tcW w:w="1234" w:type="dxa"/>
            <w:tcBorders/>
          </w:tcPr>
          <w:p>
            <w:pPr>
              <w:pStyle w:val="Normal"/>
              <w:widowControl w:val="false"/>
              <w:suppressAutoHyphens w:val="true"/>
              <w:spacing w:lineRule="auto" w:line="240" w:before="0" w:after="0"/>
              <w:jc w:val="center"/>
              <w:rPr>
                <w:sz w:val="18"/>
                <w:szCs w:val="18"/>
              </w:rPr>
            </w:pPr>
            <w:r>
              <w:rPr>
                <w:rFonts w:eastAsia="Calibri" w:cs="Segoe UI Symbol" w:ascii="Segoe UI Symbol" w:hAnsi="Segoe UI Symbol"/>
                <w:color w:val="222222"/>
                <w:kern w:val="0"/>
                <w:sz w:val="21"/>
                <w:szCs w:val="21"/>
                <w:shd w:fill="FFFFFF" w:val="clear"/>
                <w:lang w:eastAsia="en-US" w:bidi="ar-SA"/>
              </w:rPr>
              <w:t>✓</w:t>
            </w:r>
          </w:p>
        </w:tc>
        <w:tc>
          <w:tcPr>
            <w:tcW w:w="2545" w:type="dxa"/>
            <w:tcBorders/>
          </w:tcPr>
          <w:p>
            <w:pPr>
              <w:pStyle w:val="Normal"/>
              <w:widowControl w:val="false"/>
              <w:suppressAutoHyphens w:val="true"/>
              <w:spacing w:lineRule="auto" w:line="240" w:before="0" w:after="0"/>
              <w:jc w:val="center"/>
              <w:rPr>
                <w:sz w:val="18"/>
                <w:szCs w:val="18"/>
              </w:rPr>
            </w:pPr>
            <w:r>
              <w:rPr>
                <w:rFonts w:eastAsia="Calibri" w:cs=""/>
                <w:kern w:val="0"/>
                <w:sz w:val="18"/>
                <w:szCs w:val="18"/>
                <w:lang w:eastAsia="en-US" w:bidi="ar-SA"/>
              </w:rPr>
              <w:t>The user must arbitrary determine surface runoff</w:t>
            </w:r>
          </w:p>
        </w:tc>
      </w:tr>
      <w:tr>
        <w:trPr/>
        <w:tc>
          <w:tcPr>
            <w:tcW w:w="1925" w:type="dxa"/>
            <w:tcBorders/>
          </w:tcPr>
          <w:p>
            <w:pPr>
              <w:pStyle w:val="Normal"/>
              <w:widowControl w:val="false"/>
              <w:suppressAutoHyphens w:val="true"/>
              <w:spacing w:lineRule="auto" w:line="240" w:before="0" w:after="0"/>
              <w:jc w:val="center"/>
              <w:rPr>
                <w:sz w:val="18"/>
                <w:szCs w:val="18"/>
              </w:rPr>
            </w:pPr>
            <w:r>
              <w:rPr>
                <w:rFonts w:eastAsia="Calibri" w:cs=""/>
                <w:kern w:val="0"/>
                <w:sz w:val="18"/>
                <w:szCs w:val="18"/>
                <w:lang w:eastAsia="en-US" w:bidi="ar-SA"/>
              </w:rPr>
              <w:t>Groundwater regeneration equation application</w:t>
            </w:r>
          </w:p>
        </w:tc>
        <w:tc>
          <w:tcPr>
            <w:tcW w:w="1614" w:type="dxa"/>
            <w:tcBorders/>
          </w:tcPr>
          <w:p>
            <w:pPr>
              <w:pStyle w:val="Normal"/>
              <w:widowControl w:val="false"/>
              <w:suppressAutoHyphens w:val="true"/>
              <w:spacing w:lineRule="auto" w:line="240" w:before="0" w:after="0"/>
              <w:jc w:val="center"/>
              <w:rPr>
                <w:sz w:val="18"/>
                <w:szCs w:val="18"/>
              </w:rPr>
            </w:pPr>
            <w:r>
              <w:rPr>
                <w:rFonts w:eastAsia="Calibri" w:cs=""/>
                <w:kern w:val="0"/>
                <w:sz w:val="18"/>
                <w:szCs w:val="18"/>
                <w:lang w:eastAsia="en-US" w:bidi="ar-SA"/>
              </w:rPr>
              <w:t>1</w:t>
            </w:r>
          </w:p>
        </w:tc>
        <w:tc>
          <w:tcPr>
            <w:tcW w:w="2310" w:type="dxa"/>
            <w:tcBorders/>
          </w:tcPr>
          <w:p>
            <w:pPr>
              <w:pStyle w:val="Normal"/>
              <w:widowControl w:val="false"/>
              <w:suppressAutoHyphens w:val="true"/>
              <w:spacing w:lineRule="auto" w:line="240" w:before="0" w:after="0"/>
              <w:jc w:val="center"/>
              <w:rPr>
                <w:sz w:val="18"/>
                <w:szCs w:val="18"/>
              </w:rPr>
            </w:pPr>
            <w:r>
              <w:rPr>
                <w:sz w:val="18"/>
                <w:szCs w:val="18"/>
              </w:rPr>
            </w:r>
          </w:p>
        </w:tc>
        <w:tc>
          <w:tcPr>
            <w:tcW w:w="1234" w:type="dxa"/>
            <w:tcBorders/>
          </w:tcPr>
          <w:p>
            <w:pPr>
              <w:pStyle w:val="Normal"/>
              <w:widowControl w:val="false"/>
              <w:suppressAutoHyphens w:val="true"/>
              <w:spacing w:lineRule="auto" w:line="240" w:before="0" w:after="0"/>
              <w:jc w:val="center"/>
              <w:rPr>
                <w:sz w:val="18"/>
                <w:szCs w:val="18"/>
              </w:rPr>
            </w:pPr>
            <w:r>
              <w:rPr>
                <w:rFonts w:eastAsia="Calibri" w:cs="Segoe UI Symbol" w:ascii="Segoe UI Symbol" w:hAnsi="Segoe UI Symbol"/>
                <w:color w:val="222222"/>
                <w:kern w:val="0"/>
                <w:sz w:val="21"/>
                <w:szCs w:val="21"/>
                <w:shd w:fill="FFFFFF" w:val="clear"/>
                <w:lang w:eastAsia="en-US" w:bidi="ar-SA"/>
              </w:rPr>
              <w:t>✗</w:t>
            </w:r>
          </w:p>
        </w:tc>
        <w:tc>
          <w:tcPr>
            <w:tcW w:w="2545" w:type="dxa"/>
            <w:tcBorders/>
          </w:tcPr>
          <w:p>
            <w:pPr>
              <w:pStyle w:val="Normal"/>
              <w:widowControl w:val="false"/>
              <w:suppressAutoHyphens w:val="true"/>
              <w:spacing w:lineRule="auto" w:line="240" w:before="0" w:after="0"/>
              <w:jc w:val="center"/>
              <w:rPr>
                <w:sz w:val="18"/>
                <w:szCs w:val="18"/>
              </w:rPr>
            </w:pPr>
            <w:r>
              <w:rPr>
                <w:sz w:val="18"/>
                <w:szCs w:val="18"/>
              </w:rPr>
            </w:r>
          </w:p>
        </w:tc>
      </w:tr>
      <w:tr>
        <w:trPr/>
        <w:tc>
          <w:tcPr>
            <w:tcW w:w="9628" w:type="dxa"/>
            <w:gridSpan w:val="5"/>
            <w:tcBorders/>
          </w:tcPr>
          <w:p>
            <w:pPr>
              <w:pStyle w:val="Normal"/>
              <w:widowControl w:val="false"/>
              <w:suppressAutoHyphens w:val="true"/>
              <w:spacing w:lineRule="auto" w:line="240" w:before="0" w:after="0"/>
              <w:jc w:val="center"/>
              <w:rPr>
                <w:sz w:val="18"/>
                <w:szCs w:val="18"/>
              </w:rPr>
            </w:pPr>
            <w:r>
              <w:rPr>
                <w:rFonts w:eastAsia="Calibri" w:cs=""/>
                <w:kern w:val="0"/>
                <w:sz w:val="18"/>
                <w:szCs w:val="18"/>
                <w:lang w:eastAsia="en-US" w:bidi="ar-SA"/>
              </w:rPr>
              <w:t>BIOTIC PRODUCTION CALCULATION</w:t>
            </w:r>
          </w:p>
        </w:tc>
      </w:tr>
      <w:tr>
        <w:trPr/>
        <w:tc>
          <w:tcPr>
            <w:tcW w:w="1925" w:type="dxa"/>
            <w:tcBorders/>
          </w:tcPr>
          <w:p>
            <w:pPr>
              <w:pStyle w:val="Normal"/>
              <w:widowControl w:val="false"/>
              <w:suppressAutoHyphens w:val="true"/>
              <w:spacing w:lineRule="auto" w:line="240" w:before="0" w:after="0"/>
              <w:jc w:val="center"/>
              <w:rPr>
                <w:sz w:val="18"/>
                <w:szCs w:val="18"/>
              </w:rPr>
            </w:pPr>
            <w:r>
              <w:rPr>
                <w:rFonts w:eastAsia="Calibri" w:cs=""/>
                <w:kern w:val="0"/>
                <w:sz w:val="18"/>
                <w:szCs w:val="18"/>
                <w:lang w:eastAsia="en-US" w:bidi="ar-SA"/>
              </w:rPr>
              <w:t>Net primary productivity selection</w:t>
            </w:r>
          </w:p>
        </w:tc>
        <w:tc>
          <w:tcPr>
            <w:tcW w:w="1614" w:type="dxa"/>
            <w:tcBorders/>
          </w:tcPr>
          <w:p>
            <w:pPr>
              <w:pStyle w:val="Normal"/>
              <w:widowControl w:val="false"/>
              <w:suppressAutoHyphens w:val="true"/>
              <w:spacing w:lineRule="auto" w:line="240" w:before="0" w:after="0"/>
              <w:jc w:val="center"/>
              <w:rPr>
                <w:sz w:val="18"/>
                <w:szCs w:val="18"/>
              </w:rPr>
            </w:pPr>
            <w:r>
              <w:rPr>
                <w:rFonts w:eastAsia="Calibri" w:cs=""/>
                <w:kern w:val="0"/>
                <w:sz w:val="18"/>
                <w:szCs w:val="18"/>
                <w:lang w:eastAsia="en-US" w:bidi="ar-SA"/>
              </w:rPr>
              <w:t>3</w:t>
            </w:r>
          </w:p>
        </w:tc>
        <w:tc>
          <w:tcPr>
            <w:tcW w:w="2310" w:type="dxa"/>
            <w:tcBorders/>
          </w:tcPr>
          <w:p>
            <w:pPr>
              <w:pStyle w:val="Normal"/>
              <w:widowControl w:val="false"/>
              <w:suppressAutoHyphens w:val="true"/>
              <w:spacing w:lineRule="auto" w:line="240" w:before="0" w:after="0"/>
              <w:jc w:val="center"/>
              <w:rPr>
                <w:sz w:val="18"/>
                <w:szCs w:val="18"/>
              </w:rPr>
            </w:pPr>
            <w:r>
              <w:rPr>
                <w:rFonts w:eastAsia="Calibri" w:cs=""/>
                <w:kern w:val="0"/>
                <w:sz w:val="18"/>
                <w:szCs w:val="18"/>
                <w:lang w:eastAsia="en-US" w:bidi="ar-SA"/>
              </w:rPr>
              <w:t>Net primary productivity assignment to land use types is not explained; reported literature is in German</w:t>
            </w:r>
          </w:p>
        </w:tc>
        <w:tc>
          <w:tcPr>
            <w:tcW w:w="1234" w:type="dxa"/>
            <w:tcBorders/>
          </w:tcPr>
          <w:p>
            <w:pPr>
              <w:pStyle w:val="Normal"/>
              <w:widowControl w:val="false"/>
              <w:suppressAutoHyphens w:val="true"/>
              <w:spacing w:lineRule="auto" w:line="240" w:before="0" w:after="0"/>
              <w:jc w:val="center"/>
              <w:rPr>
                <w:sz w:val="18"/>
                <w:szCs w:val="18"/>
              </w:rPr>
            </w:pPr>
            <w:r>
              <w:rPr>
                <w:rFonts w:eastAsia="Calibri" w:cs="Segoe UI Symbol" w:ascii="Segoe UI Symbol" w:hAnsi="Segoe UI Symbol"/>
                <w:color w:val="222222"/>
                <w:kern w:val="0"/>
                <w:sz w:val="21"/>
                <w:szCs w:val="21"/>
                <w:shd w:fill="FFFFFF" w:val="clear"/>
                <w:lang w:eastAsia="en-US" w:bidi="ar-SA"/>
              </w:rPr>
              <w:t>✗</w:t>
            </w:r>
          </w:p>
        </w:tc>
        <w:tc>
          <w:tcPr>
            <w:tcW w:w="2545" w:type="dxa"/>
            <w:tcBorders/>
          </w:tcPr>
          <w:p>
            <w:pPr>
              <w:pStyle w:val="Normal"/>
              <w:widowControl w:val="false"/>
              <w:suppressAutoHyphens w:val="true"/>
              <w:spacing w:lineRule="auto" w:line="240" w:before="0" w:after="0"/>
              <w:jc w:val="center"/>
              <w:rPr>
                <w:sz w:val="18"/>
                <w:szCs w:val="18"/>
              </w:rPr>
            </w:pPr>
            <w:r>
              <w:rPr>
                <w:sz w:val="18"/>
                <w:szCs w:val="18"/>
              </w:rPr>
            </w:r>
          </w:p>
        </w:tc>
      </w:tr>
    </w:tbl>
    <w:p>
      <w:pPr>
        <w:pStyle w:val="Normal"/>
        <w:widowControl/>
        <w:bidi w:val="0"/>
        <w:spacing w:lineRule="auto" w:line="259" w:before="0" w:after="160"/>
        <w:jc w:val="left"/>
        <w:rPr/>
      </w:pPr>
      <w:r>
        <w:rPr/>
      </w:r>
    </w:p>
    <w:p>
      <w:pPr>
        <w:pStyle w:val="Heading1"/>
        <w:rPr/>
      </w:pPr>
      <w:r>
        <w:rPr/>
        <w:t>ANNEX 5</w:t>
      </w:r>
    </w:p>
    <w:p>
      <w:pPr>
        <w:pStyle w:val="Normal"/>
        <w:rPr>
          <w:rFonts w:ascii="Calibri" w:hAnsi="Calibri"/>
          <w:sz w:val="22"/>
          <w:szCs w:val="22"/>
        </w:rPr>
      </w:pPr>
      <w:r>
        <w:rPr>
          <w:rFonts w:ascii="Calibri" w:hAnsi="Calibri"/>
          <w:sz w:val="22"/>
          <w:szCs w:val="22"/>
        </w:rPr>
        <w:t xml:space="preserve">Notes </w:t>
      </w:r>
      <w:r>
        <w:rPr>
          <w:rFonts w:ascii="Calibri" w:hAnsi="Calibri"/>
          <w:sz w:val="22"/>
          <w:szCs w:val="22"/>
        </w:rPr>
        <w:t>about</w:t>
      </w:r>
      <w:r>
        <w:rPr>
          <w:rFonts w:ascii="Calibri" w:hAnsi="Calibri"/>
          <w:sz w:val="22"/>
          <w:szCs w:val="22"/>
        </w:rPr>
        <w:t xml:space="preserve"> the nomenclature: flows, LCIA methods and unit of measures.</w:t>
      </w:r>
    </w:p>
    <w:p>
      <w:pPr>
        <w:pStyle w:val="Normal"/>
        <w:rPr>
          <w:rFonts w:ascii="Calibri" w:hAnsi="Calibri"/>
          <w:sz w:val="22"/>
          <w:szCs w:val="22"/>
        </w:rPr>
      </w:pPr>
      <w:r>
        <w:rPr>
          <w:rFonts w:eastAsia="Calibri" w:cs="" w:ascii="Calibri" w:hAnsi="Calibri" w:asciiTheme="minorHAnsi" w:cstheme="minorBidi" w:eastAsiaTheme="minorHAnsi" w:hAnsiTheme="minorHAnsi"/>
          <w:color w:val="auto"/>
          <w:kern w:val="0"/>
          <w:sz w:val="22"/>
          <w:szCs w:val="22"/>
          <w:lang w:val="en-GB" w:eastAsia="en-US" w:bidi="ar-SA"/>
        </w:rPr>
        <w:t>Reference to</w:t>
      </w:r>
      <w:r>
        <w:rPr>
          <w:rFonts w:ascii="Calibri" w:hAnsi="Calibri"/>
          <w:sz w:val="22"/>
          <w:szCs w:val="22"/>
        </w:rPr>
        <w:t xml:space="preserve"> the methodology: LANCA 1.0  </w:t>
      </w:r>
      <w:r>
        <w:rPr>
          <w:rFonts w:ascii="Calibri" w:hAnsi="Calibri"/>
          <w:sz w:val="22"/>
          <w:szCs w:val="22"/>
        </w:rPr>
        <w:t>(</w:t>
      </w:r>
      <w:r>
        <w:rPr>
          <w:rFonts w:ascii="Calibri" w:hAnsi="Calibri"/>
          <w:sz w:val="22"/>
          <w:szCs w:val="22"/>
        </w:rPr>
        <w:t>Beck et al., 2010), LANCA 2.0 (Bos et al. 2016)</w:t>
      </w:r>
    </w:p>
    <w:p>
      <w:pPr>
        <w:pStyle w:val="Normal"/>
        <w:rPr/>
      </w:pPr>
      <w:r>
        <w:rPr>
          <w:rFonts w:ascii="Calibri" w:hAnsi="Calibri"/>
          <w:sz w:val="22"/>
          <w:szCs w:val="22"/>
        </w:rPr>
        <w:t xml:space="preserve">Characterisation factors: LANCA 1.0  </w:t>
      </w:r>
      <w:r>
        <w:rPr>
          <w:rFonts w:ascii="Calibri" w:hAnsi="Calibri"/>
          <w:sz w:val="22"/>
          <w:szCs w:val="22"/>
        </w:rPr>
        <w:t>(</w:t>
      </w:r>
      <w:r>
        <w:rPr>
          <w:rFonts w:ascii="Calibri" w:hAnsi="Calibri"/>
          <w:sz w:val="22"/>
          <w:szCs w:val="22"/>
        </w:rPr>
        <w:t xml:space="preserve">Beck et al., 2010), </w:t>
      </w:r>
      <w:r>
        <w:rPr>
          <w:rFonts w:ascii="Calibri" w:hAnsi="Calibri"/>
          <w:sz w:val="22"/>
          <w:szCs w:val="22"/>
        </w:rPr>
        <w:t>LANCA 2.3</w:t>
      </w:r>
      <w:r>
        <w:rPr>
          <w:rStyle w:val="FootnoteAnchor"/>
          <w:rFonts w:ascii="Calibri" w:hAnsi="Calibri"/>
          <w:sz w:val="22"/>
          <w:szCs w:val="22"/>
        </w:rPr>
        <w:footnoteReference w:id="4"/>
      </w:r>
      <w:r>
        <w:rPr>
          <w:rFonts w:ascii="Calibri" w:hAnsi="Calibri"/>
          <w:sz w:val="22"/>
          <w:szCs w:val="22"/>
        </w:rPr>
        <w:t xml:space="preserve"> (referred to the method LANCA 2.0), LANCA 2.5 (referred to the method LANCA 2.0)</w:t>
      </w:r>
    </w:p>
    <w:p>
      <w:pPr>
        <w:pStyle w:val="Table"/>
        <w:keepNext w:val="true"/>
        <w:rPr/>
      </w:pPr>
      <w:r>
        <w:rPr>
          <w:rStyle w:val="CaptionCharacters"/>
        </w:rPr>
        <w:t xml:space="preserve">Table </w:t>
      </w:r>
      <w:r>
        <w:rPr>
          <w:rStyle w:val="CaptionCharacters"/>
        </w:rPr>
        <w:fldChar w:fldCharType="begin"/>
      </w:r>
      <w:r>
        <w:rPr>
          <w:rStyle w:val="CaptionCharacters"/>
        </w:rPr>
        <w:instrText> SEQ Table \* ARABIC </w:instrText>
      </w:r>
      <w:r>
        <w:rPr>
          <w:rStyle w:val="CaptionCharacters"/>
        </w:rPr>
        <w:fldChar w:fldCharType="separate"/>
      </w:r>
      <w:r>
        <w:rPr>
          <w:rStyle w:val="CaptionCharacters"/>
        </w:rPr>
        <w:t>4</w:t>
      </w:r>
      <w:r>
        <w:rPr>
          <w:rStyle w:val="CaptionCharacters"/>
        </w:rPr>
        <w:fldChar w:fldCharType="end"/>
      </w:r>
      <w:r>
        <w:rPr>
          <w:rStyle w:val="CaptionCharacters"/>
        </w:rPr>
        <w:t>S</w:t>
      </w:r>
      <w:r>
        <w:rPr>
          <w:rStyle w:val="CaptionCharacters"/>
        </w:rPr>
        <w:t>- LANCA® indicators, characterization factors with related units, models, and ecosystem services. The related areas of protection are invariantly human health and ecosystem quality for all CFs</w:t>
      </w:r>
    </w:p>
    <w:tbl>
      <w:tblPr>
        <w:tblW w:w="9349" w:type="dxa"/>
        <w:jc w:val="left"/>
        <w:tblInd w:w="0" w:type="dxa"/>
        <w:tblLayout w:type="fixed"/>
        <w:tblCellMar>
          <w:top w:w="55" w:type="dxa"/>
          <w:left w:w="55" w:type="dxa"/>
          <w:bottom w:w="55" w:type="dxa"/>
          <w:right w:w="55" w:type="dxa"/>
        </w:tblCellMar>
      </w:tblPr>
      <w:tblGrid>
        <w:gridCol w:w="1379"/>
        <w:gridCol w:w="2135"/>
        <w:gridCol w:w="3692"/>
        <w:gridCol w:w="1888"/>
        <w:gridCol w:w="255"/>
      </w:tblGrid>
      <w:tr>
        <w:trPr/>
        <w:tc>
          <w:tcPr>
            <w:tcW w:w="1379" w:type="dxa"/>
            <w:tcBorders/>
          </w:tcPr>
          <w:p>
            <w:pPr>
              <w:pStyle w:val="Normal"/>
              <w:spacing w:before="0" w:after="160"/>
              <w:jc w:val="center"/>
              <w:rPr>
                <w:rFonts w:ascii="Times New Roman" w:hAnsi="Times New Roman"/>
                <w:b/>
                <w:sz w:val="20"/>
              </w:rPr>
            </w:pPr>
            <w:r>
              <w:rPr>
                <w:rFonts w:ascii="Times New Roman" w:hAnsi="Times New Roman"/>
                <w:b/>
                <w:sz w:val="20"/>
              </w:rPr>
              <w:t>Indicator</w:t>
            </w:r>
          </w:p>
        </w:tc>
        <w:tc>
          <w:tcPr>
            <w:tcW w:w="2135" w:type="dxa"/>
            <w:tcBorders/>
          </w:tcPr>
          <w:p>
            <w:pPr>
              <w:pStyle w:val="Normal"/>
              <w:spacing w:before="0" w:after="160"/>
              <w:jc w:val="center"/>
              <w:rPr>
                <w:rFonts w:ascii="Times New Roman" w:hAnsi="Times New Roman"/>
                <w:b/>
                <w:sz w:val="20"/>
              </w:rPr>
            </w:pPr>
            <w:r>
              <w:rPr>
                <w:rFonts w:ascii="Times New Roman" w:hAnsi="Times New Roman"/>
                <w:b/>
                <w:sz w:val="20"/>
              </w:rPr>
              <w:t xml:space="preserve">Characterisation model </w:t>
            </w:r>
            <w:r>
              <w:rPr>
                <w:rFonts w:ascii="Times New Roman" w:hAnsi="Times New Roman"/>
                <w:b/>
                <w:sz w:val="20"/>
              </w:rPr>
              <w:t xml:space="preserve">used in this work </w:t>
            </w:r>
          </w:p>
        </w:tc>
        <w:tc>
          <w:tcPr>
            <w:tcW w:w="3692" w:type="dxa"/>
            <w:tcBorders/>
          </w:tcPr>
          <w:p>
            <w:pPr>
              <w:pStyle w:val="Normal"/>
              <w:spacing w:before="0" w:after="160"/>
              <w:jc w:val="center"/>
              <w:rPr>
                <w:rFonts w:ascii="Times New Roman" w:hAnsi="Times New Roman"/>
                <w:b/>
                <w:sz w:val="20"/>
              </w:rPr>
            </w:pPr>
            <w:r>
              <w:rPr>
                <w:rFonts w:eastAsia="Calibri" w:cs="" w:ascii="Times New Roman" w:hAnsi="Times New Roman" w:cstheme="minorBidi" w:eastAsiaTheme="minorHAnsi"/>
                <w:b/>
                <w:color w:val="auto"/>
                <w:kern w:val="0"/>
                <w:sz w:val="20"/>
                <w:szCs w:val="22"/>
                <w:lang w:val="en-GB" w:eastAsia="en-US" w:bidi="ar-SA"/>
              </w:rPr>
              <w:t xml:space="preserve">Updates and </w:t>
            </w:r>
            <w:r>
              <w:rPr>
                <w:rFonts w:eastAsia="Calibri" w:cs="" w:ascii="Times New Roman" w:hAnsi="Times New Roman" w:cstheme="minorBidi" w:eastAsiaTheme="minorHAnsi"/>
                <w:b/>
                <w:color w:val="auto"/>
                <w:kern w:val="0"/>
                <w:sz w:val="20"/>
                <w:szCs w:val="22"/>
                <w:lang w:val="en-GB" w:eastAsia="en-US" w:bidi="ar-SA"/>
              </w:rPr>
              <w:t xml:space="preserve">additional </w:t>
            </w:r>
            <w:r>
              <w:rPr>
                <w:rFonts w:eastAsia="Calibri" w:cs="" w:ascii="Times New Roman" w:hAnsi="Times New Roman" w:cstheme="minorBidi" w:eastAsiaTheme="minorHAnsi"/>
                <w:b/>
                <w:color w:val="auto"/>
                <w:kern w:val="0"/>
                <w:sz w:val="20"/>
                <w:szCs w:val="22"/>
                <w:lang w:val="en-GB" w:eastAsia="en-US" w:bidi="ar-SA"/>
              </w:rPr>
              <w:t xml:space="preserve">documentation </w:t>
            </w:r>
            <w:r>
              <w:rPr>
                <w:rFonts w:eastAsia="Calibri" w:cs="" w:ascii="Times New Roman" w:hAnsi="Times New Roman" w:cstheme="minorBidi" w:eastAsiaTheme="minorHAnsi"/>
                <w:b/>
                <w:color w:val="auto"/>
                <w:kern w:val="0"/>
                <w:sz w:val="20"/>
                <w:szCs w:val="22"/>
                <w:lang w:val="en-GB" w:eastAsia="en-US" w:bidi="ar-SA"/>
              </w:rPr>
              <w:t xml:space="preserve">(not used in this work) </w:t>
            </w:r>
          </w:p>
        </w:tc>
        <w:tc>
          <w:tcPr>
            <w:tcW w:w="1888" w:type="dxa"/>
            <w:tcBorders/>
          </w:tcPr>
          <w:p>
            <w:pPr>
              <w:pStyle w:val="Normal"/>
              <w:spacing w:before="0" w:after="160"/>
              <w:jc w:val="center"/>
              <w:rPr>
                <w:rFonts w:ascii="Times New Roman" w:hAnsi="Times New Roman" w:eastAsia="Calibri" w:cs="" w:cstheme="minorBidi" w:eastAsiaTheme="minorHAnsi"/>
                <w:b/>
                <w:color w:val="auto"/>
                <w:kern w:val="0"/>
                <w:sz w:val="20"/>
                <w:szCs w:val="22"/>
                <w:lang w:val="en-GB" w:eastAsia="en-US" w:bidi="ar-SA"/>
              </w:rPr>
            </w:pPr>
            <w:r>
              <w:rPr>
                <w:rFonts w:eastAsia="Calibri" w:cs="" w:cstheme="minorBidi" w:eastAsiaTheme="minorHAnsi" w:ascii="Times New Roman" w:hAnsi="Times New Roman"/>
                <w:b/>
                <w:color w:val="auto"/>
                <w:kern w:val="0"/>
                <w:sz w:val="20"/>
                <w:szCs w:val="22"/>
                <w:lang w:val="en-GB" w:eastAsia="en-US" w:bidi="ar-SA"/>
              </w:rPr>
              <w:t>Additional information</w:t>
            </w:r>
          </w:p>
        </w:tc>
        <w:tc>
          <w:tcPr>
            <w:tcW w:w="255" w:type="dxa"/>
            <w:tcBorders/>
          </w:tcPr>
          <w:p>
            <w:pPr>
              <w:pStyle w:val="Normal"/>
              <w:spacing w:before="0" w:after="160"/>
              <w:jc w:val="center"/>
              <w:rPr>
                <w:b/>
              </w:rPr>
            </w:pPr>
            <w:r>
              <w:rPr>
                <w:rFonts w:ascii="Times New Roman" w:hAnsi="Times New Roman"/>
                <w:sz w:val="20"/>
              </w:rPr>
            </w:r>
          </w:p>
        </w:tc>
      </w:tr>
      <w:tr>
        <w:trPr/>
        <w:tc>
          <w:tcPr>
            <w:tcW w:w="1379" w:type="dxa"/>
            <w:tcBorders/>
          </w:tcPr>
          <w:p>
            <w:pPr>
              <w:pStyle w:val="Normal"/>
              <w:spacing w:before="0" w:after="160"/>
              <w:jc w:val="center"/>
              <w:rPr>
                <w:rFonts w:ascii="Times New Roman" w:hAnsi="Times New Roman"/>
                <w:sz w:val="20"/>
              </w:rPr>
            </w:pPr>
            <w:r>
              <w:rPr>
                <w:rFonts w:ascii="Times New Roman" w:hAnsi="Times New Roman"/>
                <w:sz w:val="20"/>
              </w:rPr>
              <w:t>Erosion resistance</w:t>
            </w:r>
          </w:p>
        </w:tc>
        <w:tc>
          <w:tcPr>
            <w:tcW w:w="2135" w:type="dxa"/>
            <w:tcBorders/>
          </w:tcPr>
          <w:p>
            <w:pPr>
              <w:pStyle w:val="Normal"/>
              <w:spacing w:before="0" w:after="160"/>
              <w:jc w:val="left"/>
              <w:rPr>
                <w:rFonts w:ascii="Times New Roman" w:hAnsi="Times New Roman"/>
                <w:sz w:val="20"/>
              </w:rPr>
            </w:pPr>
            <w:r>
              <w:rPr>
                <w:rFonts w:ascii="Times New Roman" w:hAnsi="Times New Roman"/>
                <w:sz w:val="20"/>
              </w:rPr>
              <w:t xml:space="preserve">water erosion potential based on the revised universal soil loss equation (RUSLE), </w:t>
            </w:r>
            <w:r>
              <w:rPr>
                <w:rFonts w:ascii="Times New Roman" w:hAnsi="Times New Roman"/>
                <w:sz w:val="20"/>
              </w:rPr>
              <w:t>(</w:t>
            </w:r>
            <w:r>
              <w:rPr>
                <w:rFonts w:ascii="Times New Roman" w:hAnsi="Times New Roman"/>
                <w:sz w:val="20"/>
              </w:rPr>
              <w:t>Bos et al. 2016)</w:t>
            </w:r>
          </w:p>
        </w:tc>
        <w:tc>
          <w:tcPr>
            <w:tcW w:w="3692" w:type="dxa"/>
            <w:tcBorders/>
          </w:tcPr>
          <w:p>
            <w:pPr>
              <w:pStyle w:val="Normal"/>
              <w:jc w:val="left"/>
              <w:rPr>
                <w:rFonts w:ascii="Times New Roman" w:hAnsi="Times New Roman"/>
                <w:sz w:val="20"/>
              </w:rPr>
            </w:pPr>
            <w:r>
              <w:rPr>
                <w:rFonts w:ascii="Times New Roman" w:hAnsi="Times New Roman"/>
                <w:sz w:val="20"/>
              </w:rPr>
              <w:t xml:space="preserve"> </w:t>
            </w:r>
            <w:r>
              <w:rPr>
                <w:rFonts w:ascii="Times New Roman" w:hAnsi="Times New Roman"/>
                <w:sz w:val="20"/>
              </w:rPr>
              <w:t>Bos et al. (2020) specif</w:t>
            </w:r>
            <w:r>
              <w:rPr>
                <w:rFonts w:ascii="Times New Roman" w:hAnsi="Times New Roman"/>
                <w:sz w:val="20"/>
              </w:rPr>
              <w:t>y</w:t>
            </w:r>
            <w:r>
              <w:rPr>
                <w:rFonts w:ascii="Times New Roman" w:hAnsi="Times New Roman"/>
                <w:sz w:val="20"/>
              </w:rPr>
              <w:t xml:space="preserve"> the range of validity.  </w:t>
            </w:r>
            <w:r>
              <w:rPr>
                <w:rFonts w:ascii="Times New Roman" w:hAnsi="Times New Roman"/>
                <w:sz w:val="20"/>
              </w:rPr>
              <w:t xml:space="preserve">C-factor application guidance is improved. </w:t>
            </w:r>
            <w:r>
              <w:rPr>
                <w:rFonts w:ascii="Times New Roman" w:hAnsi="Times New Roman"/>
                <w:sz w:val="20"/>
              </w:rPr>
              <w:t>Conversion of u.m. solved</w:t>
            </w:r>
          </w:p>
          <w:p>
            <w:pPr>
              <w:pStyle w:val="Normal"/>
              <w:spacing w:before="0" w:after="160"/>
              <w:jc w:val="left"/>
              <w:rPr>
                <w:rFonts w:ascii="Times New Roman" w:hAnsi="Times New Roman"/>
                <w:sz w:val="20"/>
              </w:rPr>
            </w:pPr>
            <w:r>
              <w:rPr>
                <w:rFonts w:ascii="Times New Roman" w:hAnsi="Times New Roman"/>
                <w:sz w:val="20"/>
              </w:rPr>
              <w:t xml:space="preserve">The method makes reference to the work of Panagos and collaborators (2015) and an extended documentation is reported. </w:t>
            </w:r>
          </w:p>
        </w:tc>
        <w:tc>
          <w:tcPr>
            <w:tcW w:w="1888" w:type="dxa"/>
            <w:tcBorders/>
          </w:tcPr>
          <w:p>
            <w:pPr>
              <w:pStyle w:val="Normal"/>
              <w:spacing w:before="0" w:after="160"/>
              <w:jc w:val="left"/>
              <w:rPr>
                <w:rFonts w:ascii="Times New Roman" w:hAnsi="Times New Roman"/>
                <w:sz w:val="20"/>
              </w:rPr>
            </w:pPr>
            <w:r>
              <w:rPr>
                <w:rFonts w:ascii="Times New Roman" w:hAnsi="Times New Roman"/>
                <w:sz w:val="20"/>
              </w:rPr>
              <w:t xml:space="preserve">Sonderegger et al. (2020) use the RUSLE equation and model the results on high spatial resolution. </w:t>
            </w:r>
          </w:p>
        </w:tc>
        <w:tc>
          <w:tcPr>
            <w:tcW w:w="255" w:type="dxa"/>
            <w:tcBorders/>
          </w:tcPr>
          <w:p>
            <w:pPr>
              <w:pStyle w:val="Normal"/>
              <w:spacing w:before="0" w:after="160"/>
              <w:jc w:val="center"/>
              <w:rPr>
                <w:color w:val="C9211E"/>
                <w:vertAlign w:val="superscript"/>
              </w:rPr>
            </w:pPr>
            <w:r>
              <w:rPr>
                <w:rFonts w:ascii="Times New Roman" w:hAnsi="Times New Roman"/>
                <w:sz w:val="20"/>
              </w:rPr>
            </w:r>
          </w:p>
        </w:tc>
      </w:tr>
      <w:tr>
        <w:trPr/>
        <w:tc>
          <w:tcPr>
            <w:tcW w:w="1379" w:type="dxa"/>
            <w:tcBorders/>
          </w:tcPr>
          <w:p>
            <w:pPr>
              <w:pStyle w:val="Normal"/>
              <w:spacing w:before="0" w:after="160"/>
              <w:jc w:val="center"/>
              <w:rPr>
                <w:rFonts w:ascii="Times New Roman" w:hAnsi="Times New Roman"/>
                <w:sz w:val="20"/>
              </w:rPr>
            </w:pPr>
            <w:r>
              <w:rPr>
                <w:rFonts w:ascii="Times New Roman" w:hAnsi="Times New Roman"/>
                <w:sz w:val="20"/>
              </w:rPr>
              <w:t>Mechanical filtration</w:t>
            </w:r>
          </w:p>
        </w:tc>
        <w:tc>
          <w:tcPr>
            <w:tcW w:w="2135" w:type="dxa"/>
            <w:tcBorders/>
          </w:tcPr>
          <w:p>
            <w:pPr>
              <w:pStyle w:val="Normal"/>
              <w:spacing w:before="0" w:after="160"/>
              <w:jc w:val="left"/>
              <w:rPr>
                <w:rFonts w:ascii="Times New Roman" w:hAnsi="Times New Roman"/>
                <w:sz w:val="20"/>
              </w:rPr>
            </w:pPr>
            <w:r>
              <w:rPr>
                <w:rFonts w:ascii="Times New Roman" w:hAnsi="Times New Roman"/>
                <w:sz w:val="20"/>
              </w:rPr>
              <w:t xml:space="preserve">Permeability determination </w:t>
            </w:r>
            <w:r>
              <w:rPr>
                <w:rFonts w:ascii="Times New Roman" w:hAnsi="Times New Roman"/>
                <w:sz w:val="20"/>
              </w:rPr>
              <w:t>(</w:t>
            </w:r>
            <w:r>
              <w:rPr>
                <w:rFonts w:ascii="Times New Roman" w:hAnsi="Times New Roman"/>
                <w:sz w:val="20"/>
              </w:rPr>
              <w:t>Beck et al., 2010)</w:t>
            </w:r>
          </w:p>
        </w:tc>
        <w:tc>
          <w:tcPr>
            <w:tcW w:w="3692" w:type="dxa"/>
            <w:tcBorders/>
          </w:tcPr>
          <w:p>
            <w:pPr>
              <w:pStyle w:val="Normal"/>
              <w:jc w:val="left"/>
              <w:rPr>
                <w:rFonts w:ascii="Times New Roman" w:hAnsi="Times New Roman"/>
                <w:b/>
                <w:sz w:val="20"/>
              </w:rPr>
            </w:pPr>
            <w:r>
              <w:rPr>
                <w:rFonts w:eastAsia="Calibri" w:cs="" w:ascii="Times New Roman" w:hAnsi="Times New Roman" w:cstheme="minorBidi" w:eastAsiaTheme="minorHAnsi"/>
                <w:b w:val="false"/>
                <w:bCs w:val="false"/>
                <w:color w:val="auto"/>
                <w:kern w:val="0"/>
                <w:sz w:val="20"/>
                <w:szCs w:val="22"/>
                <w:lang w:val="en-GB" w:eastAsia="en-US" w:bidi="ar-SA"/>
              </w:rPr>
              <w:t xml:space="preserve">Bos et al. 2016 </w:t>
            </w:r>
            <w:r>
              <w:rPr>
                <w:rFonts w:eastAsia="Calibri" w:cs="" w:ascii="Times New Roman" w:hAnsi="Times New Roman" w:cstheme="minorBidi" w:eastAsiaTheme="minorHAnsi"/>
                <w:b w:val="false"/>
                <w:bCs w:val="false"/>
                <w:color w:val="auto"/>
                <w:kern w:val="0"/>
                <w:sz w:val="20"/>
                <w:szCs w:val="22"/>
                <w:lang w:val="en-GB" w:eastAsia="en-US" w:bidi="ar-SA"/>
              </w:rPr>
              <w:t>extend</w:t>
            </w:r>
            <w:r>
              <w:rPr>
                <w:rFonts w:eastAsia="Calibri" w:cs="" w:ascii="Times New Roman" w:hAnsi="Times New Roman" w:cstheme="minorBidi" w:eastAsiaTheme="minorHAnsi"/>
                <w:b w:val="false"/>
                <w:bCs w:val="false"/>
                <w:color w:val="auto"/>
                <w:kern w:val="0"/>
                <w:sz w:val="20"/>
                <w:szCs w:val="22"/>
                <w:lang w:val="en-GB" w:eastAsia="en-US" w:bidi="ar-SA"/>
              </w:rPr>
              <w:t xml:space="preserve"> </w:t>
            </w:r>
            <w:r>
              <w:rPr>
                <w:rFonts w:eastAsia="Calibri" w:cs="" w:ascii="Times New Roman" w:hAnsi="Times New Roman" w:cstheme="minorBidi" w:eastAsiaTheme="minorHAnsi"/>
                <w:b w:val="false"/>
                <w:bCs w:val="false"/>
                <w:color w:val="auto"/>
                <w:kern w:val="0"/>
                <w:sz w:val="20"/>
                <w:szCs w:val="22"/>
                <w:lang w:val="en-GB" w:eastAsia="en-US" w:bidi="ar-SA"/>
              </w:rPr>
              <w:t>the</w:t>
            </w:r>
            <w:r>
              <w:rPr>
                <w:rFonts w:eastAsia="Calibri" w:cs="" w:ascii="Times New Roman" w:hAnsi="Times New Roman" w:cstheme="minorBidi" w:eastAsiaTheme="minorHAnsi"/>
                <w:b w:val="false"/>
                <w:bCs w:val="false"/>
                <w:color w:val="auto"/>
                <w:kern w:val="0"/>
                <w:sz w:val="20"/>
                <w:szCs w:val="22"/>
                <w:lang w:val="en-GB" w:eastAsia="en-US" w:bidi="ar-SA"/>
              </w:rPr>
              <w:t xml:space="preserve"> </w:t>
            </w:r>
            <w:r>
              <w:rPr>
                <w:rFonts w:eastAsia="Calibri" w:cs="" w:ascii="Times New Roman" w:hAnsi="Times New Roman" w:cstheme="minorBidi" w:eastAsiaTheme="minorHAnsi"/>
                <w:b w:val="false"/>
                <w:bCs w:val="false"/>
                <w:color w:val="auto"/>
                <w:kern w:val="0"/>
                <w:sz w:val="20"/>
                <w:szCs w:val="22"/>
                <w:lang w:val="en-GB" w:eastAsia="en-US" w:bidi="ar-SA"/>
              </w:rPr>
              <w:t>documentation</w:t>
            </w:r>
            <w:r>
              <w:rPr>
                <w:rFonts w:eastAsia="Calibri" w:cs="" w:ascii="Times New Roman" w:hAnsi="Times New Roman" w:cstheme="minorBidi" w:eastAsiaTheme="minorHAnsi"/>
                <w:b w:val="false"/>
                <w:bCs w:val="false"/>
                <w:color w:val="auto"/>
                <w:kern w:val="0"/>
                <w:sz w:val="20"/>
                <w:szCs w:val="22"/>
                <w:lang w:val="en-GB" w:eastAsia="en-US" w:bidi="ar-SA"/>
              </w:rPr>
              <w:t xml:space="preserve">. </w:t>
            </w:r>
          </w:p>
          <w:p>
            <w:pPr>
              <w:pStyle w:val="Normal"/>
              <w:spacing w:before="0" w:after="160"/>
              <w:jc w:val="left"/>
              <w:rPr>
                <w:rFonts w:ascii="Times New Roman" w:hAnsi="Times New Roman"/>
                <w:b/>
                <w:sz w:val="20"/>
              </w:rPr>
            </w:pPr>
            <w:r>
              <w:rPr>
                <w:rFonts w:eastAsia="Calibri" w:cs="" w:ascii="Times New Roman" w:hAnsi="Times New Roman" w:cstheme="minorBidi" w:eastAsiaTheme="minorHAnsi"/>
                <w:b w:val="false"/>
                <w:bCs w:val="false"/>
                <w:color w:val="auto"/>
                <w:kern w:val="0"/>
                <w:sz w:val="20"/>
                <w:szCs w:val="22"/>
                <w:lang w:val="en-GB" w:eastAsia="en-US" w:bidi="ar-SA"/>
              </w:rPr>
              <w:t xml:space="preserve">Bos et al. (2020) specify the </w:t>
            </w:r>
            <w:r>
              <w:rPr>
                <w:rFonts w:eastAsia="Calibri" w:cs="" w:ascii="Times New Roman" w:hAnsi="Times New Roman" w:cstheme="minorBidi" w:eastAsiaTheme="minorHAnsi"/>
                <w:b w:val="false"/>
                <w:bCs w:val="false"/>
                <w:color w:val="auto"/>
                <w:kern w:val="0"/>
                <w:sz w:val="20"/>
                <w:szCs w:val="22"/>
                <w:lang w:val="en-GB" w:eastAsia="en-US" w:bidi="ar-SA"/>
              </w:rPr>
              <w:t xml:space="preserve">calculation procedure and </w:t>
            </w:r>
            <w:r>
              <w:rPr>
                <w:rFonts w:eastAsia="Calibri" w:cs="" w:ascii="Times New Roman" w:hAnsi="Times New Roman" w:cstheme="minorBidi" w:eastAsiaTheme="minorHAnsi"/>
                <w:b w:val="false"/>
                <w:bCs w:val="false"/>
                <w:color w:val="auto"/>
                <w:kern w:val="0"/>
                <w:sz w:val="20"/>
                <w:szCs w:val="22"/>
                <w:lang w:val="en-GB" w:eastAsia="en-US" w:bidi="ar-SA"/>
              </w:rPr>
              <w:t xml:space="preserve">extend the documentation and the application of the sealing factor (no reference or explicative table). </w:t>
            </w:r>
          </w:p>
        </w:tc>
        <w:tc>
          <w:tcPr>
            <w:tcW w:w="1888" w:type="dxa"/>
            <w:tcBorders/>
          </w:tcPr>
          <w:p>
            <w:pPr>
              <w:pStyle w:val="Normal"/>
              <w:spacing w:before="0" w:after="160"/>
              <w:jc w:val="left"/>
              <w:rPr>
                <w:rFonts w:ascii="Times New Roman" w:hAnsi="Times New Roman"/>
                <w:sz w:val="20"/>
              </w:rPr>
            </w:pPr>
            <w:r>
              <w:rPr>
                <w:rFonts w:ascii="Times New Roman" w:hAnsi="Times New Roman"/>
                <w:sz w:val="20"/>
              </w:rPr>
            </w:r>
          </w:p>
        </w:tc>
        <w:tc>
          <w:tcPr>
            <w:tcW w:w="255" w:type="dxa"/>
            <w:tcBorders/>
          </w:tcPr>
          <w:p>
            <w:pPr>
              <w:pStyle w:val="Normal"/>
              <w:spacing w:before="0" w:after="160"/>
              <w:jc w:val="center"/>
              <w:rPr>
                <w:color w:val="C9211E"/>
                <w:vertAlign w:val="superscript"/>
              </w:rPr>
            </w:pPr>
            <w:r>
              <w:rPr>
                <w:rFonts w:ascii="Times New Roman" w:hAnsi="Times New Roman"/>
                <w:sz w:val="20"/>
              </w:rPr>
            </w:r>
          </w:p>
        </w:tc>
      </w:tr>
      <w:tr>
        <w:trPr/>
        <w:tc>
          <w:tcPr>
            <w:tcW w:w="1379" w:type="dxa"/>
            <w:tcBorders/>
          </w:tcPr>
          <w:p>
            <w:pPr>
              <w:pStyle w:val="Normal"/>
              <w:spacing w:before="0" w:after="160"/>
              <w:jc w:val="center"/>
              <w:rPr>
                <w:rFonts w:ascii="Times New Roman" w:hAnsi="Times New Roman"/>
                <w:sz w:val="20"/>
              </w:rPr>
            </w:pPr>
            <w:r>
              <w:rPr>
                <w:rFonts w:ascii="Times New Roman" w:hAnsi="Times New Roman"/>
                <w:sz w:val="20"/>
              </w:rPr>
              <w:t>Physicochemical filtration</w:t>
            </w:r>
          </w:p>
        </w:tc>
        <w:tc>
          <w:tcPr>
            <w:tcW w:w="2135" w:type="dxa"/>
            <w:tcBorders/>
          </w:tcPr>
          <w:p>
            <w:pPr>
              <w:pStyle w:val="Normal"/>
              <w:spacing w:before="0" w:after="160"/>
              <w:jc w:val="left"/>
              <w:rPr>
                <w:rFonts w:ascii="Times New Roman" w:hAnsi="Times New Roman"/>
                <w:sz w:val="20"/>
              </w:rPr>
            </w:pPr>
            <w:r>
              <w:rPr>
                <w:rFonts w:ascii="Times New Roman" w:hAnsi="Times New Roman"/>
                <w:sz w:val="20"/>
              </w:rPr>
              <w:t>Effective cation exchange capacity CEC</w:t>
            </w:r>
            <w:r>
              <w:rPr>
                <w:rFonts w:ascii="Times New Roman" w:hAnsi="Times New Roman"/>
                <w:position w:val="0"/>
                <w:sz w:val="20"/>
              </w:rPr>
              <w:t>eff</w:t>
            </w:r>
            <w:r>
              <w:rPr>
                <w:rFonts w:ascii="Times New Roman" w:hAnsi="Times New Roman"/>
                <w:sz w:val="20"/>
              </w:rPr>
              <w:t xml:space="preserve"> determination </w:t>
            </w:r>
            <w:r>
              <w:rPr>
                <w:rFonts w:ascii="Times New Roman" w:hAnsi="Times New Roman"/>
                <w:sz w:val="20"/>
              </w:rPr>
              <w:t>(</w:t>
            </w:r>
            <w:r>
              <w:rPr>
                <w:rFonts w:ascii="Times New Roman" w:hAnsi="Times New Roman"/>
                <w:sz w:val="20"/>
              </w:rPr>
              <w:t>Beck et al., 2010)</w:t>
            </w:r>
          </w:p>
        </w:tc>
        <w:tc>
          <w:tcPr>
            <w:tcW w:w="3692" w:type="dxa"/>
            <w:tcBorders/>
          </w:tcPr>
          <w:p>
            <w:pPr>
              <w:pStyle w:val="Normal"/>
              <w:spacing w:before="0" w:after="160"/>
              <w:jc w:val="left"/>
              <w:rPr>
                <w:rFonts w:ascii="Times New Roman" w:hAnsi="Times New Roman"/>
                <w:b/>
                <w:sz w:val="20"/>
              </w:rPr>
            </w:pPr>
            <w:r>
              <w:rPr>
                <w:rFonts w:eastAsia="Calibri" w:cs="" w:ascii="Times New Roman" w:hAnsi="Times New Roman" w:cstheme="minorBidi" w:eastAsiaTheme="minorHAnsi"/>
                <w:b w:val="false"/>
                <w:bCs w:val="false"/>
                <w:color w:val="auto"/>
                <w:kern w:val="0"/>
                <w:sz w:val="20"/>
                <w:szCs w:val="22"/>
                <w:lang w:val="en-GB" w:eastAsia="en-US" w:bidi="ar-SA"/>
              </w:rPr>
              <w:t xml:space="preserve">Bos et al. 2016 convert units from cmols/kg to mol/m2; </w:t>
            </w:r>
            <w:r>
              <w:rPr>
                <w:rFonts w:eastAsia="Calibri" w:cs="" w:ascii="Times New Roman" w:hAnsi="Times New Roman" w:cstheme="minorBidi" w:eastAsiaTheme="minorHAnsi"/>
                <w:b w:val="false"/>
                <w:bCs w:val="false"/>
                <w:color w:val="auto"/>
                <w:kern w:val="0"/>
                <w:sz w:val="20"/>
                <w:szCs w:val="22"/>
                <w:lang w:val="en-GB" w:eastAsia="en-US" w:bidi="ar-SA"/>
              </w:rPr>
              <w:t xml:space="preserve">Conversion of u.m. solved </w:t>
            </w:r>
            <w:r>
              <w:rPr>
                <w:rFonts w:eastAsia="Calibri" w:cs="" w:ascii="Times New Roman" w:hAnsi="Times New Roman" w:cstheme="minorBidi" w:eastAsiaTheme="minorHAnsi"/>
                <w:b w:val="false"/>
                <w:bCs w:val="false"/>
                <w:color w:val="auto"/>
                <w:kern w:val="0"/>
                <w:sz w:val="20"/>
                <w:szCs w:val="22"/>
                <w:lang w:val="en-GB" w:eastAsia="en-US" w:bidi="ar-SA"/>
              </w:rPr>
              <w:t>sealing factor is introduced</w:t>
            </w:r>
            <w:r>
              <w:rPr>
                <w:rFonts w:eastAsia="Calibri" w:cs="" w:ascii="Times New Roman" w:hAnsi="Times New Roman" w:cstheme="minorBidi" w:eastAsiaTheme="minorHAnsi"/>
                <w:b w:val="false"/>
                <w:bCs w:val="false"/>
                <w:color w:val="auto"/>
                <w:kern w:val="0"/>
                <w:sz w:val="20"/>
                <w:szCs w:val="22"/>
                <w:lang w:val="en-GB" w:eastAsia="en-US" w:bidi="ar-SA"/>
              </w:rPr>
              <w:t xml:space="preserve">. </w:t>
            </w:r>
            <w:r>
              <w:rPr>
                <w:rFonts w:eastAsia="Calibri" w:cs="" w:ascii="Times New Roman" w:hAnsi="Times New Roman" w:cstheme="minorBidi" w:eastAsiaTheme="minorHAnsi"/>
                <w:b w:val="false"/>
                <w:bCs w:val="false"/>
                <w:color w:val="auto"/>
                <w:kern w:val="0"/>
                <w:sz w:val="20"/>
                <w:szCs w:val="22"/>
                <w:lang w:val="en-GB" w:eastAsia="en-US" w:bidi="ar-SA"/>
              </w:rPr>
              <w:t>Bos et al. (2020) specif</w:t>
            </w:r>
            <w:r>
              <w:rPr>
                <w:rFonts w:eastAsia="Calibri" w:cs="" w:ascii="Times New Roman" w:hAnsi="Times New Roman" w:cstheme="minorBidi" w:eastAsiaTheme="minorHAnsi"/>
                <w:b w:val="false"/>
                <w:bCs w:val="false"/>
                <w:color w:val="auto"/>
                <w:kern w:val="0"/>
                <w:sz w:val="20"/>
                <w:szCs w:val="22"/>
                <w:lang w:val="en-GB" w:eastAsia="en-US" w:bidi="ar-SA"/>
              </w:rPr>
              <w:t>y</w:t>
            </w:r>
            <w:r>
              <w:rPr>
                <w:rFonts w:eastAsia="Calibri" w:cs="" w:ascii="Times New Roman" w:hAnsi="Times New Roman" w:cstheme="minorBidi" w:eastAsiaTheme="minorHAnsi"/>
                <w:b w:val="false"/>
                <w:bCs w:val="false"/>
                <w:color w:val="auto"/>
                <w:kern w:val="0"/>
                <w:sz w:val="20"/>
                <w:szCs w:val="22"/>
                <w:lang w:val="en-GB" w:eastAsia="en-US" w:bidi="ar-SA"/>
              </w:rPr>
              <w:t>/</w:t>
            </w:r>
            <w:r>
              <w:rPr>
                <w:rFonts w:eastAsia="Calibri" w:cs="" w:ascii="Times New Roman" w:hAnsi="Times New Roman" w:cstheme="minorBidi" w:eastAsiaTheme="minorHAnsi"/>
                <w:b w:val="false"/>
                <w:bCs w:val="false"/>
                <w:color w:val="auto"/>
                <w:kern w:val="0"/>
                <w:sz w:val="20"/>
                <w:szCs w:val="22"/>
                <w:lang w:val="en-GB" w:eastAsia="en-US" w:bidi="ar-SA"/>
              </w:rPr>
              <w:t>clarify</w:t>
            </w:r>
            <w:r>
              <w:rPr>
                <w:rFonts w:eastAsia="Calibri" w:cs="" w:ascii="Times New Roman" w:hAnsi="Times New Roman" w:cstheme="minorBidi" w:eastAsiaTheme="minorHAnsi"/>
                <w:b w:val="false"/>
                <w:bCs w:val="false"/>
                <w:color w:val="auto"/>
                <w:kern w:val="0"/>
                <w:sz w:val="20"/>
                <w:szCs w:val="22"/>
                <w:lang w:val="en-GB" w:eastAsia="en-US" w:bidi="ar-SA"/>
              </w:rPr>
              <w:t xml:space="preserve"> the </w:t>
            </w:r>
            <w:r>
              <w:rPr>
                <w:rFonts w:eastAsia="Calibri" w:cs="" w:ascii="Times New Roman" w:hAnsi="Times New Roman" w:cstheme="minorBidi" w:eastAsiaTheme="minorHAnsi"/>
                <w:b w:val="false"/>
                <w:bCs w:val="false"/>
                <w:color w:val="auto"/>
                <w:kern w:val="0"/>
                <w:sz w:val="20"/>
                <w:szCs w:val="22"/>
                <w:lang w:val="en-GB" w:eastAsia="en-US" w:bidi="ar-SA"/>
              </w:rPr>
              <w:t xml:space="preserve">calculation procedure, includes the reference depth </w:t>
            </w:r>
            <w:r>
              <w:rPr>
                <w:rFonts w:eastAsia="Calibri" w:cs="" w:ascii="Times New Roman" w:hAnsi="Times New Roman" w:cstheme="minorBidi" w:eastAsiaTheme="minorHAnsi"/>
                <w:b w:val="false"/>
                <w:bCs w:val="false"/>
                <w:color w:val="auto"/>
                <w:kern w:val="0"/>
                <w:sz w:val="20"/>
                <w:szCs w:val="22"/>
                <w:lang w:val="en-GB" w:eastAsia="en-US" w:bidi="ar-SA"/>
              </w:rPr>
              <w:t>for this indicator</w:t>
            </w:r>
            <w:r>
              <w:rPr>
                <w:rFonts w:eastAsia="Calibri" w:cs="" w:ascii="Times New Roman" w:hAnsi="Times New Roman" w:cstheme="minorBidi" w:eastAsiaTheme="minorHAnsi"/>
                <w:b w:val="false"/>
                <w:bCs w:val="false"/>
                <w:color w:val="auto"/>
                <w:kern w:val="0"/>
                <w:sz w:val="20"/>
                <w:szCs w:val="22"/>
                <w:lang w:val="en-GB" w:eastAsia="en-US" w:bidi="ar-SA"/>
              </w:rPr>
              <w:t xml:space="preserve">; </w:t>
            </w:r>
            <w:r>
              <w:rPr>
                <w:rFonts w:eastAsia="Calibri" w:cs="" w:ascii="Times New Roman" w:hAnsi="Times New Roman" w:cstheme="minorBidi" w:eastAsiaTheme="minorHAnsi"/>
                <w:b w:val="false"/>
                <w:bCs w:val="false"/>
                <w:color w:val="auto"/>
                <w:kern w:val="0"/>
                <w:sz w:val="20"/>
                <w:szCs w:val="22"/>
                <w:lang w:val="en-GB" w:eastAsia="en-US" w:bidi="ar-SA"/>
              </w:rPr>
              <w:t xml:space="preserve">the use of the sealing factor is extended </w:t>
            </w:r>
            <w:r>
              <w:rPr>
                <w:rFonts w:eastAsia="Calibri" w:cs="" w:ascii="Times New Roman" w:hAnsi="Times New Roman" w:cstheme="minorBidi" w:eastAsiaTheme="minorHAnsi"/>
                <w:b w:val="false"/>
                <w:bCs w:val="false"/>
                <w:color w:val="auto"/>
                <w:kern w:val="0"/>
                <w:sz w:val="20"/>
                <w:szCs w:val="22"/>
                <w:lang w:val="en-GB" w:eastAsia="en-US" w:bidi="ar-SA"/>
              </w:rPr>
              <w:t>(no reference or explicative table).</w:t>
            </w:r>
          </w:p>
        </w:tc>
        <w:tc>
          <w:tcPr>
            <w:tcW w:w="1888" w:type="dxa"/>
            <w:tcBorders/>
          </w:tcPr>
          <w:p>
            <w:pPr>
              <w:pStyle w:val="Normal"/>
              <w:spacing w:before="0" w:after="160"/>
              <w:jc w:val="left"/>
              <w:rPr>
                <w:rFonts w:ascii="Times New Roman" w:hAnsi="Times New Roman"/>
                <w:sz w:val="20"/>
              </w:rPr>
            </w:pPr>
            <w:r>
              <w:rPr>
                <w:rFonts w:ascii="Times New Roman" w:hAnsi="Times New Roman"/>
                <w:sz w:val="20"/>
              </w:rPr>
              <w:t>UNEP/SETAC Life Cycle Initiative (2021) specifies the main data sources for th</w:t>
            </w:r>
            <w:r>
              <w:rPr>
                <w:rFonts w:ascii="Times New Roman" w:hAnsi="Times New Roman"/>
                <w:sz w:val="20"/>
              </w:rPr>
              <w:t xml:space="preserve">e characterisation </w:t>
            </w:r>
            <w:r>
              <w:rPr>
                <w:rFonts w:ascii="Times New Roman" w:hAnsi="Times New Roman"/>
                <w:sz w:val="20"/>
              </w:rPr>
              <w:t>model</w:t>
            </w:r>
          </w:p>
        </w:tc>
        <w:tc>
          <w:tcPr>
            <w:tcW w:w="255" w:type="dxa"/>
            <w:tcBorders/>
          </w:tcPr>
          <w:p>
            <w:pPr>
              <w:pStyle w:val="Normal"/>
              <w:spacing w:before="0" w:after="160"/>
              <w:jc w:val="center"/>
              <w:rPr>
                <w:vertAlign w:val="superscript"/>
              </w:rPr>
            </w:pPr>
            <w:r>
              <w:rPr>
                <w:rFonts w:ascii="Times New Roman" w:hAnsi="Times New Roman"/>
                <w:sz w:val="20"/>
              </w:rPr>
            </w:r>
          </w:p>
        </w:tc>
      </w:tr>
      <w:tr>
        <w:trPr/>
        <w:tc>
          <w:tcPr>
            <w:tcW w:w="1379" w:type="dxa"/>
            <w:tcBorders/>
          </w:tcPr>
          <w:p>
            <w:pPr>
              <w:pStyle w:val="Normal"/>
              <w:spacing w:before="0" w:after="160"/>
              <w:jc w:val="center"/>
              <w:rPr>
                <w:rFonts w:ascii="Times New Roman" w:hAnsi="Times New Roman"/>
                <w:sz w:val="20"/>
              </w:rPr>
            </w:pPr>
            <w:r>
              <w:rPr>
                <w:rFonts w:ascii="Times New Roman" w:hAnsi="Times New Roman"/>
                <w:sz w:val="20"/>
              </w:rPr>
              <w:t>Groundwater regeneration</w:t>
            </w:r>
          </w:p>
        </w:tc>
        <w:tc>
          <w:tcPr>
            <w:tcW w:w="2135" w:type="dxa"/>
            <w:tcBorders/>
          </w:tcPr>
          <w:p>
            <w:pPr>
              <w:pStyle w:val="Normal"/>
              <w:spacing w:before="0" w:after="160"/>
              <w:jc w:val="left"/>
              <w:rPr>
                <w:rFonts w:ascii="Times New Roman" w:hAnsi="Times New Roman"/>
                <w:sz w:val="20"/>
              </w:rPr>
            </w:pPr>
            <w:r>
              <w:rPr>
                <w:rFonts w:ascii="Times New Roman" w:hAnsi="Times New Roman"/>
                <w:sz w:val="20"/>
              </w:rPr>
              <w:t xml:space="preserve">Hydrogeologic balance </w:t>
            </w:r>
            <w:r>
              <w:rPr>
                <w:rFonts w:ascii="Times New Roman" w:hAnsi="Times New Roman"/>
                <w:sz w:val="20"/>
              </w:rPr>
              <w:t>(</w:t>
            </w:r>
            <w:r>
              <w:rPr>
                <w:rFonts w:ascii="Times New Roman" w:hAnsi="Times New Roman"/>
                <w:sz w:val="20"/>
              </w:rPr>
              <w:t>Bos et al. 2016)</w:t>
            </w:r>
          </w:p>
        </w:tc>
        <w:tc>
          <w:tcPr>
            <w:tcW w:w="3692" w:type="dxa"/>
            <w:tcBorders/>
          </w:tcPr>
          <w:p>
            <w:pPr>
              <w:pStyle w:val="Normal"/>
              <w:spacing w:before="0" w:after="160"/>
              <w:jc w:val="left"/>
              <w:rPr>
                <w:rFonts w:ascii="Times New Roman" w:hAnsi="Times New Roman"/>
                <w:b/>
                <w:sz w:val="20"/>
              </w:rPr>
            </w:pPr>
            <w:r>
              <w:rPr>
                <w:rFonts w:eastAsia="Calibri" w:cs="" w:ascii="Times New Roman" w:hAnsi="Times New Roman" w:cstheme="minorBidi" w:eastAsiaTheme="minorHAnsi"/>
                <w:b w:val="false"/>
                <w:bCs w:val="false"/>
                <w:color w:val="auto"/>
                <w:kern w:val="0"/>
                <w:sz w:val="20"/>
                <w:szCs w:val="22"/>
                <w:lang w:val="en-GB" w:eastAsia="en-US" w:bidi="ar-SA"/>
              </w:rPr>
              <w:t xml:space="preserve">Bos et al. (2020) </w:t>
            </w:r>
            <w:r>
              <w:rPr>
                <w:rFonts w:eastAsia="Calibri" w:cs="" w:ascii="Times New Roman" w:hAnsi="Times New Roman" w:cstheme="minorBidi" w:eastAsiaTheme="minorHAnsi"/>
                <w:b w:val="false"/>
                <w:bCs w:val="false"/>
                <w:color w:val="auto"/>
                <w:kern w:val="0"/>
                <w:sz w:val="20"/>
                <w:szCs w:val="22"/>
                <w:lang w:val="en-GB" w:eastAsia="en-US" w:bidi="ar-SA"/>
              </w:rPr>
              <w:t xml:space="preserve">slightly modify the hydrological balance equation; </w:t>
            </w:r>
            <w:r>
              <w:rPr>
                <w:rFonts w:eastAsia="Calibri" w:cs="" w:ascii="Times New Roman" w:hAnsi="Times New Roman" w:cstheme="minorBidi" w:eastAsiaTheme="minorHAnsi"/>
                <w:b w:val="false"/>
                <w:bCs w:val="false"/>
                <w:color w:val="auto"/>
                <w:kern w:val="0"/>
                <w:sz w:val="20"/>
                <w:szCs w:val="22"/>
                <w:lang w:val="en-GB" w:eastAsia="en-US" w:bidi="ar-SA"/>
              </w:rPr>
              <w:t xml:space="preserve">range of validity is discussed.  </w:t>
            </w:r>
          </w:p>
        </w:tc>
        <w:tc>
          <w:tcPr>
            <w:tcW w:w="1888" w:type="dxa"/>
            <w:tcBorders/>
          </w:tcPr>
          <w:p>
            <w:pPr>
              <w:pStyle w:val="Normal"/>
              <w:spacing w:before="0" w:after="160"/>
              <w:jc w:val="left"/>
              <w:rPr>
                <w:rFonts w:ascii="Times New Roman" w:hAnsi="Times New Roman"/>
                <w:sz w:val="20"/>
              </w:rPr>
            </w:pPr>
            <w:r>
              <w:rPr>
                <w:rFonts w:ascii="Times New Roman" w:hAnsi="Times New Roman"/>
                <w:sz w:val="20"/>
              </w:rPr>
              <w:t xml:space="preserve">UNEP/SETAC Life Cycle Initiative (2021) specifies </w:t>
            </w:r>
            <w:r>
              <w:rPr>
                <w:rFonts w:ascii="Times New Roman" w:hAnsi="Times New Roman"/>
                <w:sz w:val="20"/>
              </w:rPr>
              <w:t>some</w:t>
            </w:r>
            <w:r>
              <w:rPr>
                <w:rFonts w:ascii="Times New Roman" w:hAnsi="Times New Roman"/>
                <w:sz w:val="20"/>
              </w:rPr>
              <w:t xml:space="preserve"> data sources for th</w:t>
            </w:r>
            <w:r>
              <w:rPr>
                <w:rFonts w:ascii="Times New Roman" w:hAnsi="Times New Roman"/>
                <w:sz w:val="20"/>
              </w:rPr>
              <w:t xml:space="preserve">e characterisation </w:t>
            </w:r>
            <w:r>
              <w:rPr>
                <w:rFonts w:ascii="Times New Roman" w:hAnsi="Times New Roman"/>
                <w:sz w:val="20"/>
              </w:rPr>
              <w:t>model</w:t>
            </w:r>
          </w:p>
        </w:tc>
        <w:tc>
          <w:tcPr>
            <w:tcW w:w="255" w:type="dxa"/>
            <w:tcBorders/>
          </w:tcPr>
          <w:p>
            <w:pPr>
              <w:pStyle w:val="Normal"/>
              <w:spacing w:before="0" w:after="160"/>
              <w:jc w:val="center"/>
              <w:rPr>
                <w:color w:val="C9211E"/>
                <w:vertAlign w:val="superscript"/>
              </w:rPr>
            </w:pPr>
            <w:r>
              <w:rPr>
                <w:rFonts w:ascii="Times New Roman" w:hAnsi="Times New Roman"/>
                <w:sz w:val="20"/>
              </w:rPr>
            </w:r>
          </w:p>
        </w:tc>
      </w:tr>
      <w:tr>
        <w:trPr/>
        <w:tc>
          <w:tcPr>
            <w:tcW w:w="1379" w:type="dxa"/>
            <w:tcBorders/>
          </w:tcPr>
          <w:p>
            <w:pPr>
              <w:pStyle w:val="Normal"/>
              <w:spacing w:before="0" w:after="160"/>
              <w:jc w:val="center"/>
              <w:rPr>
                <w:rFonts w:ascii="Times New Roman" w:hAnsi="Times New Roman"/>
                <w:sz w:val="20"/>
              </w:rPr>
            </w:pPr>
            <w:r>
              <w:rPr>
                <w:rFonts w:ascii="Times New Roman" w:hAnsi="Times New Roman"/>
                <w:sz w:val="20"/>
              </w:rPr>
              <w:t>Biotic production</w:t>
            </w:r>
          </w:p>
        </w:tc>
        <w:tc>
          <w:tcPr>
            <w:tcW w:w="2135" w:type="dxa"/>
            <w:tcBorders/>
          </w:tcPr>
          <w:p>
            <w:pPr>
              <w:pStyle w:val="Normal"/>
              <w:spacing w:before="0" w:after="160"/>
              <w:jc w:val="left"/>
              <w:rPr>
                <w:rFonts w:ascii="Times New Roman" w:hAnsi="Times New Roman"/>
                <w:sz w:val="20"/>
              </w:rPr>
            </w:pPr>
            <w:r>
              <w:rPr>
                <w:rFonts w:ascii="Times New Roman" w:hAnsi="Times New Roman"/>
                <w:sz w:val="20"/>
              </w:rPr>
              <w:t>biotic production</w:t>
            </w:r>
            <w:r>
              <w:rPr>
                <w:rFonts w:ascii="Times New Roman" w:hAnsi="Times New Roman"/>
                <w:sz w:val="20"/>
              </w:rPr>
              <w:t xml:space="preserve"> </w:t>
            </w:r>
            <w:r>
              <w:rPr>
                <w:rFonts w:ascii="Times New Roman" w:hAnsi="Times New Roman"/>
                <w:sz w:val="20"/>
              </w:rPr>
              <w:t>(</w:t>
            </w:r>
            <w:r>
              <w:rPr>
                <w:rFonts w:ascii="Times New Roman" w:hAnsi="Times New Roman"/>
                <w:sz w:val="20"/>
              </w:rPr>
              <w:t>Beck et al., 2010)</w:t>
            </w:r>
          </w:p>
        </w:tc>
        <w:tc>
          <w:tcPr>
            <w:tcW w:w="3692" w:type="dxa"/>
            <w:tcBorders/>
          </w:tcPr>
          <w:p>
            <w:pPr>
              <w:pStyle w:val="Normal"/>
              <w:spacing w:before="0" w:after="160"/>
              <w:jc w:val="left"/>
              <w:rPr>
                <w:rFonts w:ascii="Times New Roman" w:hAnsi="Times New Roman"/>
                <w:sz w:val="20"/>
              </w:rPr>
            </w:pPr>
            <w:r>
              <w:rPr>
                <w:rFonts w:ascii="Times New Roman" w:hAnsi="Times New Roman"/>
                <w:sz w:val="20"/>
              </w:rPr>
              <w:t xml:space="preserve">Bos et al. (2020):  Since Beck et al. (2010)  </w:t>
            </w:r>
            <w:r>
              <w:rPr>
                <w:rFonts w:ascii="Times New Roman" w:hAnsi="Times New Roman"/>
                <w:sz w:val="20"/>
              </w:rPr>
              <w:t>It mention a</w:t>
            </w:r>
            <w:r>
              <w:rPr>
                <w:rFonts w:ascii="Times New Roman" w:hAnsi="Times New Roman"/>
                <w:sz w:val="20"/>
              </w:rPr>
              <w:t>djust</w:t>
            </w:r>
            <w:r>
              <w:rPr>
                <w:rFonts w:ascii="Times New Roman" w:hAnsi="Times New Roman"/>
                <w:sz w:val="20"/>
              </w:rPr>
              <w:t>ment with regard to the land use types adopted  Product Environmental Footprint (PEF) methodology (no formal procedure is shown)</w:t>
            </w:r>
          </w:p>
        </w:tc>
        <w:tc>
          <w:tcPr>
            <w:tcW w:w="1888" w:type="dxa"/>
            <w:tcBorders/>
          </w:tcPr>
          <w:p>
            <w:pPr>
              <w:pStyle w:val="Normal"/>
              <w:spacing w:before="0" w:after="160"/>
              <w:jc w:val="left"/>
              <w:rPr>
                <w:rFonts w:ascii="Times New Roman" w:hAnsi="Times New Roman"/>
                <w:sz w:val="20"/>
              </w:rPr>
            </w:pPr>
            <w:r>
              <w:rPr>
                <w:rFonts w:ascii="Times New Roman" w:hAnsi="Times New Roman"/>
                <w:sz w:val="20"/>
              </w:rPr>
              <w:t>UNEP/SETAC Life Cycle Initiative (2021) specifies data sources for th</w:t>
            </w:r>
            <w:r>
              <w:rPr>
                <w:rFonts w:ascii="Times New Roman" w:hAnsi="Times New Roman"/>
                <w:sz w:val="20"/>
              </w:rPr>
              <w:t xml:space="preserve">e characterisation </w:t>
            </w:r>
            <w:r>
              <w:rPr>
                <w:rFonts w:ascii="Times New Roman" w:hAnsi="Times New Roman"/>
                <w:sz w:val="20"/>
              </w:rPr>
              <w:t>model</w:t>
            </w:r>
          </w:p>
        </w:tc>
        <w:tc>
          <w:tcPr>
            <w:tcW w:w="255" w:type="dxa"/>
            <w:tcBorders/>
          </w:tcPr>
          <w:p>
            <w:pPr>
              <w:pStyle w:val="Normal"/>
              <w:spacing w:before="0" w:after="160"/>
              <w:jc w:val="center"/>
              <w:rPr>
                <w:color w:val="C9211E"/>
                <w:vertAlign w:val="superscript"/>
              </w:rPr>
            </w:pPr>
            <w:r>
              <w:rPr>
                <w:rFonts w:ascii="Times New Roman" w:hAnsi="Times New Roman"/>
                <w:sz w:val="20"/>
              </w:rPr>
            </w:r>
          </w:p>
        </w:tc>
      </w:tr>
    </w:tbl>
    <w:p>
      <w:pPr>
        <w:pStyle w:val="Normal"/>
        <w:widowControl/>
        <w:bidi w:val="0"/>
        <w:spacing w:lineRule="auto" w:line="360" w:before="0" w:after="160"/>
        <w:jc w:val="left"/>
        <w:rPr>
          <w:rFonts w:ascii="Times New Roman" w:hAnsi="Times New Roman"/>
          <w:sz w:val="20"/>
        </w:rPr>
      </w:pPr>
      <w:r>
        <w:rPr>
          <w:rFonts w:ascii="Times New Roman" w:hAnsi="Times New Roman"/>
          <w:sz w:val="20"/>
        </w:rPr>
      </w:r>
    </w:p>
    <w:sectPr>
      <w:footnotePr>
        <w:numFmt w:val="decimal"/>
      </w:footnotePr>
      <w:type w:val="nextPage"/>
      <w:pgSz w:w="11906" w:h="16838"/>
      <w:pgMar w:left="1134" w:right="1134" w:gutter="0" w:header="0" w:top="1417"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Calibri Light">
    <w:charset w:val="01"/>
    <w:family w:val="roman"/>
    <w:pitch w:val="variable"/>
  </w:font>
  <w:font w:name="Segoe UI">
    <w:charset w:val="01"/>
    <w:family w:val="roman"/>
    <w:pitch w:val="variable"/>
  </w:font>
  <w:font w:name="Times New Roman">
    <w:charset w:val="01"/>
    <w:family w:val="roman"/>
    <w:pitch w:val="variable"/>
  </w:font>
  <w:font w:name="Liberation Sans">
    <w:altName w:val="Arial"/>
    <w:charset w:val="01"/>
    <w:family w:val="roman"/>
    <w:pitch w:val="variable"/>
  </w:font>
  <w:font w:name="Calibri">
    <w:charset w:val="01"/>
    <w:family w:val="swiss"/>
    <w:pitch w:val="variable"/>
  </w:font>
  <w:font w:name="Segoe UI Symbol">
    <w:charset w:val="01"/>
    <w:family w:val="roman"/>
    <w:pitch w:val="variable"/>
  </w:font>
  <w:font w:name="Times New Roman">
    <w:charset w:val="01"/>
    <w:family w:val="auto"/>
    <w:pitch w:val="default"/>
  </w:font>
  <w:font w:name="Symbol">
    <w:charset w:val="02"/>
    <w:family w:val="auto"/>
    <w:pitch w:val="variable"/>
  </w:font>
  <w:font w:name="Courier New">
    <w:charset w:val="01"/>
    <w:family w:val="auto"/>
    <w:pitch w:val="variable"/>
  </w:font>
  <w:font w:name="Wingdings">
    <w:charset w:val="02"/>
    <w:family w:val="auto"/>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Footnote"/>
        <w:suppressLineNumbers/>
        <w:spacing w:before="0" w:after="160"/>
        <w:ind w:left="340" w:hanging="340"/>
        <w:rPr/>
      </w:pPr>
      <w:r>
        <w:rPr>
          <w:rStyle w:val="FootnoteCharacters"/>
        </w:rPr>
        <w:footnoteRef/>
      </w:r>
      <w:r>
        <w:rPr/>
        <w:tab/>
        <w:t>https://www.arpae.it/it/temi-ambientali/meteo/dati-e-osservazioni/rete-di-monitoraggio-idrometeorologica</w:t>
      </w:r>
    </w:p>
  </w:footnote>
  <w:footnote w:id="3">
    <w:p>
      <w:pPr>
        <w:pStyle w:val="Footnote"/>
        <w:spacing w:before="0" w:after="160"/>
        <w:rPr>
          <w:sz w:val="16"/>
          <w:szCs w:val="16"/>
        </w:rPr>
      </w:pPr>
      <w:r>
        <w:rPr>
          <w:rStyle w:val="FootnoteCharacters"/>
        </w:rPr>
        <w:footnoteRef/>
      </w:r>
      <w:r>
        <w:rPr>
          <w:sz w:val="16"/>
          <w:szCs w:val="16"/>
        </w:rPr>
        <w:tab/>
        <w:t>E.g. Thoumaseau (2019)  assumed that very fine sand was 20% of the sand percentage</w:t>
      </w:r>
    </w:p>
  </w:footnote>
  <w:footnote w:id="4">
    <w:p>
      <w:pPr>
        <w:pStyle w:val="Footnote"/>
        <w:suppressLineNumbers/>
        <w:spacing w:before="0" w:after="160"/>
        <w:ind w:left="340" w:hanging="340"/>
        <w:rPr/>
      </w:pPr>
      <w:r>
        <w:rPr>
          <w:rStyle w:val="FootnoteCharacters"/>
        </w:rPr>
        <w:footnoteRef/>
      </w:r>
      <w:r>
        <w:rPr/>
        <w:tab/>
        <w:t>Bos, U., Horn, R., Maier, S., Beck, T., 2016b. LANCA® - Characterization Factors for Life Cycle Impact Assessment, Version 2.3. November 2016. Available at: http://ibp- gabi.de/files/lanca_characterisation_factors_v2-3.pdf.</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decimal"/>
      <w:lvlText w:val="%1"/>
      <w:lvlJc w:val="left"/>
      <w:pPr>
        <w:tabs>
          <w:tab w:val="num" w:pos="0"/>
        </w:tabs>
        <w:ind w:left="432" w:hanging="432"/>
      </w:pPr>
    </w:lvl>
    <w:lvl w:ilvl="1">
      <w:start w:val="1"/>
      <w:pStyle w:val="Heading2"/>
      <w:numFmt w:val="decimal"/>
      <w:lvlText w:val="%1.%2"/>
      <w:lvlJc w:val="left"/>
      <w:pPr>
        <w:tabs>
          <w:tab w:val="num" w:pos="0"/>
        </w:tabs>
        <w:ind w:left="576" w:hanging="576"/>
      </w:pPr>
    </w:lvl>
    <w:lvl w:ilvl="2">
      <w:start w:val="1"/>
      <w:pStyle w:val="Heading3"/>
      <w:numFmt w:val="decimal"/>
      <w:lvlText w:val="%1.%2.%3"/>
      <w:lvlJc w:val="left"/>
      <w:pPr>
        <w:tabs>
          <w:tab w:val="num" w:pos="0"/>
        </w:tabs>
        <w:ind w:left="720" w:hanging="720"/>
      </w:pPr>
    </w:lvl>
    <w:lvl w:ilvl="3">
      <w:start w:val="1"/>
      <w:pStyle w:val="Heading4"/>
      <w:numFmt w:val="decimal"/>
      <w:lvlText w:val="%1.%2.%3.%4"/>
      <w:lvlJc w:val="left"/>
      <w:pPr>
        <w:tabs>
          <w:tab w:val="num" w:pos="0"/>
        </w:tabs>
        <w:ind w:left="864" w:hanging="864"/>
      </w:pPr>
    </w:lvl>
    <w:lvl w:ilvl="4">
      <w:start w:val="1"/>
      <w:pStyle w:val="Heading5"/>
      <w:numFmt w:val="decimal"/>
      <w:lvlText w:val="%1.%2.%3.%4.%5"/>
      <w:lvlJc w:val="left"/>
      <w:pPr>
        <w:tabs>
          <w:tab w:val="num" w:pos="0"/>
        </w:tabs>
        <w:ind w:left="1008" w:hanging="1008"/>
      </w:pPr>
    </w:lvl>
    <w:lvl w:ilvl="5">
      <w:start w:val="1"/>
      <w:pStyle w:val="Heading6"/>
      <w:numFmt w:val="decimal"/>
      <w:lvlText w:val="%1.%2.%3.%4.%5.%6"/>
      <w:lvlJc w:val="left"/>
      <w:pPr>
        <w:tabs>
          <w:tab w:val="num" w:pos="0"/>
        </w:tabs>
        <w:ind w:left="1152" w:hanging="1152"/>
      </w:pPr>
    </w:lvl>
    <w:lvl w:ilvl="6">
      <w:start w:val="1"/>
      <w:pStyle w:val="Heading7"/>
      <w:numFmt w:val="decimal"/>
      <w:lvlText w:val="%1.%2.%3.%4.%5.%6.%7"/>
      <w:lvlJc w:val="left"/>
      <w:pPr>
        <w:tabs>
          <w:tab w:val="num" w:pos="0"/>
        </w:tabs>
        <w:ind w:left="1296" w:hanging="1296"/>
      </w:pPr>
    </w:lvl>
    <w:lvl w:ilvl="7">
      <w:start w:val="1"/>
      <w:pStyle w:val="Heading8"/>
      <w:numFmt w:val="decimal"/>
      <w:lvlText w:val="%1.%2.%3.%4.%5.%6.%7.%8"/>
      <w:lvlJc w:val="left"/>
      <w:pPr>
        <w:tabs>
          <w:tab w:val="num" w:pos="0"/>
        </w:tabs>
        <w:ind w:left="1440" w:hanging="1440"/>
      </w:pPr>
    </w:lvl>
    <w:lvl w:ilvl="8">
      <w:start w:val="1"/>
      <w:pStyle w:val="Heading9"/>
      <w:numFmt w:val="decimal"/>
      <w:lvlText w:val="%1.%2.%3.%4.%5.%6.%7.%8.%9"/>
      <w:lvlJc w:val="left"/>
      <w:pPr>
        <w:tabs>
          <w:tab w:val="num" w:pos="0"/>
        </w:tabs>
        <w:ind w:left="1584" w:hanging="1584"/>
      </w:p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lvl w:ilvl="0">
      <w:start w:val="1"/>
      <w:numFmt w:val="bullet"/>
      <w:lvlText w:val="-"/>
      <w:lvlJc w:val="left"/>
      <w:pPr>
        <w:tabs>
          <w:tab w:val="num" w:pos="0"/>
        </w:tabs>
        <w:ind w:left="720" w:hanging="360"/>
      </w:pPr>
      <w:rPr>
        <w:rFonts w:ascii="Courier New" w:hAnsi="Courier New" w:cs="Courier New" w:hint="default"/>
      </w:rPr>
    </w:lvl>
    <w:lvl w:ilvl="1">
      <w:start w:val="1"/>
      <w:numFmt w:val="bullet"/>
      <w:lvlText w:val=""/>
      <w:lvlJc w:val="left"/>
      <w:pPr>
        <w:tabs>
          <w:tab w:val="num" w:pos="0"/>
        </w:tabs>
        <w:ind w:left="1440" w:hanging="360"/>
      </w:pPr>
      <w:rPr>
        <w:rFonts w:ascii="Symbol" w:hAnsi="Symbol" w:cs="Symbol"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95"/>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it-IT" w:eastAsia="en-US" w:bidi="ar-SA"/>
      </w:rPr>
    </w:rPrDefault>
    <w:pPrDefault>
      <w:pPr>
        <w:suppressAutoHyphens w:val="true"/>
      </w:pPr>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n-GB" w:eastAsia="en-US" w:bidi="ar-SA"/>
    </w:rPr>
  </w:style>
  <w:style w:type="paragraph" w:styleId="Heading1">
    <w:name w:val="Heading 1"/>
    <w:basedOn w:val="Normal"/>
    <w:next w:val="Normal"/>
    <w:link w:val="Titolo1Carattere"/>
    <w:uiPriority w:val="9"/>
    <w:qFormat/>
    <w:rsid w:val="00a93364"/>
    <w:pPr>
      <w:keepNext w:val="true"/>
      <w:keepLines/>
      <w:numPr>
        <w:ilvl w:val="0"/>
        <w:numId w:val="1"/>
      </w:numPr>
      <w:spacing w:before="240" w:after="0"/>
      <w:outlineLvl w:val="0"/>
    </w:pPr>
    <w:rPr>
      <w:rFonts w:ascii="Calibri Light" w:hAnsi="Calibri Light" w:eastAsia="" w:cs="" w:asciiTheme="majorHAnsi" w:cstheme="majorBidi" w:eastAsiaTheme="majorEastAsia" w:hAnsiTheme="majorHAnsi"/>
      <w:color w:val="2F5496" w:themeColor="accent1" w:themeShade="bf"/>
      <w:sz w:val="32"/>
      <w:szCs w:val="32"/>
    </w:rPr>
  </w:style>
  <w:style w:type="paragraph" w:styleId="Heading2">
    <w:name w:val="Heading 2"/>
    <w:basedOn w:val="Normal"/>
    <w:next w:val="Normal"/>
    <w:link w:val="Titolo2Carattere"/>
    <w:uiPriority w:val="9"/>
    <w:unhideWhenUsed/>
    <w:qFormat/>
    <w:rsid w:val="00a93364"/>
    <w:pPr>
      <w:keepNext w:val="true"/>
      <w:keepLines/>
      <w:numPr>
        <w:ilvl w:val="1"/>
        <w:numId w:val="1"/>
      </w:numPr>
      <w:spacing w:before="40" w:after="0"/>
      <w:outlineLvl w:val="1"/>
    </w:pPr>
    <w:rPr>
      <w:rFonts w:ascii="Calibri Light" w:hAnsi="Calibri Light" w:eastAsia="" w:cs="" w:asciiTheme="majorHAnsi" w:cstheme="majorBidi" w:eastAsiaTheme="majorEastAsia" w:hAnsiTheme="majorHAnsi"/>
      <w:color w:val="2F5496" w:themeColor="accent1" w:themeShade="bf"/>
      <w:sz w:val="26"/>
      <w:szCs w:val="26"/>
    </w:rPr>
  </w:style>
  <w:style w:type="paragraph" w:styleId="Heading3">
    <w:name w:val="Heading 3"/>
    <w:basedOn w:val="Normal"/>
    <w:next w:val="Normal"/>
    <w:link w:val="Titolo3Carattere"/>
    <w:uiPriority w:val="9"/>
    <w:unhideWhenUsed/>
    <w:qFormat/>
    <w:rsid w:val="00a93364"/>
    <w:pPr>
      <w:keepNext w:val="true"/>
      <w:keepLines/>
      <w:numPr>
        <w:ilvl w:val="2"/>
        <w:numId w:val="1"/>
      </w:numPr>
      <w:spacing w:before="40" w:after="0"/>
      <w:outlineLvl w:val="2"/>
    </w:pPr>
    <w:rPr>
      <w:rFonts w:ascii="Calibri Light" w:hAnsi="Calibri Light" w:eastAsia="" w:cs="" w:asciiTheme="majorHAnsi" w:cstheme="majorBidi" w:eastAsiaTheme="majorEastAsia" w:hAnsiTheme="majorHAnsi"/>
      <w:color w:val="1F3763" w:themeColor="accent1" w:themeShade="7f"/>
      <w:sz w:val="24"/>
      <w:szCs w:val="24"/>
    </w:rPr>
  </w:style>
  <w:style w:type="paragraph" w:styleId="Heading4">
    <w:name w:val="Heading 4"/>
    <w:basedOn w:val="Normal"/>
    <w:next w:val="Normal"/>
    <w:link w:val="Titolo4Carattere"/>
    <w:uiPriority w:val="9"/>
    <w:unhideWhenUsed/>
    <w:qFormat/>
    <w:rsid w:val="00a93364"/>
    <w:pPr>
      <w:keepNext w:val="true"/>
      <w:keepLines/>
      <w:numPr>
        <w:ilvl w:val="3"/>
        <w:numId w:val="1"/>
      </w:numPr>
      <w:spacing w:before="40" w:after="0"/>
      <w:outlineLvl w:val="3"/>
    </w:pPr>
    <w:rPr>
      <w:rFonts w:ascii="Calibri Light" w:hAnsi="Calibri Light" w:eastAsia="" w:cs="" w:asciiTheme="majorHAnsi" w:cstheme="majorBidi" w:eastAsiaTheme="majorEastAsia" w:hAnsiTheme="majorHAnsi"/>
      <w:i/>
      <w:iCs/>
      <w:color w:val="2F5496" w:themeColor="accent1" w:themeShade="bf"/>
    </w:rPr>
  </w:style>
  <w:style w:type="paragraph" w:styleId="Heading5">
    <w:name w:val="Heading 5"/>
    <w:basedOn w:val="Normal"/>
    <w:next w:val="Normal"/>
    <w:link w:val="Titolo5Carattere"/>
    <w:uiPriority w:val="9"/>
    <w:unhideWhenUsed/>
    <w:qFormat/>
    <w:rsid w:val="00a93364"/>
    <w:pPr>
      <w:keepNext w:val="true"/>
      <w:keepLines/>
      <w:numPr>
        <w:ilvl w:val="4"/>
        <w:numId w:val="1"/>
      </w:numPr>
      <w:spacing w:before="40" w:after="0"/>
      <w:outlineLvl w:val="4"/>
    </w:pPr>
    <w:rPr>
      <w:rFonts w:ascii="Calibri Light" w:hAnsi="Calibri Light" w:eastAsia="" w:cs="" w:asciiTheme="majorHAnsi" w:cstheme="majorBidi" w:eastAsiaTheme="majorEastAsia" w:hAnsiTheme="majorHAnsi"/>
      <w:color w:val="2F5496" w:themeColor="accent1" w:themeShade="bf"/>
    </w:rPr>
  </w:style>
  <w:style w:type="paragraph" w:styleId="Heading6">
    <w:name w:val="Heading 6"/>
    <w:basedOn w:val="Normal"/>
    <w:next w:val="Normal"/>
    <w:link w:val="Titolo6Carattere"/>
    <w:uiPriority w:val="9"/>
    <w:unhideWhenUsed/>
    <w:qFormat/>
    <w:rsid w:val="00a93364"/>
    <w:pPr>
      <w:keepNext w:val="true"/>
      <w:keepLines/>
      <w:numPr>
        <w:ilvl w:val="5"/>
        <w:numId w:val="1"/>
      </w:numPr>
      <w:spacing w:before="40" w:after="0"/>
      <w:outlineLvl w:val="5"/>
    </w:pPr>
    <w:rPr>
      <w:rFonts w:ascii="Calibri Light" w:hAnsi="Calibri Light" w:eastAsia="" w:cs="" w:asciiTheme="majorHAnsi" w:cstheme="majorBidi" w:eastAsiaTheme="majorEastAsia" w:hAnsiTheme="majorHAnsi"/>
      <w:color w:val="1F3763" w:themeColor="accent1" w:themeShade="7f"/>
    </w:rPr>
  </w:style>
  <w:style w:type="paragraph" w:styleId="Heading7">
    <w:name w:val="Heading 7"/>
    <w:basedOn w:val="Normal"/>
    <w:next w:val="Normal"/>
    <w:link w:val="Titolo7Carattere"/>
    <w:uiPriority w:val="9"/>
    <w:semiHidden/>
    <w:unhideWhenUsed/>
    <w:qFormat/>
    <w:rsid w:val="00a93364"/>
    <w:pPr>
      <w:keepNext w:val="true"/>
      <w:keepLines/>
      <w:numPr>
        <w:ilvl w:val="6"/>
        <w:numId w:val="1"/>
      </w:numPr>
      <w:spacing w:before="40" w:after="0"/>
      <w:outlineLvl w:val="6"/>
    </w:pPr>
    <w:rPr>
      <w:rFonts w:ascii="Calibri Light" w:hAnsi="Calibri Light" w:eastAsia="" w:cs="" w:asciiTheme="majorHAnsi" w:cstheme="majorBidi" w:eastAsiaTheme="majorEastAsia" w:hAnsiTheme="majorHAnsi"/>
      <w:i/>
      <w:iCs/>
      <w:color w:val="1F3763" w:themeColor="accent1" w:themeShade="7f"/>
    </w:rPr>
  </w:style>
  <w:style w:type="paragraph" w:styleId="Heading8">
    <w:name w:val="Heading 8"/>
    <w:basedOn w:val="Normal"/>
    <w:next w:val="Normal"/>
    <w:link w:val="Titolo8Carattere"/>
    <w:uiPriority w:val="9"/>
    <w:semiHidden/>
    <w:unhideWhenUsed/>
    <w:qFormat/>
    <w:rsid w:val="00a93364"/>
    <w:pPr>
      <w:keepNext w:val="true"/>
      <w:keepLines/>
      <w:numPr>
        <w:ilvl w:val="7"/>
        <w:numId w:val="1"/>
      </w:numPr>
      <w:spacing w:before="40" w:after="0"/>
      <w:outlineLvl w:val="7"/>
    </w:pPr>
    <w:rPr>
      <w:rFonts w:ascii="Calibri Light" w:hAnsi="Calibri Light" w:eastAsia="" w:cs="" w:asciiTheme="majorHAnsi" w:cstheme="majorBidi" w:eastAsiaTheme="majorEastAsia" w:hAnsiTheme="majorHAnsi"/>
      <w:color w:val="272727" w:themeColor="text1" w:themeTint="d8"/>
      <w:sz w:val="21"/>
      <w:szCs w:val="21"/>
    </w:rPr>
  </w:style>
  <w:style w:type="paragraph" w:styleId="Heading9">
    <w:name w:val="Heading 9"/>
    <w:basedOn w:val="Normal"/>
    <w:next w:val="Normal"/>
    <w:link w:val="Titolo9Carattere"/>
    <w:uiPriority w:val="9"/>
    <w:semiHidden/>
    <w:unhideWhenUsed/>
    <w:qFormat/>
    <w:rsid w:val="00a93364"/>
    <w:pPr>
      <w:keepNext w:val="true"/>
      <w:keepLines/>
      <w:numPr>
        <w:ilvl w:val="8"/>
        <w:numId w:val="1"/>
      </w:numPr>
      <w:spacing w:before="40" w:after="0"/>
      <w:outlineLvl w:val="8"/>
    </w:pPr>
    <w:rPr>
      <w:rFonts w:ascii="Calibri Light" w:hAnsi="Calibri Light" w:eastAsia="" w:cs="" w:asciiTheme="majorHAnsi" w:cstheme="majorBidi" w:eastAsiaTheme="majorEastAsia" w:hAnsiTheme="majorHAnsi"/>
      <w:i/>
      <w:iCs/>
      <w:color w:val="272727" w:themeColor="text1" w:themeTint="d8"/>
      <w:sz w:val="21"/>
      <w:szCs w:val="21"/>
    </w:rPr>
  </w:style>
  <w:style w:type="character" w:styleId="DefaultParagraphFont" w:default="1">
    <w:name w:val="Default Paragraph Font"/>
    <w:uiPriority w:val="1"/>
    <w:semiHidden/>
    <w:unhideWhenUsed/>
    <w:qFormat/>
    <w:rPr/>
  </w:style>
  <w:style w:type="character" w:styleId="TestofumettoCarattere" w:customStyle="1">
    <w:name w:val="Testo fumetto Carattere"/>
    <w:basedOn w:val="DefaultParagraphFont"/>
    <w:link w:val="Testofumetto"/>
    <w:uiPriority w:val="99"/>
    <w:semiHidden/>
    <w:qFormat/>
    <w:rsid w:val="004f2cfd"/>
    <w:rPr>
      <w:rFonts w:ascii="Segoe UI" w:hAnsi="Segoe UI" w:cs="Segoe UI"/>
      <w:sz w:val="18"/>
      <w:szCs w:val="18"/>
      <w:lang w:val="en-GB"/>
    </w:rPr>
  </w:style>
  <w:style w:type="character" w:styleId="Titolo1Carattere" w:customStyle="1">
    <w:name w:val="Titolo 1 Carattere"/>
    <w:basedOn w:val="DefaultParagraphFont"/>
    <w:link w:val="Titolo1"/>
    <w:uiPriority w:val="9"/>
    <w:qFormat/>
    <w:rsid w:val="00a93364"/>
    <w:rPr>
      <w:rFonts w:ascii="Calibri Light" w:hAnsi="Calibri Light" w:eastAsia="" w:cs="" w:asciiTheme="majorHAnsi" w:cstheme="majorBidi" w:eastAsiaTheme="majorEastAsia" w:hAnsiTheme="majorHAnsi"/>
      <w:color w:val="2F5496" w:themeColor="accent1" w:themeShade="bf"/>
      <w:sz w:val="32"/>
      <w:szCs w:val="32"/>
      <w:lang w:val="en-GB"/>
    </w:rPr>
  </w:style>
  <w:style w:type="character" w:styleId="Titolo2Carattere" w:customStyle="1">
    <w:name w:val="Titolo 2 Carattere"/>
    <w:basedOn w:val="DefaultParagraphFont"/>
    <w:link w:val="Titolo2"/>
    <w:uiPriority w:val="9"/>
    <w:qFormat/>
    <w:rsid w:val="00a93364"/>
    <w:rPr>
      <w:rFonts w:ascii="Calibri Light" w:hAnsi="Calibri Light" w:eastAsia="" w:cs="" w:asciiTheme="majorHAnsi" w:cstheme="majorBidi" w:eastAsiaTheme="majorEastAsia" w:hAnsiTheme="majorHAnsi"/>
      <w:color w:val="2F5496" w:themeColor="accent1" w:themeShade="bf"/>
      <w:sz w:val="26"/>
      <w:szCs w:val="26"/>
      <w:lang w:val="en-GB"/>
    </w:rPr>
  </w:style>
  <w:style w:type="character" w:styleId="Titolo3Carattere" w:customStyle="1">
    <w:name w:val="Titolo 3 Carattere"/>
    <w:basedOn w:val="DefaultParagraphFont"/>
    <w:link w:val="Titolo3"/>
    <w:uiPriority w:val="9"/>
    <w:qFormat/>
    <w:rsid w:val="00a93364"/>
    <w:rPr>
      <w:rFonts w:ascii="Calibri Light" w:hAnsi="Calibri Light" w:eastAsia="" w:cs="" w:asciiTheme="majorHAnsi" w:cstheme="majorBidi" w:eastAsiaTheme="majorEastAsia" w:hAnsiTheme="majorHAnsi"/>
      <w:color w:val="1F3763" w:themeColor="accent1" w:themeShade="7f"/>
      <w:sz w:val="24"/>
      <w:szCs w:val="24"/>
      <w:lang w:val="en-GB"/>
    </w:rPr>
  </w:style>
  <w:style w:type="character" w:styleId="Titolo4Carattere" w:customStyle="1">
    <w:name w:val="Titolo 4 Carattere"/>
    <w:basedOn w:val="DefaultParagraphFont"/>
    <w:link w:val="Titolo4"/>
    <w:uiPriority w:val="9"/>
    <w:qFormat/>
    <w:rsid w:val="00a93364"/>
    <w:rPr>
      <w:rFonts w:ascii="Calibri Light" w:hAnsi="Calibri Light" w:eastAsia="" w:cs="" w:asciiTheme="majorHAnsi" w:cstheme="majorBidi" w:eastAsiaTheme="majorEastAsia" w:hAnsiTheme="majorHAnsi"/>
      <w:i/>
      <w:iCs/>
      <w:color w:val="2F5496" w:themeColor="accent1" w:themeShade="bf"/>
      <w:lang w:val="en-GB"/>
    </w:rPr>
  </w:style>
  <w:style w:type="character" w:styleId="Titolo5Carattere" w:customStyle="1">
    <w:name w:val="Titolo 5 Carattere"/>
    <w:basedOn w:val="DefaultParagraphFont"/>
    <w:link w:val="Titolo5"/>
    <w:uiPriority w:val="9"/>
    <w:qFormat/>
    <w:rsid w:val="00a93364"/>
    <w:rPr>
      <w:rFonts w:ascii="Calibri Light" w:hAnsi="Calibri Light" w:eastAsia="" w:cs="" w:asciiTheme="majorHAnsi" w:cstheme="majorBidi" w:eastAsiaTheme="majorEastAsia" w:hAnsiTheme="majorHAnsi"/>
      <w:color w:val="2F5496" w:themeColor="accent1" w:themeShade="bf"/>
      <w:lang w:val="en-GB"/>
    </w:rPr>
  </w:style>
  <w:style w:type="character" w:styleId="Titolo6Carattere" w:customStyle="1">
    <w:name w:val="Titolo 6 Carattere"/>
    <w:basedOn w:val="DefaultParagraphFont"/>
    <w:link w:val="Titolo6"/>
    <w:uiPriority w:val="9"/>
    <w:qFormat/>
    <w:rsid w:val="00a93364"/>
    <w:rPr>
      <w:rFonts w:ascii="Calibri Light" w:hAnsi="Calibri Light" w:eastAsia="" w:cs="" w:asciiTheme="majorHAnsi" w:cstheme="majorBidi" w:eastAsiaTheme="majorEastAsia" w:hAnsiTheme="majorHAnsi"/>
      <w:color w:val="1F3763" w:themeColor="accent1" w:themeShade="7f"/>
      <w:lang w:val="en-GB"/>
    </w:rPr>
  </w:style>
  <w:style w:type="character" w:styleId="Titolo7Carattere" w:customStyle="1">
    <w:name w:val="Titolo 7 Carattere"/>
    <w:basedOn w:val="DefaultParagraphFont"/>
    <w:link w:val="Titolo7"/>
    <w:uiPriority w:val="9"/>
    <w:semiHidden/>
    <w:qFormat/>
    <w:rsid w:val="00a93364"/>
    <w:rPr>
      <w:rFonts w:ascii="Calibri Light" w:hAnsi="Calibri Light" w:eastAsia="" w:cs="" w:asciiTheme="majorHAnsi" w:cstheme="majorBidi" w:eastAsiaTheme="majorEastAsia" w:hAnsiTheme="majorHAnsi"/>
      <w:i/>
      <w:iCs/>
      <w:color w:val="1F3763" w:themeColor="accent1" w:themeShade="7f"/>
      <w:lang w:val="en-GB"/>
    </w:rPr>
  </w:style>
  <w:style w:type="character" w:styleId="Titolo8Carattere" w:customStyle="1">
    <w:name w:val="Titolo 8 Carattere"/>
    <w:basedOn w:val="DefaultParagraphFont"/>
    <w:link w:val="Titolo8"/>
    <w:uiPriority w:val="9"/>
    <w:semiHidden/>
    <w:qFormat/>
    <w:rsid w:val="00a93364"/>
    <w:rPr>
      <w:rFonts w:ascii="Calibri Light" w:hAnsi="Calibri Light" w:eastAsia="" w:cs="" w:asciiTheme="majorHAnsi" w:cstheme="majorBidi" w:eastAsiaTheme="majorEastAsia" w:hAnsiTheme="majorHAnsi"/>
      <w:color w:val="272727" w:themeColor="text1" w:themeTint="d8"/>
      <w:sz w:val="21"/>
      <w:szCs w:val="21"/>
      <w:lang w:val="en-GB"/>
    </w:rPr>
  </w:style>
  <w:style w:type="character" w:styleId="Titolo9Carattere" w:customStyle="1">
    <w:name w:val="Titolo 9 Carattere"/>
    <w:basedOn w:val="DefaultParagraphFont"/>
    <w:link w:val="Titolo9"/>
    <w:uiPriority w:val="9"/>
    <w:semiHidden/>
    <w:qFormat/>
    <w:rsid w:val="00a93364"/>
    <w:rPr>
      <w:rFonts w:ascii="Calibri Light" w:hAnsi="Calibri Light" w:eastAsia="" w:cs="" w:asciiTheme="majorHAnsi" w:cstheme="majorBidi" w:eastAsiaTheme="majorEastAsia" w:hAnsiTheme="majorHAnsi"/>
      <w:i/>
      <w:iCs/>
      <w:color w:val="272727" w:themeColor="text1" w:themeTint="d8"/>
      <w:sz w:val="21"/>
      <w:szCs w:val="21"/>
      <w:lang w:val="en-GB"/>
    </w:rPr>
  </w:style>
  <w:style w:type="character" w:styleId="Annotationreference">
    <w:name w:val="annotation reference"/>
    <w:basedOn w:val="DefaultParagraphFont"/>
    <w:uiPriority w:val="99"/>
    <w:semiHidden/>
    <w:unhideWhenUsed/>
    <w:qFormat/>
    <w:rsid w:val="00a93364"/>
    <w:rPr>
      <w:sz w:val="16"/>
      <w:szCs w:val="16"/>
    </w:rPr>
  </w:style>
  <w:style w:type="character" w:styleId="TestocommentoCarattere" w:customStyle="1">
    <w:name w:val="Testo commento Carattere"/>
    <w:basedOn w:val="DefaultParagraphFont"/>
    <w:link w:val="Testocommento"/>
    <w:uiPriority w:val="99"/>
    <w:semiHidden/>
    <w:qFormat/>
    <w:rsid w:val="00a93364"/>
    <w:rPr>
      <w:sz w:val="20"/>
      <w:szCs w:val="20"/>
      <w:lang w:val="en-GB"/>
    </w:rPr>
  </w:style>
  <w:style w:type="character" w:styleId="SoggettocommentoCarattere" w:customStyle="1">
    <w:name w:val="Soggetto commento Carattere"/>
    <w:basedOn w:val="TestocommentoCarattere"/>
    <w:link w:val="Soggettocommento"/>
    <w:uiPriority w:val="99"/>
    <w:semiHidden/>
    <w:qFormat/>
    <w:rsid w:val="00f371c1"/>
    <w:rPr>
      <w:b/>
      <w:bCs/>
      <w:sz w:val="20"/>
      <w:szCs w:val="20"/>
      <w:lang w:val="en-GB"/>
    </w:rPr>
  </w:style>
  <w:style w:type="character" w:styleId="FootnoteCharacters">
    <w:name w:val="Footnote Characters"/>
    <w:qFormat/>
    <w:rPr/>
  </w:style>
  <w:style w:type="character" w:styleId="FootnoteAnchor">
    <w:name w:val="Footnote Anchor"/>
    <w:rPr>
      <w:vertAlign w:val="superscript"/>
    </w:rPr>
  </w:style>
  <w:style w:type="character" w:styleId="EndnoteAnchor">
    <w:name w:val="Endnote Anchor"/>
    <w:rPr>
      <w:vertAlign w:val="superscript"/>
    </w:rPr>
  </w:style>
  <w:style w:type="character" w:styleId="EndnoteCharacters">
    <w:name w:val="Endnote Characters"/>
    <w:qFormat/>
    <w:rPr/>
  </w:style>
  <w:style w:type="character" w:styleId="CaptionCharacters">
    <w:name w:val="Caption Characters"/>
    <w:qFormat/>
    <w:rPr>
      <w:rFonts w:ascii="Times New Roman" w:hAnsi="Times New Roman"/>
      <w:i/>
      <w:color w:val="44546A"/>
      <w:sz w:val="20"/>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lang w:val="zxx" w:eastAsia="zxx" w:bidi="zxx"/>
    </w:rPr>
  </w:style>
  <w:style w:type="paragraph" w:styleId="ListParagraph">
    <w:name w:val="List Paragraph"/>
    <w:basedOn w:val="Normal"/>
    <w:uiPriority w:val="34"/>
    <w:qFormat/>
    <w:rsid w:val="00b80901"/>
    <w:pPr>
      <w:spacing w:before="0" w:after="160"/>
      <w:ind w:left="720" w:hanging="0"/>
      <w:contextualSpacing/>
    </w:pPr>
    <w:rPr/>
  </w:style>
  <w:style w:type="paragraph" w:styleId="BalloonText">
    <w:name w:val="Balloon Text"/>
    <w:basedOn w:val="Normal"/>
    <w:link w:val="TestofumettoCarattere"/>
    <w:uiPriority w:val="99"/>
    <w:semiHidden/>
    <w:unhideWhenUsed/>
    <w:qFormat/>
    <w:rsid w:val="004f2cfd"/>
    <w:pPr>
      <w:spacing w:lineRule="auto" w:line="240" w:before="0" w:after="0"/>
    </w:pPr>
    <w:rPr>
      <w:rFonts w:ascii="Segoe UI" w:hAnsi="Segoe UI" w:cs="Segoe UI"/>
      <w:sz w:val="18"/>
      <w:szCs w:val="18"/>
    </w:rPr>
  </w:style>
  <w:style w:type="paragraph" w:styleId="Annotationtext">
    <w:name w:val="annotation text"/>
    <w:basedOn w:val="Normal"/>
    <w:link w:val="TestocommentoCarattere"/>
    <w:uiPriority w:val="99"/>
    <w:semiHidden/>
    <w:unhideWhenUsed/>
    <w:qFormat/>
    <w:rsid w:val="00a93364"/>
    <w:pPr>
      <w:spacing w:lineRule="auto" w:line="240"/>
    </w:pPr>
    <w:rPr>
      <w:sz w:val="20"/>
      <w:szCs w:val="20"/>
    </w:rPr>
  </w:style>
  <w:style w:type="paragraph" w:styleId="Caption1">
    <w:name w:val="caption"/>
    <w:basedOn w:val="Normal"/>
    <w:next w:val="Normal"/>
    <w:uiPriority w:val="35"/>
    <w:unhideWhenUsed/>
    <w:qFormat/>
    <w:rsid w:val="00a93364"/>
    <w:pPr>
      <w:spacing w:lineRule="auto" w:line="240" w:before="0" w:after="200"/>
    </w:pPr>
    <w:rPr>
      <w:i/>
      <w:iCs/>
      <w:color w:val="44546A" w:themeColor="text2"/>
      <w:sz w:val="18"/>
      <w:szCs w:val="18"/>
    </w:rPr>
  </w:style>
  <w:style w:type="paragraph" w:styleId="Annotationsubject">
    <w:name w:val="annotation subject"/>
    <w:basedOn w:val="Annotationtext"/>
    <w:next w:val="Annotationtext"/>
    <w:link w:val="SoggettocommentoCarattere"/>
    <w:uiPriority w:val="99"/>
    <w:semiHidden/>
    <w:unhideWhenUsed/>
    <w:qFormat/>
    <w:rsid w:val="00f371c1"/>
    <w:pPr/>
    <w:rPr>
      <w:b/>
      <w:bCs/>
    </w:rPr>
  </w:style>
  <w:style w:type="paragraph" w:styleId="Footnote">
    <w:name w:val="Footnote Text"/>
    <w:basedOn w:val="Normal"/>
    <w:pPr>
      <w:suppressLineNumbers/>
      <w:ind w:left="340" w:hanging="340"/>
    </w:pPr>
    <w:rPr>
      <w:sz w:val="20"/>
      <w:szCs w:val="20"/>
    </w:rPr>
  </w:style>
  <w:style w:type="paragraph" w:styleId="Table">
    <w:name w:val="Table"/>
    <w:basedOn w:val="Caption"/>
    <w:qFormat/>
    <w:pPr/>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styleId="Grigliatabella">
    <w:name w:val="Table Grid"/>
    <w:basedOn w:val="Tabellanormale"/>
    <w:uiPriority w:val="39"/>
    <w:rsid w:val="00603f1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Relationship Id="rId8" Type="http://schemas.openxmlformats.org/officeDocument/2006/relationships/customXml" Target="../customXml/item2.xml"/><Relationship Id="rId9" Type="http://schemas.openxmlformats.org/officeDocument/2006/relationships/customXml" Target="../customXml/item3.xml"/><Relationship Id="rId10" Type="http://schemas.openxmlformats.org/officeDocument/2006/relationships/customXml" Target="../customXml/item4.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643579DEC66342A6CE77236D74C45F" ma:contentTypeVersion="0" ma:contentTypeDescription="Create a new document." ma:contentTypeScope="" ma:versionID="e57965e20b063079aecfbe021b1e2bff">
  <xsd:schema xmlns:xsd="http://www.w3.org/2001/XMLSchema" xmlns:xs="http://www.w3.org/2001/XMLSchema" xmlns:p="http://schemas.microsoft.com/office/2006/metadata/properties" targetNamespace="http://schemas.microsoft.com/office/2006/metadata/properties" ma:root="true" ma:fieldsID="0967b7be50301903c78f9c39c6fd9a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E15158-7CE8-442C-AA30-F7A0A82D42C6}"/>
</file>

<file path=customXml/itemProps2.xml><?xml version="1.0" encoding="utf-8"?>
<ds:datastoreItem xmlns:ds="http://schemas.openxmlformats.org/officeDocument/2006/customXml" ds:itemID="{F136BF15-4CE3-4C0B-9028-2CACDF217292}">
  <ds:schemaRefs>
    <ds:schemaRef ds:uri="http://schemas.openxmlformats.org/officeDocument/2006/bibliography"/>
  </ds:schemaRefs>
</ds:datastoreItem>
</file>

<file path=customXml/itemProps3.xml><?xml version="1.0" encoding="utf-8"?>
<ds:datastoreItem xmlns:ds="http://schemas.openxmlformats.org/officeDocument/2006/customXml" ds:itemID="{3077DC08-15BC-404F-B4B1-B8B4266A55BA}"/>
</file>

<file path=customXml/itemProps4.xml><?xml version="1.0" encoding="utf-8"?>
<ds:datastoreItem xmlns:ds="http://schemas.openxmlformats.org/officeDocument/2006/customXml" ds:itemID="{20B5E7C1-6750-4034-9BAD-00E3A1BD10DF}"/>
</file>

<file path=docProps/app.xml><?xml version="1.0" encoding="utf-8"?>
<Properties xmlns="http://schemas.openxmlformats.org/officeDocument/2006/extended-properties" xmlns:vt="http://schemas.openxmlformats.org/officeDocument/2006/docPropsVTypes">
  <Template>Normal</Template>
  <TotalTime>1775</TotalTime>
  <Application>LibreOffice/7.2.0.4$MacOSX_X86_64 LibreOffice_project/9a9c6381e3f7a62afc1329bd359cc48accb6435b</Application>
  <AppVersion>15.0000</AppVersion>
  <Pages>12</Pages>
  <Words>4196</Words>
  <Characters>22881</Characters>
  <CharactersWithSpaces>26633</CharactersWithSpaces>
  <Paragraphs>406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2019-12-09T14:47:00Z</dcterms:created>
  <dc:creator>Daniele Terranova</dc:creator>
  <dc:description/>
  <dc:language>en-GB</dc:language>
  <cp:lastModifiedBy>Diego Marazza</cp:lastModifiedBy>
  <dcterms:modified xsi:type="dcterms:W3CDTF">2021-09-13T20:00:55Z</dcterms:modified>
  <cp:revision>33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0x0101000A643579DEC66342A6CE77236D74C45F</vt:lpwstr>
  </property>
  <property fmtid="{D5CDD505-2E9C-101B-9397-08002B2CF9AE}" pid="3" name="Mendeley Citation Style_1">
    <vt:lpwstr>http://www.zotero.org/styles/apa</vt:lpwstr>
  </property>
  <property fmtid="{D5CDD505-2E9C-101B-9397-08002B2CF9AE}" pid="4" name="Mendeley Document_1">
    <vt:lpwstr>True</vt:lpwstr>
  </property>
  <property fmtid="{D5CDD505-2E9C-101B-9397-08002B2CF9AE}" pid="5" name="Mendeley Recent Style Id 0_1">
    <vt:lpwstr>http://www.zotero.org/styles/american-medical-association</vt:lpwstr>
  </property>
  <property fmtid="{D5CDD505-2E9C-101B-9397-08002B2CF9AE}" pid="6" name="Mendeley Recent Style Id 1_1">
    <vt:lpwstr>http://www.zotero.org/styles/american-political-science-association</vt:lpwstr>
  </property>
  <property fmtid="{D5CDD505-2E9C-101B-9397-08002B2CF9AE}" pid="7" name="Mendeley Recent Style Id 2_1">
    <vt:lpwstr>http://www.zotero.org/styles/apa</vt:lpwstr>
  </property>
  <property fmtid="{D5CDD505-2E9C-101B-9397-08002B2CF9AE}" pid="8" name="Mendeley Recent Style Id 3_1">
    <vt:lpwstr>http://www.zotero.org/styles/american-sociological-association</vt:lpwstr>
  </property>
  <property fmtid="{D5CDD505-2E9C-101B-9397-08002B2CF9AE}" pid="9" name="Mendeley Recent Style Id 4_1">
    <vt:lpwstr>http://www.zotero.org/styles/chicago-author-date</vt:lpwstr>
  </property>
  <property fmtid="{D5CDD505-2E9C-101B-9397-08002B2CF9AE}" pid="10" name="Mendeley Recent Style Id 5_1">
    <vt:lpwstr>http://www.zotero.org/styles/harvard-cite-them-right</vt:lpwstr>
  </property>
  <property fmtid="{D5CDD505-2E9C-101B-9397-08002B2CF9AE}" pid="11" name="Mendeley Recent Style Id 6_1">
    <vt:lpwstr>http://www.zotero.org/styles/harvard1</vt:lpwstr>
  </property>
  <property fmtid="{D5CDD505-2E9C-101B-9397-08002B2CF9AE}" pid="12" name="Mendeley Recent Style Id 7_1">
    <vt:lpwstr>http://www.zotero.org/styles/ieee</vt:lpwstr>
  </property>
  <property fmtid="{D5CDD505-2E9C-101B-9397-08002B2CF9AE}" pid="13" name="Mendeley Recent Style Id 8_1">
    <vt:lpwstr>http://www.zotero.org/styles/modern-humanities-research-association</vt:lpwstr>
  </property>
  <property fmtid="{D5CDD505-2E9C-101B-9397-08002B2CF9AE}" pid="14" name="Mendeley Recent Style Id 9_1">
    <vt:lpwstr>http://www.zotero.org/styles/nature</vt:lpwstr>
  </property>
  <property fmtid="{D5CDD505-2E9C-101B-9397-08002B2CF9AE}" pid="15" name="Mendeley Recent Style Name 0_1">
    <vt:lpwstr>American Medical Association</vt:lpwstr>
  </property>
  <property fmtid="{D5CDD505-2E9C-101B-9397-08002B2CF9AE}" pid="16" name="Mendeley Recent Style Name 1_1">
    <vt:lpwstr>American Political Science Association</vt:lpwstr>
  </property>
  <property fmtid="{D5CDD505-2E9C-101B-9397-08002B2CF9AE}" pid="17" name="Mendeley Recent Style Name 2_1">
    <vt:lpwstr>American Psychological Association 6th edition</vt:lpwstr>
  </property>
  <property fmtid="{D5CDD505-2E9C-101B-9397-08002B2CF9AE}" pid="18" name="Mendeley Recent Style Name 3_1">
    <vt:lpwstr>American Sociological Association</vt:lpwstr>
  </property>
  <property fmtid="{D5CDD505-2E9C-101B-9397-08002B2CF9AE}" pid="19" name="Mendeley Recent Style Name 4_1">
    <vt:lpwstr>Chicago Manual of Style 17th edition (author-date)</vt:lpwstr>
  </property>
  <property fmtid="{D5CDD505-2E9C-101B-9397-08002B2CF9AE}" pid="20" name="Mendeley Recent Style Name 5_1">
    <vt:lpwstr>Cite Them Right 10th edition - Harvard</vt:lpwstr>
  </property>
  <property fmtid="{D5CDD505-2E9C-101B-9397-08002B2CF9AE}" pid="21" name="Mendeley Recent Style Name 6_1">
    <vt:lpwstr>Harvard reference format 1 (deprecated)</vt:lpwstr>
  </property>
  <property fmtid="{D5CDD505-2E9C-101B-9397-08002B2CF9AE}" pid="22" name="Mendeley Recent Style Name 7_1">
    <vt:lpwstr>IEEE</vt:lpwstr>
  </property>
  <property fmtid="{D5CDD505-2E9C-101B-9397-08002B2CF9AE}" pid="23" name="Mendeley Recent Style Name 8_1">
    <vt:lpwstr>Modern Humanities Research Association 3rd edition (note with bibliography)</vt:lpwstr>
  </property>
  <property fmtid="{D5CDD505-2E9C-101B-9397-08002B2CF9AE}" pid="24" name="Mendeley Recent Style Name 9_1">
    <vt:lpwstr>Nature</vt:lpwstr>
  </property>
  <property fmtid="{D5CDD505-2E9C-101B-9397-08002B2CF9AE}" pid="25" name="Mendeley Unique User Id_1">
    <vt:lpwstr>cd39f29c-c9e9-3799-9fa1-e75b3a11d099</vt:lpwstr>
  </property>
</Properties>
</file>