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5E033A" w14:textId="5D30318C" w:rsidR="00E05634" w:rsidRPr="00E05634" w:rsidRDefault="00E05634" w:rsidP="00E05634">
      <w:pPr>
        <w:jc w:val="both"/>
        <w:rPr>
          <w:rFonts w:eastAsia="Calibri" w:cs="Arial"/>
          <w:b/>
          <w:bCs/>
          <w:sz w:val="24"/>
          <w:szCs w:val="24"/>
          <w:lang w:val="en-GB"/>
        </w:rPr>
      </w:pPr>
      <w:r>
        <w:rPr>
          <w:rFonts w:eastAsia="Calibri" w:cs="Arial"/>
          <w:b/>
          <w:bCs/>
          <w:sz w:val="24"/>
          <w:szCs w:val="24"/>
          <w:lang w:val="en-GB"/>
        </w:rPr>
        <w:t>SUPPLEMENTARY MATERIAL A</w:t>
      </w:r>
    </w:p>
    <w:p w14:paraId="4344ADE4" w14:textId="77777777" w:rsidR="00E05634" w:rsidRDefault="00E05634" w:rsidP="00E05634">
      <w:pPr>
        <w:pStyle w:val="Caption"/>
        <w:keepNext/>
      </w:pPr>
    </w:p>
    <w:p w14:paraId="5EEEDDC6" w14:textId="4A59917E" w:rsidR="00C84317" w:rsidRDefault="00C84317" w:rsidP="00E05634">
      <w:pPr>
        <w:pStyle w:val="Caption"/>
        <w:keepNext/>
      </w:pPr>
      <w:r>
        <w:t>Table S.</w:t>
      </w:r>
      <w:r>
        <w:fldChar w:fldCharType="begin"/>
      </w:r>
      <w:r>
        <w:instrText>SEQ Table_S. \* ARABIC</w:instrText>
      </w:r>
      <w:r>
        <w:fldChar w:fldCharType="separate"/>
      </w:r>
      <w:r w:rsidR="00267B04">
        <w:rPr>
          <w:noProof/>
        </w:rPr>
        <w:t>1</w:t>
      </w:r>
      <w:r>
        <w:fldChar w:fldCharType="end"/>
      </w:r>
      <w:r>
        <w:t xml:space="preserve"> Life cycle assessment studies surveyed in this work.</w:t>
      </w:r>
    </w:p>
    <w:tbl>
      <w:tblPr>
        <w:tblStyle w:val="TableGrid"/>
        <w:tblW w:w="4814" w:type="pct"/>
        <w:tblLayout w:type="fixed"/>
        <w:tblLook w:val="04A0" w:firstRow="1" w:lastRow="0" w:firstColumn="1" w:lastColumn="0" w:noHBand="0" w:noVBand="1"/>
      </w:tblPr>
      <w:tblGrid>
        <w:gridCol w:w="1413"/>
        <w:gridCol w:w="1277"/>
        <w:gridCol w:w="2409"/>
        <w:gridCol w:w="1274"/>
        <w:gridCol w:w="1135"/>
        <w:gridCol w:w="2409"/>
        <w:gridCol w:w="2551"/>
      </w:tblGrid>
      <w:tr w:rsidR="003805F6" w14:paraId="7EB71E98" w14:textId="77777777" w:rsidTr="05135B6E">
        <w:trPr>
          <w:cantSplit/>
          <w:trHeight w:val="300"/>
        </w:trPr>
        <w:tc>
          <w:tcPr>
            <w:tcW w:w="567" w:type="pct"/>
          </w:tcPr>
          <w:p w14:paraId="783F8266" w14:textId="0CEDEECC" w:rsidR="0061474F" w:rsidRDefault="0061474F" w:rsidP="0061474F">
            <w:pPr>
              <w:jc w:val="both"/>
            </w:pPr>
            <w:r>
              <w:t>Reference</w:t>
            </w:r>
          </w:p>
        </w:tc>
        <w:tc>
          <w:tcPr>
            <w:tcW w:w="512" w:type="pct"/>
          </w:tcPr>
          <w:p w14:paraId="377A8428" w14:textId="77777777" w:rsidR="0061474F" w:rsidRDefault="0061474F" w:rsidP="0061474F">
            <w:pPr>
              <w:jc w:val="both"/>
            </w:pPr>
            <w:r>
              <w:t>Technology</w:t>
            </w:r>
          </w:p>
        </w:tc>
        <w:tc>
          <w:tcPr>
            <w:tcW w:w="966" w:type="pct"/>
          </w:tcPr>
          <w:p w14:paraId="722CCB2B" w14:textId="77777777" w:rsidR="0061474F" w:rsidRDefault="0061474F" w:rsidP="0061474F">
            <w:pPr>
              <w:jc w:val="both"/>
            </w:pPr>
            <w:r>
              <w:t>Life-cycle stages</w:t>
            </w:r>
          </w:p>
        </w:tc>
        <w:tc>
          <w:tcPr>
            <w:tcW w:w="511" w:type="pct"/>
          </w:tcPr>
          <w:p w14:paraId="3B7B2C41" w14:textId="77777777" w:rsidR="0061474F" w:rsidRDefault="0061474F" w:rsidP="0061474F">
            <w:pPr>
              <w:jc w:val="both"/>
            </w:pPr>
            <w:r>
              <w:t>Background data</w:t>
            </w:r>
          </w:p>
        </w:tc>
        <w:tc>
          <w:tcPr>
            <w:tcW w:w="455" w:type="pct"/>
          </w:tcPr>
          <w:p w14:paraId="7F5D885C" w14:textId="77777777" w:rsidR="0061474F" w:rsidRDefault="0061474F" w:rsidP="0061474F">
            <w:pPr>
              <w:jc w:val="both"/>
            </w:pPr>
            <w:r>
              <w:t>Impact assessment method</w:t>
            </w:r>
          </w:p>
        </w:tc>
        <w:tc>
          <w:tcPr>
            <w:tcW w:w="966" w:type="pct"/>
          </w:tcPr>
          <w:p w14:paraId="42452DF4" w14:textId="1EEEBE49" w:rsidR="0061474F" w:rsidRDefault="008C1119" w:rsidP="008C1119">
            <w:pPr>
              <w:jc w:val="both"/>
            </w:pPr>
            <w:r>
              <w:t>Limitations related to missing LCI data</w:t>
            </w:r>
          </w:p>
        </w:tc>
        <w:tc>
          <w:tcPr>
            <w:tcW w:w="1023" w:type="pct"/>
          </w:tcPr>
          <w:p w14:paraId="7300BF48" w14:textId="5D67441C" w:rsidR="0061474F" w:rsidRDefault="008C1119" w:rsidP="00FC25F3">
            <w:pPr>
              <w:jc w:val="both"/>
            </w:pPr>
            <w:r>
              <w:t xml:space="preserve">Limitations </w:t>
            </w:r>
            <w:r w:rsidR="00FC25F3">
              <w:t>in</w:t>
            </w:r>
            <w:r>
              <w:t xml:space="preserve"> data quality</w:t>
            </w:r>
            <w:r w:rsidDel="008C1119">
              <w:t xml:space="preserve"> </w:t>
            </w:r>
          </w:p>
        </w:tc>
      </w:tr>
      <w:tr w:rsidR="003805F6" w14:paraId="02157851" w14:textId="77777777" w:rsidTr="05135B6E">
        <w:trPr>
          <w:cantSplit/>
          <w:trHeight w:val="300"/>
        </w:trPr>
        <w:tc>
          <w:tcPr>
            <w:tcW w:w="567" w:type="pct"/>
          </w:tcPr>
          <w:p w14:paraId="731E347D" w14:textId="77777777" w:rsidR="0061474F" w:rsidRDefault="0061474F" w:rsidP="0061474F">
            <w:pPr>
              <w:jc w:val="both"/>
            </w:pPr>
            <w:r>
              <w:fldChar w:fldCharType="begin" w:fldLock="1"/>
            </w:r>
            <w:r>
              <w:instrText>ADDIN CSL_CITATION {"citationItems":[{"id":"ITEM-1","itemData":{"DOI":"10.1016/j.ijhydene.2020.05.282","ISSN":"03603199","abstract":"Hydrogen produced from H2O electrolysis works as an energy carrier and helps to overcome the challenges of intermittent renewable energy sources. At present, no comprehensive environmental impact assessment is available for three commercially H2O electrolysis technologies, namely solid oxide electrolysis cell (SOEC), polymer electrolyte membrane electrolysis cell (PEMEC), and alkaline electrolysis cell (AEC). The study aimed to provide potential environmental impacts of the electrolysis technologies based on life cycle assessment. Among the investigated 16 impact categories, the stage of critical material use of three H2O electrolysis stacks was identified as the hotspot of environmental impacts. The critical materials were stainless steel and nickel from SOEC, platinum and iridium from PEMEC, and nickel from AEC. Life cycle impact results from PEMEC stack were much higher than these from SOEC and AEC stacks, while electricity played a more important role in the life cycle impact of hydrogen production. The sensitivity analysis indicated that the most effective approach to reducing potential impacts would be to reduce critical materials use on the current status of electrolysis technologies.","author":[{"dropping-particle":"","family":"Zhao","given":"Guangling","non-dropping-particle":"","parse-names":false,"suffix":""},{"dropping-particle":"","family":"Kraglund","given":"Mikkel Rykær","non-dropping-particle":"","parse-names":false,"suffix":""},{"dropping-particle":"","family":"Frandsen","given":"Henrik Lund","non-dropping-particle":"","parse-names":false,"suffix":""},{"dropping-particle":"","family":"Wulff","given":"Anders Christian","non-dropping-particle":"","parse-names":false,"suffix":""},{"dropping-particle":"","family":"Jensen","given":"Søren Højgaard","non-dropping-particle":"","parse-names":false,"suffix":""},{"dropping-particle":"","family":"Chen","given":"Ming","non-dropping-particle":"","parse-names":false,"suffix":""},{"dropping-particle":"","family":"Graves","given":"Christopher R.","non-dropping-particle":"","parse-names":false,"suffix":""}],"container-title":"International Journal of Hydrogen Energy","id":"ITEM-1","issue":"43","issued":{"date-parts":[["2020"]]},"page":"23765-23781","title":"Life cycle assessment of H2O electrolysis technologies","type":"article-journal","volume":"45"},"uris":["http://www.mendeley.com/documents/?uuid=e0871c6c-ebf5-4e47-9c29-fd3d65669fac"]}],"mendeley":{"formattedCitation":"(Zhao et al., 2020)","plainTextFormattedCitation":"(Zhao et al., 2020)","previouslyFormattedCitation":"(Zhao et al., 2020)"},"properties":{"noteIndex":0},"schema":"https://github.com/citation-style-language/schema/raw/master/csl-citation.json"}</w:instrText>
            </w:r>
            <w:r>
              <w:fldChar w:fldCharType="separate"/>
            </w:r>
            <w:r w:rsidRPr="00F06A2B">
              <w:rPr>
                <w:noProof/>
              </w:rPr>
              <w:t>(Zhao et al., 2020)</w:t>
            </w:r>
            <w:r>
              <w:fldChar w:fldCharType="end"/>
            </w:r>
          </w:p>
          <w:p w14:paraId="68D0A382" w14:textId="77777777" w:rsidR="0061474F" w:rsidRDefault="0061474F" w:rsidP="0061474F">
            <w:pPr>
              <w:jc w:val="both"/>
            </w:pPr>
          </w:p>
        </w:tc>
        <w:tc>
          <w:tcPr>
            <w:tcW w:w="512" w:type="pct"/>
          </w:tcPr>
          <w:p w14:paraId="271D950F" w14:textId="77777777" w:rsidR="0061474F" w:rsidRDefault="00F53E33" w:rsidP="0061474F">
            <w:pPr>
              <w:jc w:val="both"/>
            </w:pPr>
            <w:r>
              <w:t>PEMEL, SOEL</w:t>
            </w:r>
            <w:r w:rsidR="00BF570B">
              <w:t>, AEL</w:t>
            </w:r>
          </w:p>
        </w:tc>
        <w:tc>
          <w:tcPr>
            <w:tcW w:w="966" w:type="pct"/>
          </w:tcPr>
          <w:p w14:paraId="34EC2A54" w14:textId="77777777" w:rsidR="0061474F" w:rsidRDefault="0061474F" w:rsidP="00C14ACC">
            <w:pPr>
              <w:jc w:val="both"/>
            </w:pPr>
            <w:r>
              <w:t xml:space="preserve">stack </w:t>
            </w:r>
            <w:r w:rsidR="00C14ACC">
              <w:t xml:space="preserve">production and use phase, </w:t>
            </w:r>
            <w:r w:rsidR="001F5FE9">
              <w:t>including the EoL of the devices</w:t>
            </w:r>
          </w:p>
        </w:tc>
        <w:tc>
          <w:tcPr>
            <w:tcW w:w="511" w:type="pct"/>
          </w:tcPr>
          <w:p w14:paraId="6320B619" w14:textId="77777777" w:rsidR="0061474F" w:rsidRDefault="00BF570B" w:rsidP="0061474F">
            <w:pPr>
              <w:jc w:val="both"/>
            </w:pPr>
            <w:r>
              <w:t>Ecoinvent 3</w:t>
            </w:r>
          </w:p>
        </w:tc>
        <w:tc>
          <w:tcPr>
            <w:tcW w:w="455" w:type="pct"/>
          </w:tcPr>
          <w:p w14:paraId="78F6D843" w14:textId="77777777" w:rsidR="0061474F" w:rsidRDefault="001F5FE9" w:rsidP="0061474F">
            <w:pPr>
              <w:jc w:val="both"/>
            </w:pPr>
            <w:r w:rsidRPr="001F5FE9">
              <w:t>ReCiPe 2016 (H)</w:t>
            </w:r>
          </w:p>
        </w:tc>
        <w:tc>
          <w:tcPr>
            <w:tcW w:w="966" w:type="pct"/>
          </w:tcPr>
          <w:p w14:paraId="30D373DC" w14:textId="1E494911" w:rsidR="0061474F" w:rsidRPr="002E7302" w:rsidRDefault="001F5FE9" w:rsidP="0061474F">
            <w:pPr>
              <w:jc w:val="both"/>
              <w:rPr>
                <w:lang w:val="en-GB"/>
              </w:rPr>
            </w:pPr>
            <w:r w:rsidRPr="7AC45FB3">
              <w:rPr>
                <w:lang w:val="en-GB"/>
              </w:rPr>
              <w:t xml:space="preserve">data on decommissioning of the electrolysers and </w:t>
            </w:r>
            <w:proofErr w:type="spellStart"/>
            <w:r w:rsidRPr="7AC45FB3">
              <w:rPr>
                <w:lang w:val="en-GB"/>
              </w:rPr>
              <w:t>EoL</w:t>
            </w:r>
            <w:proofErr w:type="spellEnd"/>
            <w:r w:rsidRPr="7AC45FB3">
              <w:rPr>
                <w:lang w:val="en-GB"/>
              </w:rPr>
              <w:t xml:space="preserve"> treatment</w:t>
            </w:r>
            <w:r w:rsidR="6A497A6E" w:rsidRPr="7AC45FB3">
              <w:rPr>
                <w:lang w:val="en-GB"/>
              </w:rPr>
              <w:t xml:space="preserve"> are missing</w:t>
            </w:r>
          </w:p>
        </w:tc>
        <w:tc>
          <w:tcPr>
            <w:tcW w:w="1023" w:type="pct"/>
          </w:tcPr>
          <w:p w14:paraId="3B107997" w14:textId="002BD2AA" w:rsidR="0061474F" w:rsidRDefault="4AC51AD6" w:rsidP="002E21E5">
            <w:pPr>
              <w:jc w:val="both"/>
            </w:pPr>
            <w:r w:rsidRPr="05135B6E">
              <w:rPr>
                <w:lang w:val="en-GB"/>
              </w:rPr>
              <w:t>platinum consumption in manufacturing</w:t>
            </w:r>
            <w:r w:rsidR="00FC25F3">
              <w:rPr>
                <w:lang w:val="en-GB"/>
              </w:rPr>
              <w:t xml:space="preserve"> is affected by variability</w:t>
            </w:r>
            <w:r w:rsidR="7AA3EE80" w:rsidRPr="05135B6E">
              <w:rPr>
                <w:lang w:val="en-GB"/>
              </w:rPr>
              <w:t xml:space="preserve">, </w:t>
            </w:r>
            <w:r w:rsidR="704EB33C" w:rsidRPr="05135B6E">
              <w:rPr>
                <w:lang w:val="en-GB"/>
              </w:rPr>
              <w:t>uncertainty o</w:t>
            </w:r>
            <w:r w:rsidR="5A017A93" w:rsidRPr="05135B6E">
              <w:rPr>
                <w:lang w:val="en-GB"/>
              </w:rPr>
              <w:t>n</w:t>
            </w:r>
            <w:r w:rsidR="704EB33C" w:rsidRPr="05135B6E">
              <w:rPr>
                <w:lang w:val="en-GB"/>
              </w:rPr>
              <w:t xml:space="preserve"> material usage in producing the electrolyte (</w:t>
            </w:r>
            <w:proofErr w:type="spellStart"/>
            <w:r w:rsidR="704EB33C" w:rsidRPr="05135B6E">
              <w:rPr>
                <w:lang w:val="en-GB"/>
              </w:rPr>
              <w:t>Nafion</w:t>
            </w:r>
            <w:proofErr w:type="spellEnd"/>
            <w:r w:rsidR="2B7A149D" w:rsidRPr="05135B6E">
              <w:rPr>
                <w:lang w:val="en-GB"/>
              </w:rPr>
              <w:t>,</w:t>
            </w:r>
            <w:r w:rsidR="704EB33C" w:rsidRPr="05135B6E">
              <w:rPr>
                <w:lang w:val="en-GB"/>
              </w:rPr>
              <w:t xml:space="preserve"> </w:t>
            </w:r>
            <w:proofErr w:type="spellStart"/>
            <w:r w:rsidR="704EB33C" w:rsidRPr="05135B6E">
              <w:rPr>
                <w:lang w:val="en-GB"/>
              </w:rPr>
              <w:t>Zirfon</w:t>
            </w:r>
            <w:proofErr w:type="spellEnd"/>
            <w:r w:rsidR="704EB33C" w:rsidRPr="05135B6E">
              <w:rPr>
                <w:lang w:val="en-US"/>
              </w:rPr>
              <w:t>)</w:t>
            </w:r>
            <w:r w:rsidR="2B7A149D" w:rsidRPr="05135B6E">
              <w:rPr>
                <w:lang w:val="en-US"/>
              </w:rPr>
              <w:t>,</w:t>
            </w:r>
            <w:r w:rsidR="704EB33C" w:rsidRPr="05135B6E">
              <w:rPr>
                <w:lang w:val="en-US"/>
              </w:rPr>
              <w:t xml:space="preserve"> </w:t>
            </w:r>
            <w:r w:rsidR="7AA3EE80" w:rsidRPr="05135B6E">
              <w:rPr>
                <w:lang w:val="en-GB"/>
              </w:rPr>
              <w:t xml:space="preserve">landfill assumed as main </w:t>
            </w:r>
            <w:proofErr w:type="spellStart"/>
            <w:r w:rsidR="7AA3EE80" w:rsidRPr="05135B6E">
              <w:rPr>
                <w:lang w:val="en-GB"/>
              </w:rPr>
              <w:t>EoL</w:t>
            </w:r>
            <w:proofErr w:type="spellEnd"/>
            <w:r w:rsidR="7AA3EE80" w:rsidRPr="05135B6E">
              <w:rPr>
                <w:lang w:val="en-GB"/>
              </w:rPr>
              <w:t xml:space="preserve"> destination</w:t>
            </w:r>
          </w:p>
        </w:tc>
      </w:tr>
      <w:tr w:rsidR="003805F6" w14:paraId="285F2E56" w14:textId="77777777" w:rsidTr="05135B6E">
        <w:trPr>
          <w:cantSplit/>
          <w:trHeight w:val="300"/>
        </w:trPr>
        <w:tc>
          <w:tcPr>
            <w:tcW w:w="567" w:type="pct"/>
          </w:tcPr>
          <w:p w14:paraId="0CB56278" w14:textId="77777777" w:rsidR="0061474F" w:rsidRDefault="0061474F" w:rsidP="0061474F">
            <w:pPr>
              <w:jc w:val="both"/>
            </w:pPr>
            <w:r>
              <w:fldChar w:fldCharType="begin" w:fldLock="1"/>
            </w:r>
            <w:r>
              <w:instrText>ADDIN CSL_CITATION {"citationItems":[{"id":"ITEM-1","itemData":{"DOI":"10.1016/j.seta.2023.103515","ISSN":"22131388","abstract":"A comprehensive life cycle assessment (LCA) was conducted to evaluate three prominent water electrolysis technologies: alkaline electrolysis technology (AEL), polymer electrolyte membrane electrolysis technology (PEM), and solid oxide electrolysis technology (SOEC). These technologies were analyzed in conjunction with both onshore and offshore wind power sources. The assessment encompassed four environmental factors: global warming potential, acidification potential, ozone depletion potential, and eutrophication potential. By quantitatively comparing all six methods while considering their environmental impacts, it has been concluded that the combination of onshore wind power and polymer electrolyte membrane electrolysis technology for hydrogen production demonstrates the lowest global warming potential with a value of 0.0936 kg CO2-eq. This method offers significant advantages in terms of its environmental impact on the entire ecosystem.","author":[{"dropping-particle":"","family":"Zhang","given":"Jinxu","non-dropping-particle":"","parse-names":false,"suffix":""},{"dropping-particle":"","family":"Wang","given":"Zhihua","non-dropping-particle":"","parse-names":false,"suffix":""},{"dropping-particle":"","family":"He","given":"Yong","non-dropping-particle":"","parse-names":false,"suffix":""},{"dropping-particle":"","family":"Li","given":"Mingyang","non-dropping-particle":"","parse-names":false,"suffix":""},{"dropping-particle":"","family":"Wang","given":"Xiaoding","non-dropping-particle":"","parse-names":false,"suffix":""},{"dropping-particle":"","family":"Wang","given":"Bo","non-dropping-particle":"","parse-names":false,"suffix":""},{"dropping-particle":"","family":"Zhu","given":"Yanqun","non-dropping-particle":"","parse-names":false,"suffix":""},{"dropping-particle":"","family":"Cen","given":"Kefa","non-dropping-particle":"","parse-names":false,"suffix":""}],"container-title":"Sustainable Energy Technologies and Assessments","id":"ITEM-1","issue":"October","issued":{"date-parts":[["2023"]]},"page":"103515","publisher":"Elsevier Ltd","title":"Comparison of onshore/offshore wind power hydrogen production through water electrolysis by life cycle assessment","type":"article-journal","volume":"60"},"uris":["http://www.mendeley.com/documents/?uuid=b2207baa-7e90-450c-a7cd-13bb04768e78"]}],"mendeley":{"formattedCitation":"(Zhang et al., 2023)","plainTextFormattedCitation":"(Zhang et al., 2023)","previouslyFormattedCitation":"(Zhang et al., 2023)"},"properties":{"noteIndex":0},"schema":"https://github.com/citation-style-language/schema/raw/master/csl-citation.json"}</w:instrText>
            </w:r>
            <w:r>
              <w:fldChar w:fldCharType="separate"/>
            </w:r>
            <w:r w:rsidRPr="00145529">
              <w:rPr>
                <w:noProof/>
              </w:rPr>
              <w:t>(Zhang et al., 2023)</w:t>
            </w:r>
            <w:r>
              <w:fldChar w:fldCharType="end"/>
            </w:r>
          </w:p>
        </w:tc>
        <w:tc>
          <w:tcPr>
            <w:tcW w:w="512" w:type="pct"/>
          </w:tcPr>
          <w:p w14:paraId="258F3B10" w14:textId="77777777" w:rsidR="0061474F" w:rsidRDefault="00F53E33" w:rsidP="0061474F">
            <w:pPr>
              <w:jc w:val="both"/>
            </w:pPr>
            <w:r>
              <w:t>PEMEL</w:t>
            </w:r>
            <w:r w:rsidR="007A0B5B">
              <w:t xml:space="preserve">, SOEL, </w:t>
            </w:r>
            <w:r w:rsidR="007A0B5B">
              <w:rPr>
                <w:lang w:val="en-GB"/>
              </w:rPr>
              <w:t>AEL</w:t>
            </w:r>
          </w:p>
        </w:tc>
        <w:tc>
          <w:tcPr>
            <w:tcW w:w="966" w:type="pct"/>
          </w:tcPr>
          <w:p w14:paraId="02D99864" w14:textId="3281E84A" w:rsidR="0061474F" w:rsidRPr="002E7302" w:rsidRDefault="3C9888FD" w:rsidP="0061474F">
            <w:pPr>
              <w:jc w:val="both"/>
              <w:rPr>
                <w:lang w:val="en-GB"/>
              </w:rPr>
            </w:pPr>
            <w:r w:rsidRPr="06521F03">
              <w:rPr>
                <w:lang w:val="en-GB"/>
              </w:rPr>
              <w:t>cradle</w:t>
            </w:r>
            <w:r w:rsidR="75716E5C" w:rsidRPr="06521F03">
              <w:rPr>
                <w:lang w:val="en-GB"/>
              </w:rPr>
              <w:t>-</w:t>
            </w:r>
            <w:r w:rsidRPr="06521F03">
              <w:rPr>
                <w:lang w:val="en-GB"/>
              </w:rPr>
              <w:t>to</w:t>
            </w:r>
            <w:r w:rsidR="2DF8AB74" w:rsidRPr="06521F03">
              <w:rPr>
                <w:lang w:val="en-GB"/>
              </w:rPr>
              <w:t>-</w:t>
            </w:r>
            <w:r w:rsidRPr="06521F03">
              <w:rPr>
                <w:lang w:val="en-GB"/>
              </w:rPr>
              <w:t xml:space="preserve">gate production of hydrogen including </w:t>
            </w:r>
            <w:r w:rsidR="11E00C62" w:rsidRPr="06521F03">
              <w:rPr>
                <w:lang w:val="en-GB"/>
              </w:rPr>
              <w:t>manufacturing</w:t>
            </w:r>
            <w:r w:rsidRPr="06521F03">
              <w:rPr>
                <w:lang w:val="en-GB"/>
              </w:rPr>
              <w:t xml:space="preserve"> and use phase of the electrolyser</w:t>
            </w:r>
          </w:p>
        </w:tc>
        <w:tc>
          <w:tcPr>
            <w:tcW w:w="511" w:type="pct"/>
          </w:tcPr>
          <w:p w14:paraId="70B7F8C6" w14:textId="77777777" w:rsidR="0061474F" w:rsidRDefault="00C14ACC" w:rsidP="0061474F">
            <w:pPr>
              <w:jc w:val="both"/>
            </w:pPr>
            <w:r>
              <w:t>E</w:t>
            </w:r>
            <w:r w:rsidR="0061474F">
              <w:t>coinvent (version not specifed)</w:t>
            </w:r>
          </w:p>
        </w:tc>
        <w:tc>
          <w:tcPr>
            <w:tcW w:w="455" w:type="pct"/>
          </w:tcPr>
          <w:p w14:paraId="5CCFAE37" w14:textId="77777777" w:rsidR="0061474F" w:rsidRDefault="0061474F" w:rsidP="0061474F">
            <w:pPr>
              <w:jc w:val="both"/>
            </w:pPr>
            <w:r>
              <w:t>CML 2001 mid-point</w:t>
            </w:r>
          </w:p>
        </w:tc>
        <w:tc>
          <w:tcPr>
            <w:tcW w:w="966" w:type="pct"/>
          </w:tcPr>
          <w:p w14:paraId="265B6AE5" w14:textId="5C6519E9" w:rsidR="0061474F" w:rsidRPr="002E7302" w:rsidRDefault="00FC25F3" w:rsidP="006D03DA">
            <w:pPr>
              <w:jc w:val="both"/>
              <w:rPr>
                <w:lang w:val="en-GB"/>
              </w:rPr>
            </w:pPr>
            <w:r>
              <w:rPr>
                <w:lang w:val="en-US"/>
              </w:rPr>
              <w:t>none</w:t>
            </w:r>
          </w:p>
        </w:tc>
        <w:tc>
          <w:tcPr>
            <w:tcW w:w="1023" w:type="pct"/>
          </w:tcPr>
          <w:p w14:paraId="1C2090C9" w14:textId="7E619305" w:rsidR="0061474F" w:rsidRDefault="2BEDFA58" w:rsidP="05135B6E">
            <w:pPr>
              <w:jc w:val="both"/>
              <w:rPr>
                <w:lang w:val="en-US"/>
              </w:rPr>
            </w:pPr>
            <w:r w:rsidRPr="05135B6E">
              <w:rPr>
                <w:lang w:val="en-US"/>
              </w:rPr>
              <w:t xml:space="preserve">uncertainty in the production process of </w:t>
            </w:r>
            <w:proofErr w:type="spellStart"/>
            <w:r w:rsidRPr="05135B6E">
              <w:rPr>
                <w:lang w:val="en-US"/>
              </w:rPr>
              <w:t>Nafion</w:t>
            </w:r>
            <w:proofErr w:type="spellEnd"/>
            <w:r w:rsidRPr="05135B6E">
              <w:rPr>
                <w:lang w:val="en-US"/>
              </w:rPr>
              <w:t xml:space="preserve"> </w:t>
            </w:r>
            <w:r w:rsidR="47A9CE30" w:rsidRPr="05135B6E">
              <w:rPr>
                <w:lang w:val="en-US"/>
              </w:rPr>
              <w:t>m</w:t>
            </w:r>
            <w:r w:rsidRPr="05135B6E">
              <w:rPr>
                <w:lang w:val="en-US"/>
              </w:rPr>
              <w:t xml:space="preserve">embrane, </w:t>
            </w:r>
            <w:r w:rsidR="00DF7B0A" w:rsidRPr="05135B6E">
              <w:rPr>
                <w:lang w:val="en-US"/>
              </w:rPr>
              <w:t>the impacts of manufacturing the SOEL are assumed to be the same as for SOFC</w:t>
            </w:r>
            <w:r w:rsidR="00FC25F3">
              <w:rPr>
                <w:lang w:val="en-US"/>
              </w:rPr>
              <w:t xml:space="preserve">, </w:t>
            </w:r>
            <w:r w:rsidR="00FC25F3" w:rsidRPr="05135B6E">
              <w:rPr>
                <w:lang w:val="en-US"/>
              </w:rPr>
              <w:t xml:space="preserve">lack of details about the manufacturing process of proton-exchange membrane  </w:t>
            </w:r>
          </w:p>
        </w:tc>
      </w:tr>
      <w:tr w:rsidR="003805F6" w14:paraId="12B411A4" w14:textId="77777777" w:rsidTr="05135B6E">
        <w:trPr>
          <w:cantSplit/>
          <w:trHeight w:val="300"/>
        </w:trPr>
        <w:tc>
          <w:tcPr>
            <w:tcW w:w="567" w:type="pct"/>
          </w:tcPr>
          <w:p w14:paraId="66815F5F" w14:textId="77777777" w:rsidR="0061474F" w:rsidRDefault="0061474F" w:rsidP="0061474F">
            <w:pPr>
              <w:jc w:val="both"/>
            </w:pPr>
            <w:r>
              <w:fldChar w:fldCharType="begin" w:fldLock="1"/>
            </w:r>
            <w:r>
              <w:instrText>ADDIN CSL_CITATION {"citationItems":[{"id":"ITEM-1","itemData":{"DOI":"10.1016/j.apenergy.2019.01.001","ISSN":"03062619","abstract":"This study discusses the potential of H2 production by proton exchange membrane water electrolysis as an effective option to reduce greenhouse gas emissions in the hydrogen sector. To address this topic, a life cycle assessment is conducted to compare proton exchange membrane water electrolysis versus the reference process - steam methane reforming. As a relevant result we show that hydrogen production via proton exchange membrane water electrolysis is a promising technology to reduce CO2 emissions of the hydrogen sector by up to 75%, if the electrolysis system runs exclusively on electricity generated from renewable energy sources. In a future (2050) base-load operation mode emissions are comparable to the reference system. The results for the global warming potential show a strong reduction of greenhouse gas emissions by 2050. The thoroughly and in-depth modeled components of the electrolyser have negligible influence on impact categories; thus, emissions are mainly determined by the electricity mix. With 2017 electricity mix of Germany, the global warming potential corresponds to 29.5 kg CO2 eq. for each kg of produced hydrogen. Referring to the electricity mix we received from an energy model emissions can be reduced to 11.5 kg CO2 eq. in base-load operation by the year 2050. Using only the 3000 h of excess power from renewables in a year will allow for the reduction of the global warming potential to 3.3 kg CO2 eq. From this result we see that an environmentally friendly electricity mix is crucial for reducing the global warming impact of electrolytic hydrogen.","author":[{"dropping-particle":"","family":"Bareiß","given":"Kay","non-dropping-particle":"","parse-names":false,"suffix":""},{"dropping-particle":"","family":"la Rua","given":"Cristina","non-dropping-particle":"de","parse-names":false,"suffix":""},{"dropping-particle":"","family":"Möckl","given":"Maximilian","non-dropping-particle":"","parse-names":false,"suffix":""},{"dropping-particle":"","family":"Hamacher","given":"Thomas","non-dropping-particle":"","parse-names":false,"suffix":""}],"container-title":"Applied Energy","id":"ITEM-1","issue":"January","issued":{"date-parts":[["2019"]]},"page":"862-872","publisher":"Elsevier","title":"Life cycle assessment of hydrogen from proton exchange membrane water electrolysis in future energy systems","type":"article-journal","volume":"237"},"uris":["http://www.mendeley.com/documents/?uuid=571341fd-593f-44ae-a639-6971776163c9"]}],"mendeley":{"formattedCitation":"(Bareiß et al., 2019)","plainTextFormattedCitation":"(Bareiß et al., 2019)","previouslyFormattedCitation":"(Bareiß et al., 2019)"},"properties":{"noteIndex":0},"schema":"https://github.com/citation-style-language/schema/raw/master/csl-citation.json"}</w:instrText>
            </w:r>
            <w:r>
              <w:fldChar w:fldCharType="separate"/>
            </w:r>
            <w:r w:rsidRPr="00F06A2B">
              <w:rPr>
                <w:noProof/>
              </w:rPr>
              <w:t>(Bareiß et al., 2019)</w:t>
            </w:r>
            <w:r>
              <w:fldChar w:fldCharType="end"/>
            </w:r>
          </w:p>
          <w:p w14:paraId="0C34C051" w14:textId="77777777" w:rsidR="0061474F" w:rsidRDefault="0061474F" w:rsidP="0061474F">
            <w:pPr>
              <w:jc w:val="both"/>
            </w:pPr>
          </w:p>
        </w:tc>
        <w:tc>
          <w:tcPr>
            <w:tcW w:w="512" w:type="pct"/>
          </w:tcPr>
          <w:p w14:paraId="5EC2A01E" w14:textId="77777777" w:rsidR="0061474F" w:rsidRDefault="00F53E33" w:rsidP="0061474F">
            <w:pPr>
              <w:jc w:val="both"/>
            </w:pPr>
            <w:r>
              <w:t>PEMEL</w:t>
            </w:r>
          </w:p>
        </w:tc>
        <w:tc>
          <w:tcPr>
            <w:tcW w:w="966" w:type="pct"/>
          </w:tcPr>
          <w:p w14:paraId="6B857DAE" w14:textId="6BF1AE14" w:rsidR="0061474F" w:rsidRPr="002E7302" w:rsidRDefault="627FAA77" w:rsidP="0061474F">
            <w:pPr>
              <w:jc w:val="both"/>
              <w:rPr>
                <w:lang w:val="en-GB"/>
              </w:rPr>
            </w:pPr>
            <w:r w:rsidRPr="528E8AD9">
              <w:rPr>
                <w:lang w:val="en-GB"/>
              </w:rPr>
              <w:t>cradle</w:t>
            </w:r>
            <w:r w:rsidR="146B0EFB" w:rsidRPr="528E8AD9">
              <w:rPr>
                <w:lang w:val="en-GB"/>
              </w:rPr>
              <w:t>-</w:t>
            </w:r>
            <w:r w:rsidRPr="528E8AD9">
              <w:rPr>
                <w:lang w:val="en-GB"/>
              </w:rPr>
              <w:t>to</w:t>
            </w:r>
            <w:r w:rsidR="58DF1E3C" w:rsidRPr="528E8AD9">
              <w:rPr>
                <w:lang w:val="en-GB"/>
              </w:rPr>
              <w:t>-</w:t>
            </w:r>
            <w:r w:rsidRPr="528E8AD9">
              <w:rPr>
                <w:lang w:val="en-GB"/>
              </w:rPr>
              <w:t>gate production of hydrogen including production and use phase of the electrolyser</w:t>
            </w:r>
          </w:p>
        </w:tc>
        <w:tc>
          <w:tcPr>
            <w:tcW w:w="511" w:type="pct"/>
          </w:tcPr>
          <w:p w14:paraId="7B3373CB" w14:textId="45A983CD" w:rsidR="0061474F" w:rsidRPr="002E7302" w:rsidRDefault="00736ACE" w:rsidP="0061474F">
            <w:pPr>
              <w:jc w:val="both"/>
              <w:rPr>
                <w:lang w:val="en-GB"/>
              </w:rPr>
            </w:pPr>
            <w:proofErr w:type="spellStart"/>
            <w:r>
              <w:rPr>
                <w:lang w:val="en-GB"/>
              </w:rPr>
              <w:t>Ecoinvent</w:t>
            </w:r>
            <w:proofErr w:type="spellEnd"/>
            <w:r>
              <w:rPr>
                <w:lang w:val="en-GB"/>
              </w:rPr>
              <w:t xml:space="preserve"> 3.3</w:t>
            </w:r>
          </w:p>
        </w:tc>
        <w:tc>
          <w:tcPr>
            <w:tcW w:w="455" w:type="pct"/>
          </w:tcPr>
          <w:p w14:paraId="7FEE2F0C" w14:textId="654C3C72" w:rsidR="0061474F" w:rsidRPr="002E7302" w:rsidRDefault="00736ACE" w:rsidP="0061474F">
            <w:pPr>
              <w:jc w:val="both"/>
              <w:rPr>
                <w:lang w:val="en-GB"/>
              </w:rPr>
            </w:pPr>
            <w:proofErr w:type="spellStart"/>
            <w:r w:rsidRPr="00736ACE">
              <w:rPr>
                <w:lang w:val="en-GB"/>
              </w:rPr>
              <w:t>ReCiPe</w:t>
            </w:r>
            <w:proofErr w:type="spellEnd"/>
            <w:r w:rsidRPr="00736ACE">
              <w:rPr>
                <w:lang w:val="en-GB"/>
              </w:rPr>
              <w:t xml:space="preserve"> Midpoint</w:t>
            </w:r>
          </w:p>
        </w:tc>
        <w:tc>
          <w:tcPr>
            <w:tcW w:w="966" w:type="pct"/>
          </w:tcPr>
          <w:p w14:paraId="6F8FECBF" w14:textId="31B0146D" w:rsidR="0061474F" w:rsidRPr="002E7302" w:rsidRDefault="00A37626" w:rsidP="00FC25F3">
            <w:pPr>
              <w:jc w:val="both"/>
              <w:rPr>
                <w:lang w:val="en-GB"/>
              </w:rPr>
            </w:pPr>
            <w:r w:rsidRPr="05135B6E">
              <w:rPr>
                <w:lang w:val="en-GB"/>
              </w:rPr>
              <w:t xml:space="preserve">Missing background data </w:t>
            </w:r>
            <w:r w:rsidR="00FC25F3">
              <w:rPr>
                <w:lang w:val="en-GB"/>
              </w:rPr>
              <w:t>to represent the</w:t>
            </w:r>
            <w:r w:rsidRPr="05135B6E">
              <w:rPr>
                <w:lang w:val="en-GB"/>
              </w:rPr>
              <w:t xml:space="preserve"> geographical and time horizon defined</w:t>
            </w:r>
            <w:r w:rsidR="00FC25F3">
              <w:rPr>
                <w:lang w:val="en-GB"/>
              </w:rPr>
              <w:t xml:space="preserve"> in the study</w:t>
            </w:r>
          </w:p>
        </w:tc>
        <w:tc>
          <w:tcPr>
            <w:tcW w:w="1023" w:type="pct"/>
          </w:tcPr>
          <w:p w14:paraId="7F7A524B" w14:textId="380B9D7B" w:rsidR="0061474F" w:rsidRDefault="77E81F4B" w:rsidP="00FC7A3F">
            <w:pPr>
              <w:jc w:val="both"/>
            </w:pPr>
            <w:r>
              <w:t>Mass of the electrolyser sealing material, plus</w:t>
            </w:r>
            <w:r w:rsidR="4A33F994">
              <w:t xml:space="preserve"> that of</w:t>
            </w:r>
            <w:r>
              <w:t xml:space="preserve"> the inlet and outlet fittings ha</w:t>
            </w:r>
            <w:r w:rsidR="6D6423FA">
              <w:t>ve</w:t>
            </w:r>
            <w:r>
              <w:t xml:space="preserve"> been neglected, materials of the B</w:t>
            </w:r>
            <w:r w:rsidR="4BE6122C">
              <w:t>o</w:t>
            </w:r>
            <w:r>
              <w:t>P are conservatively estimated due to high uncertainty</w:t>
            </w:r>
          </w:p>
        </w:tc>
      </w:tr>
      <w:tr w:rsidR="003805F6" w14:paraId="5CC7A63A" w14:textId="77777777" w:rsidTr="05135B6E">
        <w:trPr>
          <w:cantSplit/>
          <w:trHeight w:val="300"/>
        </w:trPr>
        <w:tc>
          <w:tcPr>
            <w:tcW w:w="567" w:type="pct"/>
          </w:tcPr>
          <w:p w14:paraId="211586F0" w14:textId="77777777" w:rsidR="0061474F" w:rsidRDefault="0061474F" w:rsidP="0061474F">
            <w:pPr>
              <w:jc w:val="both"/>
            </w:pPr>
            <w:r>
              <w:lastRenderedPageBreak/>
              <w:fldChar w:fldCharType="begin" w:fldLock="1"/>
            </w:r>
            <w:r>
              <w:instrText>ADDIN CSL_CITATION {"citationItems":[{"id":"ITEM-1","itemData":{"DOI":"10.1016/j.ijhydene.2020.06.190","ISSN":"03603199","abstract":"We present the results of a life-cycle assessment (LCA) for the manufacturing and end-of-life (EoL) phases of the following fuel-cell and hydrogen (FCH) technologies: alkaline water electrolyser (AWE), polymer-electrolyte-membrane water electrolyser (PEMWE), high-temperature (HT) and low-temperature (LT) polymer-electrolyte-membrane fuel cells (PEMFCs), together with the balance-of-plant components. New life-cycle inventories (LCIs), i.e., material inputs for the AWE, PEMWE and HT PEMFC are developed, whereas the existing LCI for the LT PEMFC is adopted from a previous EU-funded project. The LCA models for all four FCH technologies are created by modelling the manufacturing phase, followed by defining the EoL strategies and processes used and finally by assessing the effects of the EoL approach using environmental indicators. The effects are analysed with a stepwise approach, where the CML2001 assessment method is used to evaluate the environmental impacts. The results show that the environmental impacts of the manufacturing phase can be substantially reduced by using the proposed EoL strategies (i.e., recycled materials being used in the manufacturing phase and replacing some of the virgin materials). To point out the importance of critical materials (in this case, the platinum-group metals or PGMs) and their recycling strategies, further analyses were made. By comparing the EoL phase with and without the recycling of PGMs, an increase in the environmental impacts is observed, which is much greater in the case of both fuel-cell systems, because they contain a larger quantity of PGMs.","author":[{"dropping-particle":"","family":"Lotrič","given":"Andrej","non-dropping-particle":"","parse-names":false,"suffix":""},{"dropping-particle":"","family":"Sekavčnik","given":"Mihael","non-dropping-particle":"","parse-names":false,"suffix":""},{"dropping-particle":"","family":"Kuštrin","given":"Igor","non-dropping-particle":"","parse-names":false,"suffix":""},{"dropping-particle":"","family":"Mori","given":"Mitja","non-dropping-particle":"","parse-names":false,"suffix":""}],"container-title":"International Journal of Hydrogen Energy","id":"ITEM-1","issue":"16","issued":{"date-parts":[["2021"]]},"page":"10143-10160","title":"Life-cycle assessment of hydrogen technologies with the focus on EU critical raw materials and end-of-life strategies","type":"article-journal","volume":"46"},"uris":["http://www.mendeley.com/documents/?uuid=7968135f-dfcf-4c2e-ac59-3b5fb5020a99"]}],"mendeley":{"formattedCitation":"(Lotrič et al., 2021)","plainTextFormattedCitation":"(Lotrič et al., 2021)","previouslyFormattedCitation":"(Lotrič et al., 2021)"},"properties":{"noteIndex":0},"schema":"https://github.com/citation-style-language/schema/raw/master/csl-citation.json"}</w:instrText>
            </w:r>
            <w:r>
              <w:fldChar w:fldCharType="separate"/>
            </w:r>
            <w:r w:rsidRPr="008340FC">
              <w:rPr>
                <w:noProof/>
              </w:rPr>
              <w:t>(Lotrič et al., 2021)</w:t>
            </w:r>
            <w:r>
              <w:fldChar w:fldCharType="end"/>
            </w:r>
          </w:p>
          <w:p w14:paraId="51E66E2B" w14:textId="77777777" w:rsidR="0061474F" w:rsidRDefault="0061474F" w:rsidP="0061474F">
            <w:pPr>
              <w:jc w:val="both"/>
            </w:pPr>
          </w:p>
        </w:tc>
        <w:tc>
          <w:tcPr>
            <w:tcW w:w="512" w:type="pct"/>
          </w:tcPr>
          <w:p w14:paraId="101D3E51" w14:textId="77777777" w:rsidR="0061474F" w:rsidRDefault="00F53E33" w:rsidP="0061474F">
            <w:pPr>
              <w:jc w:val="both"/>
            </w:pPr>
            <w:r>
              <w:t>PEMEL</w:t>
            </w:r>
            <w:r w:rsidR="007A0B5B">
              <w:t xml:space="preserve">, AEL, </w:t>
            </w:r>
            <w:r w:rsidR="007A0B5B">
              <w:rPr>
                <w:lang w:val="en-GB"/>
              </w:rPr>
              <w:t>PEMFC</w:t>
            </w:r>
          </w:p>
        </w:tc>
        <w:tc>
          <w:tcPr>
            <w:tcW w:w="966" w:type="pct"/>
          </w:tcPr>
          <w:p w14:paraId="4CEC62F8" w14:textId="77777777" w:rsidR="0061474F" w:rsidRPr="002E7302" w:rsidRDefault="0061474F" w:rsidP="0061474F">
            <w:pPr>
              <w:jc w:val="both"/>
              <w:rPr>
                <w:lang w:val="en-GB"/>
              </w:rPr>
            </w:pPr>
            <w:r w:rsidRPr="002E7302">
              <w:rPr>
                <w:lang w:val="en-GB"/>
              </w:rPr>
              <w:t>stack manufacturing, end of life</w:t>
            </w:r>
          </w:p>
        </w:tc>
        <w:tc>
          <w:tcPr>
            <w:tcW w:w="511" w:type="pct"/>
          </w:tcPr>
          <w:p w14:paraId="239DB11E" w14:textId="30A54888" w:rsidR="0061474F" w:rsidRPr="002E7302" w:rsidRDefault="001B3DF3" w:rsidP="0061474F">
            <w:pPr>
              <w:jc w:val="both"/>
              <w:rPr>
                <w:lang w:val="en-GB"/>
              </w:rPr>
            </w:pPr>
            <w:proofErr w:type="spellStart"/>
            <w:r>
              <w:rPr>
                <w:lang w:val="en-GB"/>
              </w:rPr>
              <w:t>e</w:t>
            </w:r>
            <w:r w:rsidR="00A37626">
              <w:rPr>
                <w:lang w:val="en-GB"/>
              </w:rPr>
              <w:t>coinvent</w:t>
            </w:r>
            <w:proofErr w:type="spellEnd"/>
            <w:r w:rsidR="00A37626">
              <w:rPr>
                <w:lang w:val="en-GB"/>
              </w:rPr>
              <w:t xml:space="preserve"> 3.3, </w:t>
            </w:r>
            <w:proofErr w:type="spellStart"/>
            <w:r w:rsidR="00A37626" w:rsidRPr="00A37626">
              <w:rPr>
                <w:lang w:val="en-GB"/>
              </w:rPr>
              <w:t>GaBi</w:t>
            </w:r>
            <w:proofErr w:type="spellEnd"/>
            <w:r w:rsidR="00A37626" w:rsidRPr="00A37626">
              <w:rPr>
                <w:lang w:val="en-GB"/>
              </w:rPr>
              <w:t xml:space="preserve"> </w:t>
            </w:r>
            <w:proofErr w:type="spellStart"/>
            <w:r w:rsidR="00A37626" w:rsidRPr="00A37626">
              <w:rPr>
                <w:lang w:val="en-GB"/>
              </w:rPr>
              <w:t>Thinkstep</w:t>
            </w:r>
            <w:proofErr w:type="spellEnd"/>
            <w:r w:rsidR="00A37626" w:rsidRPr="00A37626">
              <w:rPr>
                <w:lang w:val="en-GB"/>
              </w:rPr>
              <w:t xml:space="preserve"> Professional</w:t>
            </w:r>
          </w:p>
        </w:tc>
        <w:tc>
          <w:tcPr>
            <w:tcW w:w="455" w:type="pct"/>
          </w:tcPr>
          <w:p w14:paraId="73A08A63" w14:textId="1B50BA5C" w:rsidR="0061474F" w:rsidRPr="002E7302" w:rsidRDefault="00A37626" w:rsidP="0061474F">
            <w:pPr>
              <w:jc w:val="both"/>
              <w:rPr>
                <w:lang w:val="en-GB"/>
              </w:rPr>
            </w:pPr>
            <w:r w:rsidRPr="00A37626">
              <w:rPr>
                <w:lang w:val="en-GB"/>
              </w:rPr>
              <w:t>CML</w:t>
            </w:r>
            <w:r>
              <w:rPr>
                <w:lang w:val="en-GB"/>
              </w:rPr>
              <w:t xml:space="preserve"> </w:t>
            </w:r>
            <w:r w:rsidRPr="00A37626">
              <w:rPr>
                <w:lang w:val="en-GB"/>
              </w:rPr>
              <w:t>2001</w:t>
            </w:r>
            <w:r>
              <w:rPr>
                <w:lang w:val="en-GB"/>
              </w:rPr>
              <w:t xml:space="preserve"> Midpoint</w:t>
            </w:r>
          </w:p>
        </w:tc>
        <w:tc>
          <w:tcPr>
            <w:tcW w:w="966" w:type="pct"/>
          </w:tcPr>
          <w:p w14:paraId="70E9E489" w14:textId="4D703F1C" w:rsidR="0061474F" w:rsidRPr="002E7302" w:rsidRDefault="6200AF92" w:rsidP="00564B3E">
            <w:pPr>
              <w:jc w:val="both"/>
              <w:rPr>
                <w:lang w:val="en-GB"/>
              </w:rPr>
            </w:pPr>
            <w:r w:rsidRPr="528E8AD9">
              <w:rPr>
                <w:lang w:val="en-GB"/>
              </w:rPr>
              <w:t xml:space="preserve">unavailable data on  </w:t>
            </w:r>
            <w:proofErr w:type="spellStart"/>
            <w:r w:rsidR="627FAA77" w:rsidRPr="528E8AD9">
              <w:rPr>
                <w:lang w:val="en-GB"/>
              </w:rPr>
              <w:t>EoL</w:t>
            </w:r>
            <w:proofErr w:type="spellEnd"/>
            <w:r w:rsidR="627FAA77" w:rsidRPr="528E8AD9">
              <w:rPr>
                <w:lang w:val="en-GB"/>
              </w:rPr>
              <w:t xml:space="preserve"> treatment of waste titanium bipolar plates</w:t>
            </w:r>
            <w:r w:rsidRPr="528E8AD9">
              <w:rPr>
                <w:lang w:val="en-GB"/>
              </w:rPr>
              <w:t>, unavailable data on treatment of the spent solvent used for recovering the catalyst</w:t>
            </w:r>
            <w:r w:rsidR="006FBC00" w:rsidRPr="528E8AD9">
              <w:rPr>
                <w:lang w:val="en-GB"/>
              </w:rPr>
              <w:t xml:space="preserve"> (hydrometallurgy</w:t>
            </w:r>
            <w:r w:rsidR="006FBC00" w:rsidRPr="528E8AD9">
              <w:rPr>
                <w:lang w:val="en-US"/>
              </w:rPr>
              <w:t>)</w:t>
            </w:r>
            <w:r w:rsidRPr="528E8AD9">
              <w:rPr>
                <w:lang w:val="en-GB"/>
              </w:rPr>
              <w:t>, no data on the electricity consumption in the manufacturing phase</w:t>
            </w:r>
            <w:r w:rsidR="0E942EDB" w:rsidRPr="528E8AD9">
              <w:rPr>
                <w:lang w:val="en-GB"/>
              </w:rPr>
              <w:t>,</w:t>
            </w:r>
            <w:r w:rsidR="1D385BF9" w:rsidRPr="528E8AD9">
              <w:rPr>
                <w:lang w:val="en-GB"/>
              </w:rPr>
              <w:t xml:space="preserve"> on</w:t>
            </w:r>
            <w:r w:rsidR="0E942EDB" w:rsidRPr="528E8AD9">
              <w:rPr>
                <w:lang w:val="en-GB"/>
              </w:rPr>
              <w:t xml:space="preserve"> manufacturing </w:t>
            </w:r>
            <w:r w:rsidR="1AC97AC9" w:rsidRPr="528E8AD9">
              <w:rPr>
                <w:lang w:val="en-GB"/>
              </w:rPr>
              <w:t xml:space="preserve">of </w:t>
            </w:r>
            <w:r w:rsidR="0E942EDB" w:rsidRPr="528E8AD9">
              <w:rPr>
                <w:lang w:val="en-GB"/>
              </w:rPr>
              <w:t>the burner catalyst support</w:t>
            </w:r>
            <w:r w:rsidR="34B29917" w:rsidRPr="528E8AD9">
              <w:rPr>
                <w:lang w:val="en-GB"/>
              </w:rPr>
              <w:t>,</w:t>
            </w:r>
            <w:r w:rsidR="2C1B87A2" w:rsidRPr="528E8AD9">
              <w:rPr>
                <w:lang w:val="en-GB"/>
              </w:rPr>
              <w:t xml:space="preserve"> and on</w:t>
            </w:r>
            <w:r w:rsidR="34B29917" w:rsidRPr="528E8AD9">
              <w:rPr>
                <w:lang w:val="en-GB"/>
              </w:rPr>
              <w:t xml:space="preserve"> </w:t>
            </w:r>
            <w:r w:rsidR="34B29917" w:rsidRPr="528E8AD9">
              <w:rPr>
                <w:lang w:val="en-US"/>
              </w:rPr>
              <w:t>production of sulfonated polyether ether ketone (s‐ PEEK)</w:t>
            </w:r>
          </w:p>
        </w:tc>
        <w:tc>
          <w:tcPr>
            <w:tcW w:w="1023" w:type="pct"/>
          </w:tcPr>
          <w:p w14:paraId="57F13D40" w14:textId="5E1831CF" w:rsidR="0061474F" w:rsidRDefault="00864FF1" w:rsidP="00864FF1">
            <w:pPr>
              <w:jc w:val="both"/>
            </w:pPr>
            <w:r>
              <w:t xml:space="preserve">When LCI data are not available, </w:t>
            </w:r>
            <w:r w:rsidR="00564B3E">
              <w:t xml:space="preserve">impacts are not accounted </w:t>
            </w:r>
            <w:r>
              <w:t xml:space="preserve">for </w:t>
            </w:r>
          </w:p>
        </w:tc>
      </w:tr>
      <w:tr w:rsidR="003805F6" w14:paraId="7A7B5F13" w14:textId="77777777" w:rsidTr="05135B6E">
        <w:trPr>
          <w:cantSplit/>
          <w:trHeight w:val="300"/>
        </w:trPr>
        <w:tc>
          <w:tcPr>
            <w:tcW w:w="567" w:type="pct"/>
          </w:tcPr>
          <w:p w14:paraId="7240E113" w14:textId="77777777" w:rsidR="0061474F" w:rsidRDefault="0061474F" w:rsidP="0061474F">
            <w:pPr>
              <w:jc w:val="both"/>
            </w:pPr>
            <w:r>
              <w:fldChar w:fldCharType="begin" w:fldLock="1"/>
            </w:r>
            <w:r>
              <w:instrText>ADDIN CSL_CITATION {"citationItems":[{"id":"ITEM-1","itemData":{"DOI":"10.1016/j.ijhydene.2022.09.125","ISSN":"03603199","abstract":"Reducing greenhouse gas emissions is an important task to reduce the adverse effects of climate change. A large portion of greenhouse gas emissions apparently originates from the transportation sector. Therefore, adopting cleaner technologies with lower emission footprints has become vital. For this reason, in this study, a life cycle impact analysis of hydrogen production technologies as an alternative to fossil fuels and the utilization of hydrogen in fuel cell electric buses is carried out. According to the results of this study, the operational contributions of internal combustion engines have a significant impact on life cycle impact analysis indicators. The global warming potentials of clean hydrogen production technologies result in much lower results compared to conventional hydrogen production technologies. Also, almost all indicators for biohydrogen production technologiess yield lower results because of the wastewater removal. The global warming potential results of hydrogen production methods are found to be 6.8, 1.9, 2.1, 0.5, 0.2, and 7.9 kg CO2 eq./kg H2 for PV electrolysis, wind electrolysis, high temperature electrolysis, dark fermentation, photo fermentation and conventional hydrogen production, respectively. However, the chemicals used in PV and wind turbine production increased the ecotoxicological indicators. On the other hand, hydrogen utilization in buses is a better option environmentally. The global warming potentials for PV electrolysis, wind electrolysis, high temperature electrolysis, dark fermentation, photo fermentation, conventional hydrogen, compressed natural gas bus, and diesel bus are found to be 0.060, 0.016, 0.018, 0.007, 0.006, 0.053, 0.082, and 0.125 kg CO2 eq./p.km, respectively. The results are especially important in terms of reducing the effects at the source and optimizing the systems.","author":[{"dropping-particle":"","family":"Aydin","given":"Muhammed Iberia","non-dropping-particle":"","parse-names":false,"suffix":""},{"dropping-particle":"","family":"Dincer","given":"Ibrahim","non-dropping-particle":"","parse-names":false,"suffix":""}],"container-title":"International Journal of Hydrogen Energy","id":"ITEM-1","issue":"93","issued":{"date-parts":[["2022"]]},"page":"39666-39677","publisher":"Hydrogen Energy Publications LLC","title":"A life cycle impact analysis of various hydrogen production methods for public transportation sector","type":"article-journal","volume":"47"},"uris":["http://www.mendeley.com/documents/?uuid=1a4d748b-e1a2-4fc3-a1bb-3a017baedffc"]}],"mendeley":{"formattedCitation":"(Aydin &amp; Dincer, 2022)","plainTextFormattedCitation":"(Aydin &amp; Dincer, 2022)","previouslyFormattedCitation":"(Aydin &amp; Dincer, 2022)"},"properties":{"noteIndex":0},"schema":"https://github.com/citation-style-language/schema/raw/master/csl-citation.json"}</w:instrText>
            </w:r>
            <w:r>
              <w:fldChar w:fldCharType="separate"/>
            </w:r>
            <w:r w:rsidRPr="00DC2421">
              <w:rPr>
                <w:noProof/>
              </w:rPr>
              <w:t>(Aydin &amp; Dincer, 2022)</w:t>
            </w:r>
            <w:r>
              <w:fldChar w:fldCharType="end"/>
            </w:r>
          </w:p>
          <w:p w14:paraId="3E078638" w14:textId="77777777" w:rsidR="0061474F" w:rsidRDefault="0061474F" w:rsidP="0061474F">
            <w:pPr>
              <w:jc w:val="both"/>
            </w:pPr>
          </w:p>
        </w:tc>
        <w:tc>
          <w:tcPr>
            <w:tcW w:w="512" w:type="pct"/>
          </w:tcPr>
          <w:p w14:paraId="41B4F6F9" w14:textId="77777777" w:rsidR="0061474F" w:rsidRDefault="00F53E33" w:rsidP="0061474F">
            <w:pPr>
              <w:jc w:val="both"/>
            </w:pPr>
            <w:r>
              <w:t>PEMEL</w:t>
            </w:r>
            <w:r w:rsidR="00986930">
              <w:t xml:space="preserve">, </w:t>
            </w:r>
            <w:r w:rsidR="00986930">
              <w:rPr>
                <w:lang w:val="en-GB"/>
              </w:rPr>
              <w:t>PEMFC</w:t>
            </w:r>
          </w:p>
        </w:tc>
        <w:tc>
          <w:tcPr>
            <w:tcW w:w="966" w:type="pct"/>
          </w:tcPr>
          <w:p w14:paraId="5673861F" w14:textId="77777777" w:rsidR="0061474F" w:rsidRPr="002E7302" w:rsidRDefault="0061474F" w:rsidP="0061474F">
            <w:pPr>
              <w:jc w:val="both"/>
              <w:rPr>
                <w:lang w:val="en-GB"/>
              </w:rPr>
            </w:pPr>
            <w:r w:rsidRPr="002E7302">
              <w:rPr>
                <w:lang w:val="en-GB"/>
              </w:rPr>
              <w:t>hydrogen production, storage and use in FC electric buses (FCEB) cradle-to-gate</w:t>
            </w:r>
          </w:p>
        </w:tc>
        <w:tc>
          <w:tcPr>
            <w:tcW w:w="511" w:type="pct"/>
          </w:tcPr>
          <w:p w14:paraId="28ED4109" w14:textId="4FDC62DF" w:rsidR="0061474F" w:rsidRPr="002E7302" w:rsidRDefault="001B3DF3" w:rsidP="0061474F">
            <w:pPr>
              <w:jc w:val="both"/>
              <w:rPr>
                <w:lang w:val="en-GB"/>
              </w:rPr>
            </w:pPr>
            <w:proofErr w:type="spellStart"/>
            <w:r>
              <w:rPr>
                <w:lang w:val="en-GB"/>
              </w:rPr>
              <w:t>e</w:t>
            </w:r>
            <w:r w:rsidR="00285DA6">
              <w:rPr>
                <w:lang w:val="en-GB"/>
              </w:rPr>
              <w:t>coinvent</w:t>
            </w:r>
            <w:proofErr w:type="spellEnd"/>
            <w:r w:rsidR="00285DA6">
              <w:rPr>
                <w:lang w:val="en-GB"/>
              </w:rPr>
              <w:t xml:space="preserve"> 3</w:t>
            </w:r>
          </w:p>
        </w:tc>
        <w:tc>
          <w:tcPr>
            <w:tcW w:w="455" w:type="pct"/>
          </w:tcPr>
          <w:p w14:paraId="30E4ADB8" w14:textId="6749D64D" w:rsidR="0061474F" w:rsidRPr="002E7302" w:rsidRDefault="00285DA6" w:rsidP="0061474F">
            <w:pPr>
              <w:jc w:val="both"/>
              <w:rPr>
                <w:lang w:val="en-GB"/>
              </w:rPr>
            </w:pPr>
            <w:proofErr w:type="spellStart"/>
            <w:r w:rsidRPr="00285DA6">
              <w:rPr>
                <w:lang w:val="en-GB"/>
              </w:rPr>
              <w:t>ReCiPe</w:t>
            </w:r>
            <w:proofErr w:type="spellEnd"/>
            <w:r w:rsidRPr="00285DA6">
              <w:rPr>
                <w:lang w:val="en-GB"/>
              </w:rPr>
              <w:t xml:space="preserve"> 2016 midpoint</w:t>
            </w:r>
          </w:p>
        </w:tc>
        <w:tc>
          <w:tcPr>
            <w:tcW w:w="966" w:type="pct"/>
          </w:tcPr>
          <w:p w14:paraId="4FE92F34" w14:textId="71F598FE" w:rsidR="0061474F" w:rsidRPr="002E7302" w:rsidRDefault="00615B11" w:rsidP="004742E6">
            <w:pPr>
              <w:jc w:val="both"/>
              <w:rPr>
                <w:lang w:val="en-GB"/>
              </w:rPr>
            </w:pPr>
            <w:r w:rsidRPr="00615B11">
              <w:rPr>
                <w:lang w:val="en-GB"/>
              </w:rPr>
              <w:t>no background</w:t>
            </w:r>
            <w:r w:rsidR="00BD5BA6">
              <w:rPr>
                <w:lang w:val="en-GB"/>
              </w:rPr>
              <w:t xml:space="preserve"> LCI</w:t>
            </w:r>
            <w:r w:rsidRPr="00615B11">
              <w:rPr>
                <w:lang w:val="en-GB"/>
              </w:rPr>
              <w:t xml:space="preserve"> data for the catalysts (</w:t>
            </w:r>
            <w:proofErr w:type="spellStart"/>
            <w:r w:rsidR="004742E6">
              <w:rPr>
                <w:lang w:val="en-GB"/>
              </w:rPr>
              <w:t>I</w:t>
            </w:r>
            <w:r w:rsidRPr="00615B11">
              <w:rPr>
                <w:lang w:val="en-GB"/>
              </w:rPr>
              <w:t>r</w:t>
            </w:r>
            <w:proofErr w:type="spellEnd"/>
            <w:r w:rsidRPr="00615B11">
              <w:rPr>
                <w:lang w:val="en-GB"/>
              </w:rPr>
              <w:t xml:space="preserve"> and Ru oxides)</w:t>
            </w:r>
          </w:p>
        </w:tc>
        <w:tc>
          <w:tcPr>
            <w:tcW w:w="1023" w:type="pct"/>
          </w:tcPr>
          <w:p w14:paraId="3FC4C30B" w14:textId="5A5818D6" w:rsidR="0061474F" w:rsidRDefault="00615B11" w:rsidP="00615B11">
            <w:pPr>
              <w:jc w:val="both"/>
            </w:pPr>
            <w:r>
              <w:t>LCI data of the production processes are retrieved from literature and affected by large variability</w:t>
            </w:r>
          </w:p>
        </w:tc>
      </w:tr>
      <w:tr w:rsidR="003805F6" w14:paraId="220AA777" w14:textId="77777777" w:rsidTr="05135B6E">
        <w:trPr>
          <w:cantSplit/>
          <w:trHeight w:val="300"/>
        </w:trPr>
        <w:tc>
          <w:tcPr>
            <w:tcW w:w="567" w:type="pct"/>
          </w:tcPr>
          <w:p w14:paraId="69FB5330" w14:textId="77777777" w:rsidR="0061474F" w:rsidRDefault="0061474F" w:rsidP="0061474F">
            <w:pPr>
              <w:jc w:val="both"/>
            </w:pPr>
            <w:r>
              <w:fldChar w:fldCharType="begin" w:fldLock="1"/>
            </w:r>
            <w:r>
              <w:instrText>ADDIN CSL_CITATION {"citationItems":[{"id":"ITEM-1","itemData":{"DOI":"10.1039/d2ee01023b","ISSN":"17545706","abstract":"Low-carbon (green) hydrogen can be generated via water electrolysis using photovoltaic, wind, hydropower, or decarbonized grid electricity. This work quantifies current and future costs as well as environmental burdens of large-scale hydrogen production systems on geographical islands, which exhibit high renewable energy potentials and could act as hydrogen export hubs. Different hydrogen production configurations are examined, considering a daily hydrogen production rate of 10 tonnes, on hydrogen production costs, life cycle greenhouse gas emissions, material utilization, and land transformation. The results demonstrate that electrolytic hydrogen production costs of 3.7 Euro per kg H2 are within reach today and that a reduction to 2 Euro per kg H2 in year 2040 is likely, hence approaching cost parity with hydrogen from natural gas reforming even when applying “historical” natural gas prices. The recent surge of natural gas prices shows that cost parity between green and grey hydrogen can already be achieved today. Producing hydrogen via water electrolysis with low costs and low GHG emissions is only possible at very specific locations nowadays. Hybrid configurations using different electricity supply options demonstrate the best economic performance in combination with low environmental burdens. Autonomous hydrogen production systems are especially effective to produce low-carbon hydrogen, although the production of larger sized system components can exhibit significant environmental burdens and investments. Some materials (especially iridium) and the availability of land can be limiting factors when scaling up green hydrogen production with polymer electrolyte membrane (PEM) electrolyzers. This implies that decision-makers should consider aspects beyond costs and GHG emissions when designing large-scale hydrogen production systems to avoid risks coming along with the supply of, for example, scarce materials.","author":[{"dropping-particle":"","family":"Terlouw","given":"Tom","non-dropping-particle":"","parse-names":false,"suffix":""},{"dropping-particle":"","family":"Bauer","given":"Christian","non-dropping-particle":"","parse-names":false,"suffix":""},{"dropping-particle":"","family":"McKenna","given":"Russell","non-dropping-particle":"","parse-names":false,"suffix":""},{"dropping-particle":"","family":"Mazzotti","given":"Marco","non-dropping-particle":"","parse-names":false,"suffix":""}],"container-title":"Energy and Environmental Science","id":"ITEM-1","issue":"9","issued":{"date-parts":[["2022"]]},"page":"3583-3602","publisher":"Royal Society of Chemistry","title":"Large-scale hydrogen production via water electrolysis: a techno-economic and environmental assessment","type":"article-journal","volume":"15"},"uris":["http://www.mendeley.com/documents/?uuid=49e9ec2f-1b1d-49e5-b7a8-060d0c04f47d"]}],"mendeley":{"formattedCitation":"(Terlouw et al., 2022)","plainTextFormattedCitation":"(Terlouw et al., 2022)","previouslyFormattedCitation":"(Terlouw et al., 2022)"},"properties":{"noteIndex":0},"schema":"https://github.com/citation-style-language/schema/raw/master/csl-citation.json"}</w:instrText>
            </w:r>
            <w:r>
              <w:fldChar w:fldCharType="separate"/>
            </w:r>
            <w:r w:rsidRPr="006C1D33">
              <w:rPr>
                <w:noProof/>
              </w:rPr>
              <w:t>(Terlouw et al., 2022)</w:t>
            </w:r>
            <w:r>
              <w:fldChar w:fldCharType="end"/>
            </w:r>
          </w:p>
          <w:p w14:paraId="69B338DE" w14:textId="77777777" w:rsidR="0061474F" w:rsidRDefault="0061474F" w:rsidP="0061474F">
            <w:pPr>
              <w:jc w:val="both"/>
            </w:pPr>
          </w:p>
        </w:tc>
        <w:tc>
          <w:tcPr>
            <w:tcW w:w="512" w:type="pct"/>
          </w:tcPr>
          <w:p w14:paraId="1B999416" w14:textId="77777777" w:rsidR="0061474F" w:rsidRDefault="00F53E33" w:rsidP="0061474F">
            <w:pPr>
              <w:jc w:val="both"/>
            </w:pPr>
            <w:r>
              <w:t>PEMEL</w:t>
            </w:r>
          </w:p>
        </w:tc>
        <w:tc>
          <w:tcPr>
            <w:tcW w:w="966" w:type="pct"/>
          </w:tcPr>
          <w:p w14:paraId="6DD2D7FF" w14:textId="5EC4EAE2" w:rsidR="0061474F" w:rsidRPr="002E7302" w:rsidRDefault="627FAA77" w:rsidP="0061474F">
            <w:pPr>
              <w:jc w:val="both"/>
              <w:rPr>
                <w:lang w:val="en-GB"/>
              </w:rPr>
            </w:pPr>
            <w:r w:rsidRPr="528E8AD9">
              <w:rPr>
                <w:lang w:val="en-GB"/>
              </w:rPr>
              <w:t>cradle</w:t>
            </w:r>
            <w:r w:rsidR="7E014645" w:rsidRPr="528E8AD9">
              <w:rPr>
                <w:lang w:val="en-GB"/>
              </w:rPr>
              <w:t>-</w:t>
            </w:r>
            <w:r w:rsidRPr="528E8AD9">
              <w:rPr>
                <w:lang w:val="en-GB"/>
              </w:rPr>
              <w:t>to</w:t>
            </w:r>
            <w:r w:rsidR="5CD2409E" w:rsidRPr="528E8AD9">
              <w:rPr>
                <w:lang w:val="en-GB"/>
              </w:rPr>
              <w:t>-</w:t>
            </w:r>
            <w:r w:rsidRPr="528E8AD9">
              <w:rPr>
                <w:lang w:val="en-GB"/>
              </w:rPr>
              <w:t>gate production of hydrogen including production and use phase of the electrolyser</w:t>
            </w:r>
          </w:p>
        </w:tc>
        <w:tc>
          <w:tcPr>
            <w:tcW w:w="511" w:type="pct"/>
          </w:tcPr>
          <w:p w14:paraId="4CB540D4" w14:textId="4373D2D1" w:rsidR="0061474F" w:rsidRPr="002E7302" w:rsidRDefault="001B3DF3" w:rsidP="001B3DF3">
            <w:pPr>
              <w:jc w:val="both"/>
              <w:rPr>
                <w:lang w:val="en-GB"/>
              </w:rPr>
            </w:pPr>
            <w:proofErr w:type="spellStart"/>
            <w:r>
              <w:rPr>
                <w:lang w:val="en-GB"/>
              </w:rPr>
              <w:t>e</w:t>
            </w:r>
            <w:r w:rsidR="00A37626" w:rsidRPr="00A37626">
              <w:rPr>
                <w:lang w:val="en-GB"/>
              </w:rPr>
              <w:t>coinvent</w:t>
            </w:r>
            <w:proofErr w:type="spellEnd"/>
            <w:r w:rsidR="00A37626" w:rsidRPr="00A37626">
              <w:rPr>
                <w:lang w:val="en-GB"/>
              </w:rPr>
              <w:t xml:space="preserve"> 3.7.1</w:t>
            </w:r>
            <w:r w:rsidR="00A37626">
              <w:rPr>
                <w:lang w:val="en-GB"/>
              </w:rPr>
              <w:t xml:space="preserve">, </w:t>
            </w:r>
            <w:r w:rsidR="00A37626" w:rsidRPr="00A37626">
              <w:rPr>
                <w:lang w:val="en-GB"/>
              </w:rPr>
              <w:t>Allocation, cut-off by classification</w:t>
            </w:r>
          </w:p>
        </w:tc>
        <w:tc>
          <w:tcPr>
            <w:tcW w:w="455" w:type="pct"/>
          </w:tcPr>
          <w:p w14:paraId="6084F422" w14:textId="22DAEDB0" w:rsidR="0061474F" w:rsidRPr="002E7302" w:rsidRDefault="00864FF1" w:rsidP="0061474F">
            <w:pPr>
              <w:jc w:val="both"/>
              <w:rPr>
                <w:lang w:val="en-GB"/>
              </w:rPr>
            </w:pPr>
            <w:r w:rsidRPr="00864FF1">
              <w:rPr>
                <w:lang w:val="en-GB"/>
              </w:rPr>
              <w:t>IPCC 2013 GWP100a</w:t>
            </w:r>
          </w:p>
        </w:tc>
        <w:tc>
          <w:tcPr>
            <w:tcW w:w="966" w:type="pct"/>
          </w:tcPr>
          <w:p w14:paraId="6796A480" w14:textId="4D6B7949" w:rsidR="0061474F" w:rsidRPr="002E7302" w:rsidRDefault="00F0492E" w:rsidP="00FC25F3">
            <w:pPr>
              <w:jc w:val="both"/>
              <w:rPr>
                <w:lang w:val="en-GB"/>
              </w:rPr>
            </w:pPr>
            <w:r w:rsidRPr="05135B6E">
              <w:rPr>
                <w:lang w:val="en-GB"/>
              </w:rPr>
              <w:t>not identified</w:t>
            </w:r>
            <w:r w:rsidR="00FC25F3">
              <w:rPr>
                <w:lang w:val="en-GB"/>
              </w:rPr>
              <w:t xml:space="preserve"> (no </w:t>
            </w:r>
            <w:proofErr w:type="spellStart"/>
            <w:r w:rsidR="00FC25F3">
              <w:rPr>
                <w:lang w:val="en-GB"/>
              </w:rPr>
              <w:t>datagaps</w:t>
            </w:r>
            <w:proofErr w:type="spellEnd"/>
            <w:r w:rsidR="00FC25F3">
              <w:rPr>
                <w:lang w:val="en-GB"/>
              </w:rPr>
              <w:t xml:space="preserve"> in the inventory</w:t>
            </w:r>
            <w:r w:rsidR="00FC25F3">
              <w:rPr>
                <w:lang w:val="en-US"/>
              </w:rPr>
              <w:t>)</w:t>
            </w:r>
          </w:p>
        </w:tc>
        <w:tc>
          <w:tcPr>
            <w:tcW w:w="1023" w:type="pct"/>
          </w:tcPr>
          <w:p w14:paraId="1931AEC6" w14:textId="1542CB4A" w:rsidR="0061474F" w:rsidRDefault="00CC5435" w:rsidP="0061474F">
            <w:pPr>
              <w:jc w:val="both"/>
            </w:pPr>
            <w:r>
              <w:t>Only GWP is addressed as impact category</w:t>
            </w:r>
            <w:r w:rsidR="00FC25F3">
              <w:t xml:space="preserve"> in the environemental assesment</w:t>
            </w:r>
          </w:p>
        </w:tc>
      </w:tr>
      <w:tr w:rsidR="003805F6" w14:paraId="2959C532" w14:textId="77777777" w:rsidTr="05135B6E">
        <w:trPr>
          <w:cantSplit/>
          <w:trHeight w:val="300"/>
        </w:trPr>
        <w:tc>
          <w:tcPr>
            <w:tcW w:w="567" w:type="pct"/>
          </w:tcPr>
          <w:p w14:paraId="796566F9" w14:textId="77777777" w:rsidR="0061474F" w:rsidRDefault="0061474F" w:rsidP="0061474F">
            <w:pPr>
              <w:jc w:val="both"/>
            </w:pPr>
            <w:r>
              <w:fldChar w:fldCharType="begin" w:fldLock="1"/>
            </w:r>
            <w:r>
              <w:instrText>ADDIN CSL_CITATION {"citationItems":[{"id":"ITEM-1","itemData":{"DOI":"10.1016/j.ijhydene.2021.03.114","ISSN":"03603199","abstract":"Electron beam plasma methane pyrolysis is a hydrogen production pathway from natural gas without direct CO2 emissions. In this work, two concepts for a technical implementation of the electron beam plasma pyrolysis in a large-scale hydrogen production plant are presented and evaluated in regards of efficiency, economics and carbon footprint. The potential of this technology is identified by an assessment of the results with the benchmark technologies steam methane reforming, steam methane reforming with carbon capture and storage as well as water electrolysis. The techno-economic analysis shows levelized costs of hydrogen for the plasma pyrolysis between 2.55 €/kg H2 and 5.00 €/kg H2 under the current economic framework. Projections for future price developments reveal a significant reduction potential for the hydrogen production costs, which support the profitability of plasma pyrolysis under certain scenarios. In particular, water electrolysis as direct competitor with renewable electricity as energy supply shows a considerably higher specific energy consumption leading to economic advantages of plasma pyrolysis for cost-intensive energy sources and a high degree of utilization. Finally, the carbon footprint assessment indicates the high potential for a reduction of life cycle emissions by electron beam plasma methane pyrolysis (1.9 kg CO2 eq./kg H2 – 6.4 kg CO2 eq./kg H2, depending on the electricity source) compared to state-of-the-art hydrogen production technology (10.8 kg CO2 eq./kg H2).","author":[{"dropping-particle":"","family":"Kerscher","given":"Florian","non-dropping-particle":"","parse-names":false,"suffix":""},{"dropping-particle":"","family":"Stary","given":"Alexander","non-dropping-particle":"","parse-names":false,"suffix":""},{"dropping-particle":"","family":"Gleis","given":"Stephan","non-dropping-particle":"","parse-names":false,"suffix":""},{"dropping-particle":"","family":"Ulrich","given":"Andreas","non-dropping-particle":"","parse-names":false,"suffix":""},{"dropping-particle":"","family":"Klein","given":"Harald","non-dropping-particle":"","parse-names":false,"suffix":""},{"dropping-particle":"","family":"Spliethoff","given":"Hartmut","non-dropping-particle":"","parse-names":false,"suffix":""}],"container-title":"International Journal of Hydrogen Energy","id":"ITEM-1","issue":"38","issued":{"date-parts":[["2021"]]},"page":"19897-19912","publisher":"Elsevier Ltd","title":"Low-carbon hydrogen production via electron beam plasma methane pyrolysis: Techno-economic analysis and carbon footprint assessment","type":"article-journal","volume":"46"},"uris":["http://www.mendeley.com/documents/?uuid=78cc55bb-8ebf-409f-952f-f5c69bd6aa54"]}],"mendeley":{"formattedCitation":"(Kerscher et al., 2021)","plainTextFormattedCitation":"(Kerscher et al., 2021)","previouslyFormattedCitation":"(Kerscher et al., 2021)"},"properties":{"noteIndex":0},"schema":"https://github.com/citation-style-language/schema/raw/master/csl-citation.json"}</w:instrText>
            </w:r>
            <w:r>
              <w:fldChar w:fldCharType="separate"/>
            </w:r>
            <w:r w:rsidRPr="0045081B">
              <w:rPr>
                <w:noProof/>
              </w:rPr>
              <w:t>(Kerscher et al., 2021)</w:t>
            </w:r>
            <w:r>
              <w:fldChar w:fldCharType="end"/>
            </w:r>
          </w:p>
          <w:p w14:paraId="422C5EBC" w14:textId="77777777" w:rsidR="0061474F" w:rsidRDefault="0061474F" w:rsidP="0061474F">
            <w:pPr>
              <w:jc w:val="both"/>
            </w:pPr>
          </w:p>
        </w:tc>
        <w:tc>
          <w:tcPr>
            <w:tcW w:w="512" w:type="pct"/>
          </w:tcPr>
          <w:p w14:paraId="3B3B2AF0" w14:textId="77777777" w:rsidR="0061474F" w:rsidRDefault="00F53E33" w:rsidP="0061474F">
            <w:pPr>
              <w:jc w:val="both"/>
            </w:pPr>
            <w:r>
              <w:t>PEMEL</w:t>
            </w:r>
            <w:r w:rsidR="007A0B5B">
              <w:t>, AEL</w:t>
            </w:r>
          </w:p>
        </w:tc>
        <w:tc>
          <w:tcPr>
            <w:tcW w:w="966" w:type="pct"/>
          </w:tcPr>
          <w:p w14:paraId="67EB0E74" w14:textId="136341CB" w:rsidR="0061474F" w:rsidRDefault="00C32174" w:rsidP="004E7788">
            <w:pPr>
              <w:jc w:val="both"/>
            </w:pPr>
            <w:r w:rsidRPr="002E7302">
              <w:rPr>
                <w:lang w:val="en-GB"/>
              </w:rPr>
              <w:t>cradle</w:t>
            </w:r>
            <w:r w:rsidR="00FE43EE">
              <w:rPr>
                <w:lang w:val="en-GB"/>
              </w:rPr>
              <w:t xml:space="preserve">-to-gate production of hydrogen, </w:t>
            </w:r>
            <w:r w:rsidRPr="002E7302">
              <w:rPr>
                <w:lang w:val="en-GB"/>
              </w:rPr>
              <w:t>including production and use phase of the electrolyser</w:t>
            </w:r>
          </w:p>
        </w:tc>
        <w:tc>
          <w:tcPr>
            <w:tcW w:w="511" w:type="pct"/>
          </w:tcPr>
          <w:p w14:paraId="3F966D1B" w14:textId="2B56128B" w:rsidR="0061474F" w:rsidRDefault="00C32174" w:rsidP="0061474F">
            <w:pPr>
              <w:jc w:val="both"/>
            </w:pPr>
            <w:r>
              <w:t>GaBi profes</w:t>
            </w:r>
            <w:r w:rsidRPr="00C32174">
              <w:t>sional database</w:t>
            </w:r>
          </w:p>
        </w:tc>
        <w:tc>
          <w:tcPr>
            <w:tcW w:w="455" w:type="pct"/>
          </w:tcPr>
          <w:p w14:paraId="08E46D0B" w14:textId="030AB696" w:rsidR="0061474F" w:rsidRDefault="004E7788" w:rsidP="0061474F">
            <w:pPr>
              <w:jc w:val="both"/>
            </w:pPr>
            <w:r>
              <w:t>E</w:t>
            </w:r>
            <w:r w:rsidRPr="004E7788">
              <w:t>N ISO 14067 (based on the 5th IPCC assessment report)</w:t>
            </w:r>
          </w:p>
        </w:tc>
        <w:tc>
          <w:tcPr>
            <w:tcW w:w="966" w:type="pct"/>
          </w:tcPr>
          <w:p w14:paraId="3E37F65E" w14:textId="2F18CBCC" w:rsidR="0061474F" w:rsidRDefault="00F0492E" w:rsidP="0061474F">
            <w:pPr>
              <w:jc w:val="both"/>
            </w:pPr>
            <w:r>
              <w:rPr>
                <w:lang w:val="en-GB"/>
              </w:rPr>
              <w:t>not identified</w:t>
            </w:r>
          </w:p>
        </w:tc>
        <w:tc>
          <w:tcPr>
            <w:tcW w:w="1023" w:type="pct"/>
          </w:tcPr>
          <w:p w14:paraId="03F356E8" w14:textId="20E4366F" w:rsidR="0061474F" w:rsidRDefault="004742E6" w:rsidP="0061474F">
            <w:pPr>
              <w:jc w:val="both"/>
            </w:pPr>
            <w:r>
              <w:t>Only GWP is addressed as impact category</w:t>
            </w:r>
          </w:p>
        </w:tc>
      </w:tr>
      <w:tr w:rsidR="003805F6" w14:paraId="326B07B2" w14:textId="77777777" w:rsidTr="05135B6E">
        <w:trPr>
          <w:cantSplit/>
          <w:trHeight w:val="300"/>
        </w:trPr>
        <w:tc>
          <w:tcPr>
            <w:tcW w:w="567" w:type="pct"/>
          </w:tcPr>
          <w:p w14:paraId="73EECA81" w14:textId="77777777" w:rsidR="0061474F" w:rsidRPr="002E7302" w:rsidRDefault="0061474F" w:rsidP="0061474F">
            <w:pPr>
              <w:jc w:val="both"/>
              <w:rPr>
                <w:lang w:val="en-GB"/>
              </w:rPr>
            </w:pPr>
            <w:r>
              <w:fldChar w:fldCharType="begin" w:fldLock="1"/>
            </w:r>
            <w:r>
              <w:instrText xml:space="preserve">ADDIN CSL_CITATION {"citationItems":[{"id":"ITEM-1","itemData":{"DOI":"10.3390/environments5020024","ISSN":"20763298","abstract":"A common sustainability issue, arising in production systems, is the efficient use of resources for providing goods or services. With the increased interest in a hydrogen (H2) economy, the life-cycle environmental performance of H2 production has special significance for assisting in identifying opportunities to improve environmental performance and to guide challenging decisions and select between technology paths. Life cycle impact assessment methods are rapidly evolving to analyze multiple environmental impacts of the production of products or processes. This study marks the first step in developing process-based streamlined life cycle analysis (LCA) of several H2 production pathways combining life cycle impacts at the midpoint (17 problem-oriented) and endpoint (3 damage-oriented) levels using the state-of-the-art impact assessment method ReCiPe 2016. Steam reforming of natural gas, coal gasification, water electrolysis via proton exchange membrane fuel cell (PEM), solid oxide electrolyzer cell (SOEC), biomass gasification and reforming, and dark fermentation of lignocellulosic biomass were analyzed. An innovative aspect is developed in this study is an analysis of water consumption associated with H2 production pathways by life-cycle stage to provide a better understanding of the life cycle water-related impacts on human health and natural environment. For water-related scope, Water scarcity footprint (WSF) quantified using Available WAter REmaining (AWARE) method was applied as a stand-alone indicator. The paper discusses the strengths and weaknesses of each production pathway, identify the drivers of environmental impact, quantify midpoint environmental impact and its influence on </w:instrText>
            </w:r>
            <w:r w:rsidRPr="002E7302">
              <w:rPr>
                <w:lang w:val="en-GB"/>
              </w:rPr>
              <w:instrText>the endpoint environmental performance. The findings of this study could serve as a useful theoretical reference and practical basis to decision-makers of potential environmental impacts of H2 production systems.","author":[{"dropping-particle":"","family":"Mehmeti","given":"Andi","non-dropping-particle":"","parse-names":false,"suffix":""},{"dropping-particle":"","family":"Angelis-Dimakis","given":"Athanasios","non-dropping-particle":"","parse-names":false,"suffix":""},{"dropping-particle":"","family":"Arampatzis","given":"George","non-dropping-particle":"","parse-names":false,"suffix":""},{"dropping-particle":"","family":"McPhail","given":"Stephen J.","non-dropping-particle":"","parse-names":false,"suffix":""},{"dropping-particle":"","family":"Ulgiati","given":"Sergio","non-dropping-particle":"","parse-names":false,"suffix":""}],"container-title":"Environments - MDPI","id":"ITEM-1","issue":"2","issued":{"date-parts":[["2018"]]},"page":"1-19","title":"Life cycle assessment and water footprint of hydrogen production methods: From conventional to emerging technologies","type":"article-journal","volume":"5"},"uris":["http://www.mendeley.com/documents/?uuid=6e8d3e73-c483-4bed-8bea-b9f7a13ca0a1"]}],"mendeley":{"formattedCitation":"(Mehmeti et al., 2018)","plainTextFormattedCitation":"(Mehmeti et al., 2018)","previouslyFormattedCitation":"(Mehmeti et al., 2018)"},"properties":{"noteIndex":0},"schema":"https://github.com/citation-style-language/schema/raw/master/csl-citation.json"}</w:instrText>
            </w:r>
            <w:r>
              <w:fldChar w:fldCharType="separate"/>
            </w:r>
            <w:r w:rsidRPr="002E7302">
              <w:rPr>
                <w:noProof/>
                <w:lang w:val="en-GB"/>
              </w:rPr>
              <w:t>(Mehmeti et al., 2018)</w:t>
            </w:r>
            <w:r>
              <w:fldChar w:fldCharType="end"/>
            </w:r>
          </w:p>
        </w:tc>
        <w:tc>
          <w:tcPr>
            <w:tcW w:w="512" w:type="pct"/>
          </w:tcPr>
          <w:p w14:paraId="2ADBB1AC" w14:textId="77777777" w:rsidR="0061474F" w:rsidRDefault="00F53E33" w:rsidP="0061474F">
            <w:pPr>
              <w:jc w:val="both"/>
            </w:pPr>
            <w:r>
              <w:t>PEMEL, SOEL</w:t>
            </w:r>
          </w:p>
        </w:tc>
        <w:tc>
          <w:tcPr>
            <w:tcW w:w="966" w:type="pct"/>
          </w:tcPr>
          <w:p w14:paraId="493BE23C" w14:textId="7426F588" w:rsidR="0061474F" w:rsidRDefault="00FE43EE" w:rsidP="00FE43EE">
            <w:pPr>
              <w:jc w:val="both"/>
            </w:pPr>
            <w:r w:rsidRPr="002E7302">
              <w:rPr>
                <w:lang w:val="en-GB"/>
              </w:rPr>
              <w:t>cradle</w:t>
            </w:r>
            <w:r>
              <w:rPr>
                <w:lang w:val="en-GB"/>
              </w:rPr>
              <w:t xml:space="preserve">-to-gate production of hydrogen, </w:t>
            </w:r>
            <w:r w:rsidRPr="002E7302">
              <w:rPr>
                <w:lang w:val="en-GB"/>
              </w:rPr>
              <w:t>including production and use phase of the electrolyser</w:t>
            </w:r>
            <w:r>
              <w:rPr>
                <w:lang w:val="en-GB"/>
              </w:rPr>
              <w:t xml:space="preserve"> and decommissioning of the electrolyser plant at </w:t>
            </w:r>
            <w:proofErr w:type="spellStart"/>
            <w:r>
              <w:rPr>
                <w:lang w:val="en-GB"/>
              </w:rPr>
              <w:t>EoL</w:t>
            </w:r>
            <w:proofErr w:type="spellEnd"/>
          </w:p>
        </w:tc>
        <w:tc>
          <w:tcPr>
            <w:tcW w:w="511" w:type="pct"/>
          </w:tcPr>
          <w:p w14:paraId="1962EDF8" w14:textId="654F28A0" w:rsidR="0061474F" w:rsidRDefault="001B3DF3" w:rsidP="0061474F">
            <w:pPr>
              <w:jc w:val="both"/>
            </w:pPr>
            <w:r>
              <w:t>e</w:t>
            </w:r>
            <w:r w:rsidR="004742E6">
              <w:t>coinvent (unspecified version)</w:t>
            </w:r>
          </w:p>
        </w:tc>
        <w:tc>
          <w:tcPr>
            <w:tcW w:w="455" w:type="pct"/>
          </w:tcPr>
          <w:p w14:paraId="034FF23A" w14:textId="4E3FD157" w:rsidR="0061474F" w:rsidRDefault="004742E6" w:rsidP="0061474F">
            <w:pPr>
              <w:jc w:val="both"/>
            </w:pPr>
            <w:r>
              <w:t>ReCiPe 2016, midpoint and endpoint</w:t>
            </w:r>
          </w:p>
        </w:tc>
        <w:tc>
          <w:tcPr>
            <w:tcW w:w="966" w:type="pct"/>
          </w:tcPr>
          <w:p w14:paraId="05F2BD86" w14:textId="77777777" w:rsidR="00FC25F3" w:rsidRDefault="00FC25F3" w:rsidP="00FC25F3">
            <w:pPr>
              <w:jc w:val="both"/>
            </w:pPr>
            <w:r>
              <w:t xml:space="preserve">secondary systems of the hydrogen production plant were excluded because of data availability. </w:t>
            </w:r>
          </w:p>
          <w:p w14:paraId="2D0C5837" w14:textId="28D661F6" w:rsidR="0061474F" w:rsidRDefault="0061474F" w:rsidP="0061474F">
            <w:pPr>
              <w:jc w:val="both"/>
            </w:pPr>
          </w:p>
        </w:tc>
        <w:tc>
          <w:tcPr>
            <w:tcW w:w="1023" w:type="pct"/>
          </w:tcPr>
          <w:p w14:paraId="4DA0F1DA" w14:textId="4A4E1CFA" w:rsidR="0061474F" w:rsidRDefault="00FE43EE" w:rsidP="00FE43EE">
            <w:pPr>
              <w:jc w:val="both"/>
            </w:pPr>
            <w:r w:rsidRPr="00FE43EE">
              <w:t>LCI data of the production processes are retrieved from literature and affected by large variability</w:t>
            </w:r>
          </w:p>
        </w:tc>
      </w:tr>
      <w:tr w:rsidR="003805F6" w14:paraId="37F22430" w14:textId="77777777" w:rsidTr="05135B6E">
        <w:trPr>
          <w:cantSplit/>
          <w:trHeight w:val="300"/>
        </w:trPr>
        <w:tc>
          <w:tcPr>
            <w:tcW w:w="567" w:type="pct"/>
          </w:tcPr>
          <w:p w14:paraId="4F1306CA" w14:textId="77777777" w:rsidR="0061474F" w:rsidRPr="002E7302" w:rsidRDefault="0061474F" w:rsidP="0061474F">
            <w:pPr>
              <w:jc w:val="both"/>
              <w:rPr>
                <w:lang w:val="en-GB"/>
              </w:rPr>
            </w:pPr>
            <w:r>
              <w:lastRenderedPageBreak/>
              <w:fldChar w:fldCharType="begin" w:fldLock="1"/>
            </w:r>
            <w:r w:rsidRPr="002E7302">
              <w:rPr>
                <w:lang w:val="en-GB"/>
              </w:rPr>
              <w:instrText>ADDIN CSL_CITATION {"citationItems":[{"id":"ITEM-1","itemData":{"DOI":"10.1016/j.est.2021.102759","ISSN":"2352152X","abstract":"In terms of the decarbonization of industry, transport, electricity generation, and buildings, the production of green hydrogen plays a major role in the strategy of the European Union and Germany. Therefore, the potential environmental impacts of a greener hydrogen production have been analysed taking the three most important water electrolysis technologies alkaline electrolysis (AEC), polymer electrolyte membrane (PEMEC), and solid oxide electrolysis cell (SOEC) into account. To depict a greener hydrogen production, different energy scenarios of Germany –2019, 2030, 2050, and RE (Renewable Energy)– with an increasing share of wind and solar energy have been considered. The study shows how the potential CO2-eq. of a greener hydrogen production change when applying the different energy scenarios for each technology. On the other hand, the study aims to compare the resulting CO2-eq. with comparative values of conventional and other hydrogen production processes for classification purposes. Moreover, the study compares the CO2-eq. results with comparative values of conventional electricity generation and conventional fuels for cars, assuming that the produced hydrogen is used for electricity generation and as a fuel for ca</w:instrText>
            </w:r>
            <w:r>
              <w:instrText>rs in order to show CO2 reduction potentials. Besides that, the study compares the Life-Cycle-Impact-Assessment (LCIA) indicators under study to show which technology is potentially the most environmentally friendly one for the respective energy scenario. In summary, it can be stated that the CO2-eq. decrease with an increasing share of wind and solar energy in the energy mix since the share of fossil energies, which are the main drivers of the CO2- eq., decline. Furthermore, the SOEC technology has the lowest CO2-eq. for the energy scenarios in 2019, 2030, and 2050. This appl</w:instrText>
            </w:r>
            <w:r w:rsidRPr="002E7302">
              <w:rPr>
                <w:lang w:val="en-GB"/>
              </w:rPr>
              <w:instrText>ies to the AEC technology for the RE scenario. Regarding the comparative values of conventional and other hydrogen production processes as well as conventional alternatives, only the RE scenario with wind and solar energy provides lower results. Thus, merely the RE scenario is suitable for an environmentally friendly hydrogen production and utilization in order to reduce CO2 emissions. In addition, the SOEC technology causes the lowest potential environmental impacts for the energy scenarios in 2019 and 2030, taking all LCIA indicators into account. This applies to the PEMEC technology for the energy scenario in 2050 and the RE scenario.","author":[{"dropping-particle":"","family":"Gerloff","given":"Niklas","non-dropping-particle":"","parse-names":false,"suffix":""}],"container-title":"Journal of Energy Storage","id":"ITEM-1","issue":"May","issued":{"date-parts":[["2021"]]},"page":"102759","publisher":"Elsevier Ltd","title":"Comparative Life-Cycle-Assessment analysis of three major water electrolysis technologies while applying various energy scenarios for a greener hydrogen production","type":"article-journal","volume":"43"},"uris":["http://www.mendeley.com/documents/?uuid=f306aff5-bd91-4ed1-9fb8-f212b7a3584a"]}],"mendeley":{"formattedCitation":"(Gerloff, 2021)","plainTextFormattedCitation":"(Gerloff, 2021)","previouslyFormattedCitation":"(Gerloff, 2021)"},"properties":{"noteIndex":0},"schema":"https://github.com/citation-style-language/schema/raw/master/csl-citation.json"}</w:instrText>
            </w:r>
            <w:r>
              <w:fldChar w:fldCharType="separate"/>
            </w:r>
            <w:r w:rsidRPr="002E7302">
              <w:rPr>
                <w:noProof/>
                <w:lang w:val="en-GB"/>
              </w:rPr>
              <w:t>(Gerloff, 2021)</w:t>
            </w:r>
            <w:r>
              <w:fldChar w:fldCharType="end"/>
            </w:r>
          </w:p>
        </w:tc>
        <w:tc>
          <w:tcPr>
            <w:tcW w:w="512" w:type="pct"/>
          </w:tcPr>
          <w:p w14:paraId="27F84608" w14:textId="77777777" w:rsidR="0061474F" w:rsidRPr="002E7302" w:rsidRDefault="00F53E33" w:rsidP="0061474F">
            <w:pPr>
              <w:jc w:val="both"/>
              <w:rPr>
                <w:lang w:val="en-GB"/>
              </w:rPr>
            </w:pPr>
            <w:r>
              <w:t>PEMEL, SOEL</w:t>
            </w:r>
            <w:r w:rsidR="007A0B5B">
              <w:t>, AEL</w:t>
            </w:r>
          </w:p>
        </w:tc>
        <w:tc>
          <w:tcPr>
            <w:tcW w:w="966" w:type="pct"/>
          </w:tcPr>
          <w:p w14:paraId="7AA361CA" w14:textId="77777777" w:rsidR="0061474F" w:rsidRPr="002E7302" w:rsidRDefault="0061474F" w:rsidP="0061474F">
            <w:pPr>
              <w:jc w:val="both"/>
              <w:rPr>
                <w:lang w:val="en-GB"/>
              </w:rPr>
            </w:pPr>
            <w:r w:rsidRPr="002E7302">
              <w:rPr>
                <w:lang w:val="en-GB"/>
              </w:rPr>
              <w:t>production and use of water electrolysers</w:t>
            </w:r>
          </w:p>
        </w:tc>
        <w:tc>
          <w:tcPr>
            <w:tcW w:w="511" w:type="pct"/>
          </w:tcPr>
          <w:p w14:paraId="68EB8E1F" w14:textId="5CA2AC64" w:rsidR="0061474F" w:rsidRPr="002E7302" w:rsidRDefault="001B3DF3" w:rsidP="0061474F">
            <w:pPr>
              <w:jc w:val="both"/>
              <w:rPr>
                <w:lang w:val="en-GB"/>
              </w:rPr>
            </w:pPr>
            <w:proofErr w:type="spellStart"/>
            <w:r>
              <w:rPr>
                <w:lang w:val="en-GB"/>
              </w:rPr>
              <w:t>e</w:t>
            </w:r>
            <w:r w:rsidR="0061474F" w:rsidRPr="002E7302">
              <w:rPr>
                <w:lang w:val="en-GB"/>
              </w:rPr>
              <w:t>coinvent</w:t>
            </w:r>
            <w:proofErr w:type="spellEnd"/>
            <w:r w:rsidR="0061474F" w:rsidRPr="002E7302">
              <w:rPr>
                <w:lang w:val="en-GB"/>
              </w:rPr>
              <w:t xml:space="preserve"> 3.5</w:t>
            </w:r>
          </w:p>
        </w:tc>
        <w:tc>
          <w:tcPr>
            <w:tcW w:w="455" w:type="pct"/>
          </w:tcPr>
          <w:p w14:paraId="2FB83253" w14:textId="13515BC2" w:rsidR="0061474F" w:rsidRPr="002E7302" w:rsidRDefault="00BD5BA6" w:rsidP="0061474F">
            <w:pPr>
              <w:jc w:val="both"/>
              <w:rPr>
                <w:lang w:val="en-GB"/>
              </w:rPr>
            </w:pPr>
            <w:r w:rsidRPr="00BD5BA6">
              <w:rPr>
                <w:lang w:val="en-GB"/>
              </w:rPr>
              <w:t>ILCD 2.0 midpoint 2018</w:t>
            </w:r>
            <w:r w:rsidR="00D83E43">
              <w:rPr>
                <w:lang w:val="en-GB"/>
              </w:rPr>
              <w:t>, with IPCC 2013 applied for GWP</w:t>
            </w:r>
          </w:p>
        </w:tc>
        <w:tc>
          <w:tcPr>
            <w:tcW w:w="966" w:type="pct"/>
          </w:tcPr>
          <w:p w14:paraId="486F65AE" w14:textId="4312BA78" w:rsidR="0061474F" w:rsidRPr="002E7302" w:rsidRDefault="00C21499" w:rsidP="00C21499">
            <w:pPr>
              <w:jc w:val="both"/>
              <w:rPr>
                <w:lang w:val="en-GB"/>
              </w:rPr>
            </w:pPr>
            <w:r w:rsidRPr="25EBFC90">
              <w:rPr>
                <w:lang w:val="en-GB"/>
              </w:rPr>
              <w:t>lack of available data for r</w:t>
            </w:r>
            <w:r w:rsidR="627FAA77" w:rsidRPr="25EBFC90">
              <w:rPr>
                <w:lang w:val="en-GB"/>
              </w:rPr>
              <w:t xml:space="preserve">ecycling treatments </w:t>
            </w:r>
            <w:r w:rsidRPr="25EBFC90">
              <w:rPr>
                <w:lang w:val="en-GB"/>
              </w:rPr>
              <w:t xml:space="preserve">of the </w:t>
            </w:r>
            <w:r w:rsidR="627FAA77" w:rsidRPr="25EBFC90">
              <w:rPr>
                <w:lang w:val="en-GB"/>
              </w:rPr>
              <w:t>electrolyser</w:t>
            </w:r>
            <w:r w:rsidRPr="25EBFC90">
              <w:rPr>
                <w:lang w:val="en-US"/>
              </w:rPr>
              <w:t>’s</w:t>
            </w:r>
            <w:r w:rsidR="627FAA77" w:rsidRPr="25EBFC90">
              <w:rPr>
                <w:lang w:val="en-GB"/>
              </w:rPr>
              <w:t xml:space="preserve"> materials</w:t>
            </w:r>
            <w:r w:rsidR="006FBC00" w:rsidRPr="25EBFC90">
              <w:rPr>
                <w:lang w:val="en-GB"/>
              </w:rPr>
              <w:t xml:space="preserve">, </w:t>
            </w:r>
            <w:r w:rsidR="006FBC00" w:rsidRPr="25EBFC90">
              <w:rPr>
                <w:lang w:val="en-US"/>
              </w:rPr>
              <w:t>manufacturing of proton-exchange membrane (</w:t>
            </w:r>
            <w:proofErr w:type="spellStart"/>
            <w:r w:rsidR="006FBC00" w:rsidRPr="25EBFC90">
              <w:rPr>
                <w:lang w:val="en-US"/>
              </w:rPr>
              <w:t>Nafion</w:t>
            </w:r>
            <w:proofErr w:type="spellEnd"/>
            <w:r w:rsidR="006FBC00" w:rsidRPr="25EBFC90">
              <w:rPr>
                <w:lang w:val="en-US"/>
              </w:rPr>
              <w:t>),</w:t>
            </w:r>
            <w:r w:rsidR="0D863B13" w:rsidRPr="25EBFC90">
              <w:rPr>
                <w:lang w:val="en-US"/>
              </w:rPr>
              <w:t xml:space="preserve"> no background LCI data for Iridium, </w:t>
            </w:r>
            <w:r w:rsidR="006FBC00" w:rsidRPr="25EBFC90">
              <w:rPr>
                <w:lang w:val="en-US"/>
              </w:rPr>
              <w:t>no</w:t>
            </w:r>
            <w:r w:rsidR="1AE29464" w:rsidRPr="25EBFC90">
              <w:rPr>
                <w:lang w:val="en-US"/>
              </w:rPr>
              <w:t xml:space="preserve"> specific LCI data related to </w:t>
            </w:r>
            <w:proofErr w:type="spellStart"/>
            <w:r w:rsidR="1AE29464" w:rsidRPr="25EBFC90">
              <w:rPr>
                <w:lang w:val="en-US"/>
              </w:rPr>
              <w:t>Bo</w:t>
            </w:r>
            <w:r w:rsidR="006FBC00" w:rsidRPr="25EBFC90">
              <w:rPr>
                <w:lang w:val="en-US"/>
              </w:rPr>
              <w:t>P</w:t>
            </w:r>
            <w:proofErr w:type="spellEnd"/>
            <w:r w:rsidR="006FBC00" w:rsidRPr="25EBFC90">
              <w:rPr>
                <w:lang w:val="en-US"/>
              </w:rPr>
              <w:t xml:space="preserve"> parts</w:t>
            </w:r>
            <w:r w:rsidR="0D863B13" w:rsidRPr="25EBFC90">
              <w:rPr>
                <w:lang w:val="en-US"/>
              </w:rPr>
              <w:t xml:space="preserve"> (i.e. </w:t>
            </w:r>
            <w:r w:rsidR="0D863B13">
              <w:t>the heat exchanger, water purifier, buffer tank)</w:t>
            </w:r>
          </w:p>
        </w:tc>
        <w:tc>
          <w:tcPr>
            <w:tcW w:w="1023" w:type="pct"/>
          </w:tcPr>
          <w:p w14:paraId="749CA1A5" w14:textId="07A30099" w:rsidR="0061474F" w:rsidRDefault="00D83E43" w:rsidP="00D83E43">
            <w:pPr>
              <w:jc w:val="both"/>
            </w:pPr>
            <w:r>
              <w:t>LCI data missing for the BoP parts are approximated to similar devices, energy consumption for manufacturing has been derived and adjusted from secondary sources, uncertainty on the electrolyser efficiency and energy losses</w:t>
            </w:r>
          </w:p>
        </w:tc>
      </w:tr>
      <w:tr w:rsidR="003805F6" w14:paraId="2F011156" w14:textId="77777777" w:rsidTr="05135B6E">
        <w:trPr>
          <w:cantSplit/>
          <w:trHeight w:val="300"/>
        </w:trPr>
        <w:tc>
          <w:tcPr>
            <w:tcW w:w="567" w:type="pct"/>
          </w:tcPr>
          <w:p w14:paraId="5F6318FB" w14:textId="77777777" w:rsidR="00F53E33" w:rsidRDefault="007A0B5B" w:rsidP="0061474F">
            <w:pPr>
              <w:jc w:val="both"/>
            </w:pPr>
            <w:r w:rsidRPr="00A70BAC">
              <w:fldChar w:fldCharType="begin" w:fldLock="1"/>
            </w:r>
            <w:r>
              <w:instrText>ADDIN CSL_CITATION {"citationItems":[{"id":"ITEM-1","itemData":{"DOI":"10.1016/j.jece.2021.106349","ISSN":"22133437","abstract":"Alkaline water electrolysis has been in the spotlight for green H2 production using electricity generated from renewable energy because of its high technology readiness level and low investment. However, commercialization of alkaline water electrolysis is challenging because of the low current density. Therefore, a techno-economic and environmental assessment was conducted for green H2 production by alkaline water electrolysis with experimental data from the advanced alkaline water electrolysis system of the Korea Institute of Energy Research (KIER) to identify the potential of this technology. Based on techno-economic analysis results, the stack cost and unit electricity price must be below 0.035 $ kWh−1 and 406 $ kW−1, respectively, to make this technology cost-competitive compared to the conventional H2 production method (&lt; 2 $ kgH2−1). Furthermore, CO2 emissions of 30.7, 17.4, 7.04, and 3.12 kgCO2-eq kgH2−1 were obtained for the current, 2030, 2050, and renewable Korean electricity mix scenarios, respectively, indicating that both scenarios (Korean electricity mix in 2050 and renewable) have lower CO2 emissions than the conventional H2 production method (11.5 kgCO2-eq kgH2−1). In addition, environmental impact reductions of 89.8%, 83.6%, 65.9%, and 91.0% for CO2 emissions, stratospheric ozone depletion, fine particulate matter formation, and fossil resource scarcity, respectively, were obtained for the renewable scenario compared to the current Korean electricity mix. Therefore, the electricity source has significant effects on the economic feasibility and environmental impacts for green H2 production.","author":[{"dropping-particle":"","family":"Lee","given":</w:instrText>
            </w:r>
            <w:r w:rsidRPr="002E7302">
              <w:rPr>
                <w:lang w:val="fr-FR"/>
              </w:rPr>
              <w:instrText>"Boreum","non-dropping-particle":"","parse-names":false,"suffix":""},{"dropping-particle":"","family":"Cho","given":"Hyun Seok","non-dropping-particle":"","parse-names":false,"suffix":""},{"dropping-particle":"","family":"Kim","given":"Heehyang","non-dropping-particle":"","parse-names":false,"suffix":""},{"dropping-particle":"","family":"Lim","given":"Dongjun","non-dropping-particle":"","parse-names":false,"suffix":""},{"dropping-particle":"","family":"Cho","given":"Wonchul","non-dropping-particle":"","parse-names":false,"suffix":""},{"dropping-particle":"","family":"Kim","given":"Chang Hee","non-dropping-particle":"","parse-names":false,"suffix":""},{"dropping-particle":"","family":"Lim","given":"Hankwon","non-dropping-particle":"","parse-names":false,"suffix":""}],"container-title":"Journal of Environmental Chemical Engineering","id":"ITEM-1","issue":"6","issued":{"date-parts":[["2021"]]},"page":"106349","publisher":"Elsevier Ltd","title":"Integrative techno-economic and environmental assessment for green H2 production by alkaline water electrolysis based on experimental data","type":"article-journal","volume":"9"},"uris":["http://www.mendeley.com/documents/?uuid=12e16775-954f-4eb6-a054-38112a3b47b5"]}],"mendeley":{"formattedCitation":"(Lee et al., 2021)","plainTextFormattedCitation":"(Lee et al., 2021)","previouslyFormattedCitation":"(Lee et al., 2021)"},"properties":{"noteIndex":0},"schema":"https://github.com/citation-style-language/schema/raw/master/csl-citation.json"}</w:instrText>
            </w:r>
            <w:r w:rsidRPr="00A70BAC">
              <w:fldChar w:fldCharType="separate"/>
            </w:r>
            <w:r w:rsidRPr="002E7302">
              <w:rPr>
                <w:noProof/>
                <w:lang w:val="fr-FR"/>
              </w:rPr>
              <w:t>(Lee et al., 2021)</w:t>
            </w:r>
            <w:r w:rsidRPr="00A70BAC">
              <w:fldChar w:fldCharType="end"/>
            </w:r>
          </w:p>
        </w:tc>
        <w:tc>
          <w:tcPr>
            <w:tcW w:w="512" w:type="pct"/>
          </w:tcPr>
          <w:p w14:paraId="77C24353" w14:textId="77777777" w:rsidR="00F53E33" w:rsidRPr="002E7302" w:rsidRDefault="007A0B5B" w:rsidP="0061474F">
            <w:pPr>
              <w:jc w:val="both"/>
              <w:rPr>
                <w:lang w:val="en-GB"/>
              </w:rPr>
            </w:pPr>
            <w:r>
              <w:rPr>
                <w:lang w:val="en-GB"/>
              </w:rPr>
              <w:t>AEL</w:t>
            </w:r>
          </w:p>
        </w:tc>
        <w:tc>
          <w:tcPr>
            <w:tcW w:w="966" w:type="pct"/>
          </w:tcPr>
          <w:p w14:paraId="729DC7CD" w14:textId="25ED50D2" w:rsidR="00F53E33" w:rsidRPr="002E7302" w:rsidRDefault="20256DC8" w:rsidP="0061474F">
            <w:pPr>
              <w:jc w:val="both"/>
              <w:rPr>
                <w:lang w:val="en-GB"/>
              </w:rPr>
            </w:pPr>
            <w:r w:rsidRPr="528E8AD9">
              <w:rPr>
                <w:lang w:val="en-GB"/>
              </w:rPr>
              <w:t>c</w:t>
            </w:r>
            <w:r w:rsidR="1AE29464" w:rsidRPr="528E8AD9">
              <w:rPr>
                <w:lang w:val="en-GB"/>
              </w:rPr>
              <w:t>radle</w:t>
            </w:r>
            <w:r w:rsidR="5D3090BC" w:rsidRPr="528E8AD9">
              <w:rPr>
                <w:lang w:val="en-GB"/>
              </w:rPr>
              <w:t>-</w:t>
            </w:r>
            <w:r w:rsidR="1AE29464" w:rsidRPr="528E8AD9">
              <w:rPr>
                <w:lang w:val="en-GB"/>
              </w:rPr>
              <w:t>to</w:t>
            </w:r>
            <w:r w:rsidR="51514B56" w:rsidRPr="528E8AD9">
              <w:rPr>
                <w:lang w:val="en-GB"/>
              </w:rPr>
              <w:t>-</w:t>
            </w:r>
            <w:r w:rsidR="1AE29464" w:rsidRPr="528E8AD9">
              <w:rPr>
                <w:lang w:val="en-GB"/>
              </w:rPr>
              <w:t xml:space="preserve">gate, excluding use phase: </w:t>
            </w:r>
            <w:r w:rsidR="20B70495" w:rsidRPr="528E8AD9">
              <w:rPr>
                <w:lang w:val="en-GB"/>
              </w:rPr>
              <w:t xml:space="preserve">raw </w:t>
            </w:r>
            <w:r w:rsidR="1AE29464" w:rsidRPr="528E8AD9">
              <w:rPr>
                <w:lang w:val="en-GB"/>
              </w:rPr>
              <w:t>material extraction, material processing and manufacturing</w:t>
            </w:r>
          </w:p>
        </w:tc>
        <w:tc>
          <w:tcPr>
            <w:tcW w:w="511" w:type="pct"/>
          </w:tcPr>
          <w:p w14:paraId="2A06FF08" w14:textId="1C42510C" w:rsidR="00F53E33" w:rsidRPr="002E7302" w:rsidRDefault="001B3DF3" w:rsidP="0061474F">
            <w:pPr>
              <w:jc w:val="both"/>
              <w:rPr>
                <w:lang w:val="en-GB"/>
              </w:rPr>
            </w:pPr>
            <w:proofErr w:type="spellStart"/>
            <w:r>
              <w:rPr>
                <w:lang w:val="en-GB"/>
              </w:rPr>
              <w:t>e</w:t>
            </w:r>
            <w:r w:rsidR="0009167F">
              <w:rPr>
                <w:lang w:val="en-GB"/>
              </w:rPr>
              <w:t>coinvent</w:t>
            </w:r>
            <w:proofErr w:type="spellEnd"/>
            <w:r w:rsidR="0009167F">
              <w:rPr>
                <w:lang w:val="en-GB"/>
              </w:rPr>
              <w:t xml:space="preserve"> 3</w:t>
            </w:r>
          </w:p>
        </w:tc>
        <w:tc>
          <w:tcPr>
            <w:tcW w:w="455" w:type="pct"/>
          </w:tcPr>
          <w:p w14:paraId="69729D9C" w14:textId="0DFD2B89" w:rsidR="00F53E33" w:rsidRPr="002E7302" w:rsidRDefault="00D83E43" w:rsidP="0061474F">
            <w:pPr>
              <w:jc w:val="both"/>
              <w:rPr>
                <w:lang w:val="en-GB"/>
              </w:rPr>
            </w:pPr>
            <w:r>
              <w:rPr>
                <w:lang w:val="en-GB"/>
              </w:rPr>
              <w:t>Recipe 2016 midpoint</w:t>
            </w:r>
          </w:p>
        </w:tc>
        <w:tc>
          <w:tcPr>
            <w:tcW w:w="966" w:type="pct"/>
          </w:tcPr>
          <w:p w14:paraId="6D15635A" w14:textId="372BFB26" w:rsidR="00F53E33" w:rsidRPr="002E7302" w:rsidRDefault="00B76C11" w:rsidP="0061474F">
            <w:pPr>
              <w:jc w:val="both"/>
              <w:rPr>
                <w:lang w:val="en-GB"/>
              </w:rPr>
            </w:pPr>
            <w:r>
              <w:rPr>
                <w:lang w:val="en-GB"/>
              </w:rPr>
              <w:t>not identified</w:t>
            </w:r>
          </w:p>
        </w:tc>
        <w:tc>
          <w:tcPr>
            <w:tcW w:w="1023" w:type="pct"/>
          </w:tcPr>
          <w:p w14:paraId="6891734C" w14:textId="34EA3E70" w:rsidR="00F53E33" w:rsidRDefault="0009167F" w:rsidP="0061474F">
            <w:pPr>
              <w:jc w:val="both"/>
            </w:pPr>
            <w:r>
              <w:t>Generic dataset for industrial machine is used to model the BoP</w:t>
            </w:r>
          </w:p>
        </w:tc>
      </w:tr>
      <w:tr w:rsidR="003805F6" w14:paraId="531A321A" w14:textId="77777777" w:rsidTr="05135B6E">
        <w:trPr>
          <w:cantSplit/>
          <w:trHeight w:val="300"/>
        </w:trPr>
        <w:tc>
          <w:tcPr>
            <w:tcW w:w="567" w:type="pct"/>
          </w:tcPr>
          <w:p w14:paraId="6AFF34E5" w14:textId="77777777" w:rsidR="007A0B5B" w:rsidRPr="00A70BAC" w:rsidRDefault="007A0B5B" w:rsidP="007A0B5B">
            <w:pPr>
              <w:jc w:val="both"/>
            </w:pPr>
            <w:r w:rsidRPr="008009C8">
              <w:fldChar w:fldCharType="begin" w:fldLock="1"/>
            </w:r>
            <w:r w:rsidRPr="002E7302">
              <w:rPr>
                <w:lang w:val="fr-FR"/>
              </w:rPr>
              <w:instrText>ADDIN CSL_CITATION {"citationItems":[{"id":"ITEM-1","itemData":{"DOI":"10.1016/j.apenergy.2023.121766","ISSN":"03062619","abstract":"Hydrogen fuel and electricity are energy carriers viewed as promising alternatives for the modernization and decarbonization of public bus transportation fleets. In order to choose development pathways that will lead transportation systems toward a sustainable future, the authors developed an environmental model based on the Life Cycle Assessment approach. The model tested the impact of energy carrier consumption during driving as well as the electricity origin employed to power electric buses and produce hydrogen. Energy sources such as wind, solar, waste and grid electricity were investigated. The scope of the study included the life cycles of the energy carrier and the necessary infrastructure. The results were presented from two perspectives: the total environmental impact and global warming potential. In order to create a roadmap, an original method for choosing sustainable development pathways was prepared. It was shown that the modernization of conventional bus fleets using hydrogen and electrical pathways can provide significant environmental benefits from both perspectives, but especially in terms of global warming potential. It was emphasized that attention should be paid to the use of low- and zero-emission energy sources, because their impact often strongly influenced the final environmental judgment. The energy carrier consumption also had a strong impact on the results obtained, and that is why efforts should be made to reduce it. In addition, it was confirmed that hydrogen and electricity production systems based on electricity generated by a waste-to-energy plant could be an environmentally reasonable dual solution for both sustainable waste management and meeting transport needs.","author":[{"dropping-particle":"","family":"Lubecki","given":"Adrian","non-dropping-particle":"","parse-names":false,"suffix":""},{"dropping-particle":"","family":"Szczurowski","given":"Jakub","non-dropping-particle":"","parse-names":false,"suffix":""},{"dropping-particle":"","family":"Zarębska","given":"Katarzyna","non-dropping-particle":"","parse-names":false,"suffix":""}],"container-title":"Applied Energy","id":"ITEM-1","issue":"June","issued":{"date-parts":[["2023"]]},"title":"A comparative environmental Life Cycle Assessment study of hydrogen fuel, electricity and diesel fuel for public buses","type":"article-journal","volume":"350"},"uris":["http://www.mendeley.com/documents/?uuid=e1de6ec5-0000-4686-ae4f-22a27d1bb23a"]}],"mendeley":{"formattedCitation":"(Lubecki et al., 2023)","plainTextFormattedCitation":"(Lubecki et al., 2023)","previouslyFormattedCitation":"(Lubecki et al., 2023)"},"properties":{"noteIndex":0},"schema":"https://github.com/citation-style-language/schema/raw/master/csl-citation.json"}</w:instrText>
            </w:r>
            <w:r w:rsidRPr="008009C8">
              <w:fldChar w:fldCharType="separate"/>
            </w:r>
            <w:r w:rsidRPr="002E7302">
              <w:rPr>
                <w:noProof/>
                <w:lang w:val="fr-FR"/>
              </w:rPr>
              <w:t>(Lubecki et al., 2023)</w:t>
            </w:r>
            <w:r w:rsidRPr="008009C8">
              <w:fldChar w:fldCharType="end"/>
            </w:r>
          </w:p>
        </w:tc>
        <w:tc>
          <w:tcPr>
            <w:tcW w:w="512" w:type="pct"/>
          </w:tcPr>
          <w:p w14:paraId="5B9D1300" w14:textId="77777777" w:rsidR="007A0B5B" w:rsidRDefault="007A0B5B" w:rsidP="0061474F">
            <w:pPr>
              <w:jc w:val="both"/>
              <w:rPr>
                <w:lang w:val="en-GB"/>
              </w:rPr>
            </w:pPr>
            <w:r>
              <w:rPr>
                <w:lang w:val="en-GB"/>
              </w:rPr>
              <w:t>AEL</w:t>
            </w:r>
          </w:p>
        </w:tc>
        <w:tc>
          <w:tcPr>
            <w:tcW w:w="966" w:type="pct"/>
          </w:tcPr>
          <w:p w14:paraId="33EED0BA" w14:textId="2D4EA6B7" w:rsidR="007A0B5B" w:rsidRPr="002E7302" w:rsidRDefault="1BE012D7" w:rsidP="006E2BDB">
            <w:pPr>
              <w:jc w:val="both"/>
              <w:rPr>
                <w:lang w:val="en-GB"/>
              </w:rPr>
            </w:pPr>
            <w:r w:rsidRPr="528E8AD9">
              <w:rPr>
                <w:lang w:val="en-GB"/>
              </w:rPr>
              <w:t>c</w:t>
            </w:r>
            <w:r w:rsidR="6996CEA2" w:rsidRPr="528E8AD9">
              <w:rPr>
                <w:lang w:val="en-GB"/>
              </w:rPr>
              <w:t>radle-to-gate production and use of hydrogen in bus (excluding the bus and FC life cycle)</w:t>
            </w:r>
          </w:p>
        </w:tc>
        <w:tc>
          <w:tcPr>
            <w:tcW w:w="511" w:type="pct"/>
          </w:tcPr>
          <w:p w14:paraId="6BCA2E5C" w14:textId="3D5E8004" w:rsidR="007A0B5B" w:rsidRPr="002E7302" w:rsidRDefault="001B3DF3" w:rsidP="0061474F">
            <w:pPr>
              <w:jc w:val="both"/>
              <w:rPr>
                <w:lang w:val="en-GB"/>
              </w:rPr>
            </w:pPr>
            <w:proofErr w:type="spellStart"/>
            <w:r>
              <w:rPr>
                <w:lang w:val="en-GB"/>
              </w:rPr>
              <w:t>e</w:t>
            </w:r>
            <w:r w:rsidR="006E2BDB" w:rsidRPr="006E2BDB">
              <w:rPr>
                <w:lang w:val="en-GB"/>
              </w:rPr>
              <w:t>coinvent</w:t>
            </w:r>
            <w:proofErr w:type="spellEnd"/>
            <w:r w:rsidR="006E2BDB" w:rsidRPr="006E2BDB">
              <w:rPr>
                <w:lang w:val="en-GB"/>
              </w:rPr>
              <w:t xml:space="preserve"> 3.8</w:t>
            </w:r>
          </w:p>
        </w:tc>
        <w:tc>
          <w:tcPr>
            <w:tcW w:w="455" w:type="pct"/>
          </w:tcPr>
          <w:p w14:paraId="46616181" w14:textId="4F222061" w:rsidR="007A0B5B" w:rsidRPr="002E7302" w:rsidRDefault="008926E8" w:rsidP="0061474F">
            <w:pPr>
              <w:jc w:val="both"/>
              <w:rPr>
                <w:lang w:val="en-GB"/>
              </w:rPr>
            </w:pPr>
            <w:proofErr w:type="spellStart"/>
            <w:r w:rsidRPr="008926E8">
              <w:rPr>
                <w:lang w:val="en-GB"/>
              </w:rPr>
              <w:t>ReCiPe</w:t>
            </w:r>
            <w:proofErr w:type="spellEnd"/>
            <w:r w:rsidRPr="008926E8">
              <w:rPr>
                <w:lang w:val="en-GB"/>
              </w:rPr>
              <w:t xml:space="preserve"> 2016 v1.1H/H</w:t>
            </w:r>
          </w:p>
        </w:tc>
        <w:tc>
          <w:tcPr>
            <w:tcW w:w="966" w:type="pct"/>
          </w:tcPr>
          <w:p w14:paraId="20E662DD" w14:textId="6D61E281" w:rsidR="007A0B5B" w:rsidRPr="002E7302" w:rsidRDefault="00B76C11" w:rsidP="0061474F">
            <w:pPr>
              <w:jc w:val="both"/>
              <w:rPr>
                <w:lang w:val="en-GB"/>
              </w:rPr>
            </w:pPr>
            <w:r>
              <w:rPr>
                <w:lang w:val="en-GB"/>
              </w:rPr>
              <w:t>not identified</w:t>
            </w:r>
          </w:p>
        </w:tc>
        <w:tc>
          <w:tcPr>
            <w:tcW w:w="1023" w:type="pct"/>
          </w:tcPr>
          <w:p w14:paraId="717CEFED" w14:textId="77777777" w:rsidR="007A0B5B" w:rsidRDefault="00E13595" w:rsidP="00E13595">
            <w:pPr>
              <w:jc w:val="both"/>
            </w:pPr>
            <w:r>
              <w:t>Details on the application of input materials are not available.</w:t>
            </w:r>
          </w:p>
          <w:p w14:paraId="416B7953" w14:textId="06B34A68" w:rsidR="00E13595" w:rsidRDefault="6A865095" w:rsidP="00E13595">
            <w:pPr>
              <w:jc w:val="both"/>
            </w:pPr>
            <w:r>
              <w:t>LCI data of the production processes are retrieved from literature and affected by large variability, the developed LCI requires updates for region</w:t>
            </w:r>
            <w:r w:rsidR="0DAF4B59">
              <w:t>-</w:t>
            </w:r>
            <w:r>
              <w:t>specific systems and for emerging data</w:t>
            </w:r>
          </w:p>
        </w:tc>
      </w:tr>
      <w:tr w:rsidR="003805F6" w14:paraId="20964CF1" w14:textId="77777777" w:rsidTr="05135B6E">
        <w:trPr>
          <w:cantSplit/>
          <w:trHeight w:val="300"/>
        </w:trPr>
        <w:tc>
          <w:tcPr>
            <w:tcW w:w="567" w:type="pct"/>
          </w:tcPr>
          <w:p w14:paraId="2F00FE31" w14:textId="77777777" w:rsidR="007A0B5B" w:rsidRPr="007A0B5B" w:rsidRDefault="007A0B5B" w:rsidP="007A0B5B">
            <w:pPr>
              <w:jc w:val="both"/>
              <w:rPr>
                <w:lang w:val="fr-FR"/>
              </w:rPr>
            </w:pPr>
            <w:r w:rsidRPr="008009C8">
              <w:fldChar w:fldCharType="begin" w:fldLock="1"/>
            </w:r>
            <w:r w:rsidRPr="002E7302">
              <w:rPr>
                <w:lang w:val="fr-FR"/>
              </w:rPr>
              <w:instrText>ADDIN CSL_CITATION {"citationItems":[{"id":"ITEM-1","itemData":{"DOI":"10.1016/j.energy.2020.118347","ISSN":"03605442","abstract":"Hydrogen is used in the petroleum industry to upgrade crude oil in refineries or as a chemical agent to produce ammonia, methanol and other products. It is mainly supplied by conventional production methods based on fossil fuels. Solar-based hydrogen production is a potentially advantageous option to the problems of climate change and depletion of conventional fuel supplies. Four hydrogen production pathways including steam methane reforming, coal gasification, photovoltaic and solar thermal electrolysis are considered in this study. This paper investigates solar hydrogen potential in terms of cost and emissions as a replacement for conventional methods to provide the hydrogen required in oil and gas industries. GHG abatement costs are evaluated to compare the proposed methods with a reference method. As steam methane reforming is the most common method used in the petroleum industry, it is considered as the reference method in this study. Our results show that the GHG abatement costs are $0.786/kg CO2 and $1.37/kg CO2 for PV and solar thermal electrolysis, respectively. An uncertainty analysis is also conducted to assess the effects of variations of different parameters on the results.","author":[{"dropping-particle":"","family":"Sadeghi","given":"Shayan","non-dropping-particle":"","parse-names":false,"suffix":""},{"dropping-particle":"","family":"Ghandehariun","given":"Samane","non-dropping-particle":"","parse-names":false,"suffix":""},{"dropping-particle":"","family":"Rosen","given":"Marc A.","non-dropping-particle":"","parse-names":false,"suffix":""}],"container-title":"Energy","id":"ITEM-1","issued":{"date-parts":[["2020"]]},"page":"118347","publisher":"Elsevier Ltd","title":"Comparative economic and life cycle assessment of solar-based hydrogen production for oil and gas industries","type":"article-journal","volume":"208"},"uris":["http://www.mendeley.com/documents/?uuid=d8513336-01de-414b-940e-9c1325d08415"]}],"mendeley":{"formattedCitation":"(Sadeghi et al., 2020)","plainTextFormattedCitation":"(Sadeghi et al., 2020)","previouslyFormattedCitation":"(Sadeghi et al., 2020)"},"properties":{"noteIndex":0},"schema":"https://github.com/citation-style-language/schema/raw/master/csl-citation.json"}</w:instrText>
            </w:r>
            <w:r w:rsidRPr="008009C8">
              <w:fldChar w:fldCharType="separate"/>
            </w:r>
            <w:r w:rsidRPr="002E7302">
              <w:rPr>
                <w:noProof/>
                <w:lang w:val="fr-FR"/>
              </w:rPr>
              <w:t>(Sadeghi et al., 2020)</w:t>
            </w:r>
            <w:r w:rsidRPr="008009C8">
              <w:fldChar w:fldCharType="end"/>
            </w:r>
          </w:p>
        </w:tc>
        <w:tc>
          <w:tcPr>
            <w:tcW w:w="512" w:type="pct"/>
          </w:tcPr>
          <w:p w14:paraId="5424631C" w14:textId="77777777" w:rsidR="007A0B5B" w:rsidRDefault="007A0B5B" w:rsidP="0061474F">
            <w:pPr>
              <w:jc w:val="both"/>
              <w:rPr>
                <w:lang w:val="en-GB"/>
              </w:rPr>
            </w:pPr>
            <w:r>
              <w:rPr>
                <w:lang w:val="en-GB"/>
              </w:rPr>
              <w:t>AEL</w:t>
            </w:r>
          </w:p>
        </w:tc>
        <w:tc>
          <w:tcPr>
            <w:tcW w:w="966" w:type="pct"/>
          </w:tcPr>
          <w:p w14:paraId="12FB03B0" w14:textId="288600BB" w:rsidR="007A0B5B" w:rsidRPr="002E7302" w:rsidRDefault="00BC0330" w:rsidP="0061474F">
            <w:pPr>
              <w:jc w:val="both"/>
              <w:rPr>
                <w:lang w:val="en-GB"/>
              </w:rPr>
            </w:pPr>
            <w:r>
              <w:rPr>
                <w:lang w:val="en-US"/>
              </w:rPr>
              <w:t>cradle-to-grave production of hydrogen  in power plant including maintenance and decommissioning of the plant</w:t>
            </w:r>
          </w:p>
        </w:tc>
        <w:tc>
          <w:tcPr>
            <w:tcW w:w="511" w:type="pct"/>
          </w:tcPr>
          <w:p w14:paraId="42C93A99" w14:textId="273A2663" w:rsidR="007A0B5B" w:rsidRPr="002E7302" w:rsidRDefault="030E5262" w:rsidP="0061474F">
            <w:pPr>
              <w:jc w:val="both"/>
              <w:rPr>
                <w:lang w:val="en-GB"/>
              </w:rPr>
            </w:pPr>
            <w:r>
              <w:t>unspecified</w:t>
            </w:r>
            <w:r w:rsidR="00770D67">
              <w:t xml:space="preserve"> databases</w:t>
            </w:r>
          </w:p>
        </w:tc>
        <w:tc>
          <w:tcPr>
            <w:tcW w:w="455" w:type="pct"/>
          </w:tcPr>
          <w:p w14:paraId="3CD9DA3F" w14:textId="5F7A198D" w:rsidR="007A0B5B" w:rsidRPr="002E7302" w:rsidRDefault="00DC6B01" w:rsidP="0061474F">
            <w:pPr>
              <w:jc w:val="both"/>
              <w:rPr>
                <w:lang w:val="en-GB"/>
              </w:rPr>
            </w:pPr>
            <w:r w:rsidRPr="004E7788">
              <w:t>5th IPCC assessment report</w:t>
            </w:r>
            <w:r>
              <w:rPr>
                <w:lang w:val="en-GB"/>
              </w:rPr>
              <w:t xml:space="preserve"> (GWP</w:t>
            </w:r>
            <w:r w:rsidR="00374982">
              <w:rPr>
                <w:lang w:val="en-GB"/>
              </w:rPr>
              <w:t xml:space="preserve"> 100</w:t>
            </w:r>
            <w:r>
              <w:rPr>
                <w:lang w:val="en-GB"/>
              </w:rPr>
              <w:t>)</w:t>
            </w:r>
          </w:p>
        </w:tc>
        <w:tc>
          <w:tcPr>
            <w:tcW w:w="966" w:type="pct"/>
          </w:tcPr>
          <w:p w14:paraId="0C96747D" w14:textId="7CDF7D0D" w:rsidR="007A0B5B" w:rsidRPr="002E7302" w:rsidRDefault="5100F320" w:rsidP="008A26CF">
            <w:pPr>
              <w:jc w:val="both"/>
              <w:rPr>
                <w:lang w:val="en-GB"/>
              </w:rPr>
            </w:pPr>
            <w:r w:rsidRPr="528E8AD9">
              <w:rPr>
                <w:lang w:val="en-GB"/>
              </w:rPr>
              <w:t>The input materials are aggregated by macro-type (e.g. steel and iron, glass/silicon) without details on the specific processing and manufacturing required</w:t>
            </w:r>
          </w:p>
        </w:tc>
        <w:tc>
          <w:tcPr>
            <w:tcW w:w="1023" w:type="pct"/>
          </w:tcPr>
          <w:p w14:paraId="02FF8B79" w14:textId="24CD5ACE" w:rsidR="007A0B5B" w:rsidRDefault="5100F320" w:rsidP="0061474F">
            <w:pPr>
              <w:jc w:val="both"/>
            </w:pPr>
            <w:r>
              <w:t>Only GWP is addressed as impact category</w:t>
            </w:r>
          </w:p>
        </w:tc>
      </w:tr>
      <w:tr w:rsidR="003805F6" w14:paraId="2EF05971" w14:textId="77777777" w:rsidTr="05135B6E">
        <w:trPr>
          <w:cantSplit/>
          <w:trHeight w:val="300"/>
        </w:trPr>
        <w:tc>
          <w:tcPr>
            <w:tcW w:w="567" w:type="pct"/>
          </w:tcPr>
          <w:p w14:paraId="411284EE" w14:textId="77777777" w:rsidR="007A0B5B" w:rsidRPr="008009C8" w:rsidRDefault="007A0B5B" w:rsidP="007A0B5B">
            <w:pPr>
              <w:jc w:val="both"/>
            </w:pPr>
            <w:r>
              <w:fldChar w:fldCharType="begin" w:fldLock="1"/>
            </w:r>
            <w:r>
              <w:instrText>ADDIN CSL_CITATION {"citationItems":[{"id":"ITEM-1","itemData":{"DOI":"10.1016/j.ijhydene.2023.05.255","ISSN":"03603199","abstract":"The EU-funded project eGHOST supports the fuel cells and hydrogen (FCH) industry in shaping the eco (re)design of hydrogen-related products such as proton exchange membrane fuel cell (PEMFC) stacks. Within this framework, a life cycle sustainability assessment (LCSA) of a PEMFC stack was conducted to evaluate its potential environmental, economic, and social impacts. The climate change indicator for one 48 kWel PEMFC stack is 1160 kg CO2 eq., with platinum accounting for 63.5% of the total value. The cost depends mainly on the production rate, and it is 2233 €/stack for an annual production of 50,000 stacks. Social hotspots are mainly associated with platinum production in South Africa. Illustrative ecodesign actions allow a reduction in climate change of 31% and 46% in the realistic (short-term) and optimistic (long-term) concept, respectively. A further reduction in climate change (54% in the optimistic concept) is achieved if 95% recycled Pt is used.","author":[{"dropping-particle":"","family":"Mori","given":"Mitja","non-dropping-particle":"","parse-names":false,"suffix":""},{"dropping-particle":"","family":"Iribarren","given":"Diego","non-dropping-particle":"","parse-names":false,"suffix":""},{"dropping-particle":"","family":"Cren","given":"Julie","non-dropping-particle":"","parse-names":false,"suffix":""},{"dropping-particle":"","family":"Cor","given":"Emmanuelle","non-dropping-particle":"","parse-names":false,"suffix":""},{"dropping-particle":"","family":"Lotrič","given":"Andrej","non-dropping-particle":"","parse-names":false,"suffix":""},{"dropping-particle":"","family":"Gramc","given":"Jure","non-dropping-particle":"","parse-names":false,"suffix":""},{"dropping-particle":"","family":"Drobnič","given":"Boštjan","non-dropping-particle":"","parse-names":false,"suffix":""},{"dropping-particle":"","family":"Rey","given":"Laurent","non-dropping-particle":"","parse-names":false,"suffix":""},{"dropping-particle":"","family":"Campos-Carriedo","given":"Felipe","non-dropping-particle":"","parse-names":false,"suffix":""},{"dropping-particle":"","family":"Puig-Samper","given":"Gonzalo","non-dropping-particle":"","parse-names":false,"suffix":""},{"dropping-particle":"","family":"Bargiacchi","given":"Eleonora","non-dropping-particle":"","parse-names":false,"suffix":""},{"dropping-particle":"","family":"Dufour","given":"Javier","non-dropping-particle":"","parse-names":false,"suffix":""},{"dropping-particle":"","family":"Stropnik","given":"Rok","non-dropping-particle":"","parse-names":false,"suffix":""}],"container-title":"International Journal of Hydrogen Energy","id":"ITEM-1","issue":"xxxx","issued":{"date-parts":[["2023"]]},"title":"Life cycle sustainability assessment of a proton exchange membrane fuel cell technology for ecodesign purposes","type":"article-journal"},"uris":["http://www.mendeley.com/documents/?uuid=7b1ccef4-6ac6-491f-b214-d528ffd8edde"]}],"mendeley":{"formattedCitation":"(Mori et al., 2023)","plainTextFormattedCitation":"(Mori et al., 2023)","previouslyFormattedCitation":"(Mori et al., 2023)"},"properties":{"noteIndex":0},"schema":"https://github.com/citation-style-language/schema/raw/master/csl-citation.json"}</w:instrText>
            </w:r>
            <w:r>
              <w:fldChar w:fldCharType="separate"/>
            </w:r>
            <w:r w:rsidRPr="00556B8F">
              <w:rPr>
                <w:noProof/>
              </w:rPr>
              <w:t>(Mori et al., 2023)</w:t>
            </w:r>
            <w:r>
              <w:fldChar w:fldCharType="end"/>
            </w:r>
          </w:p>
        </w:tc>
        <w:tc>
          <w:tcPr>
            <w:tcW w:w="512" w:type="pct"/>
          </w:tcPr>
          <w:p w14:paraId="7E8284F6" w14:textId="77777777" w:rsidR="007A0B5B" w:rsidRDefault="007A0B5B" w:rsidP="0061474F">
            <w:pPr>
              <w:jc w:val="both"/>
              <w:rPr>
                <w:lang w:val="en-GB"/>
              </w:rPr>
            </w:pPr>
            <w:r>
              <w:rPr>
                <w:lang w:val="en-GB"/>
              </w:rPr>
              <w:t>PEMFC</w:t>
            </w:r>
          </w:p>
        </w:tc>
        <w:tc>
          <w:tcPr>
            <w:tcW w:w="966" w:type="pct"/>
          </w:tcPr>
          <w:p w14:paraId="7033BDC9" w14:textId="18A27E99" w:rsidR="007A0B5B" w:rsidRPr="00914487" w:rsidRDefault="545029D8" w:rsidP="0061474F">
            <w:pPr>
              <w:jc w:val="both"/>
              <w:rPr>
                <w:lang w:val="en-US"/>
              </w:rPr>
            </w:pPr>
            <w:r w:rsidRPr="528E8AD9">
              <w:rPr>
                <w:lang w:val="en-GB"/>
              </w:rPr>
              <w:t>cradle</w:t>
            </w:r>
            <w:r w:rsidR="29CAEC32" w:rsidRPr="528E8AD9">
              <w:rPr>
                <w:lang w:val="en-GB"/>
              </w:rPr>
              <w:t>-</w:t>
            </w:r>
            <w:r w:rsidRPr="528E8AD9">
              <w:rPr>
                <w:lang w:val="en-GB"/>
              </w:rPr>
              <w:t>to</w:t>
            </w:r>
            <w:r w:rsidR="523BA623" w:rsidRPr="528E8AD9">
              <w:rPr>
                <w:lang w:val="en-GB"/>
              </w:rPr>
              <w:t>-</w:t>
            </w:r>
            <w:r w:rsidRPr="528E8AD9">
              <w:rPr>
                <w:lang w:val="en-GB"/>
              </w:rPr>
              <w:t xml:space="preserve">gate manufacturing of the stack </w:t>
            </w:r>
            <w:r w:rsidRPr="528E8AD9">
              <w:rPr>
                <w:lang w:val="en-US"/>
              </w:rPr>
              <w:t xml:space="preserve">(excluding use and </w:t>
            </w:r>
            <w:proofErr w:type="spellStart"/>
            <w:r w:rsidRPr="528E8AD9">
              <w:rPr>
                <w:lang w:val="en-US"/>
              </w:rPr>
              <w:t>EoL</w:t>
            </w:r>
            <w:proofErr w:type="spellEnd"/>
            <w:r w:rsidRPr="528E8AD9">
              <w:rPr>
                <w:lang w:val="en-US"/>
              </w:rPr>
              <w:t>)</w:t>
            </w:r>
          </w:p>
        </w:tc>
        <w:tc>
          <w:tcPr>
            <w:tcW w:w="511" w:type="pct"/>
          </w:tcPr>
          <w:p w14:paraId="434D34B5" w14:textId="2CDF7C57" w:rsidR="007A0B5B" w:rsidRDefault="001B3DF3" w:rsidP="0061474F">
            <w:pPr>
              <w:jc w:val="both"/>
              <w:rPr>
                <w:lang w:val="en-GB"/>
              </w:rPr>
            </w:pPr>
            <w:proofErr w:type="spellStart"/>
            <w:r>
              <w:rPr>
                <w:lang w:val="en-GB"/>
              </w:rPr>
              <w:t>e</w:t>
            </w:r>
            <w:r w:rsidR="000C6786">
              <w:rPr>
                <w:lang w:val="en-GB"/>
              </w:rPr>
              <w:t>coinvent</w:t>
            </w:r>
            <w:proofErr w:type="spellEnd"/>
            <w:r w:rsidR="000C6786">
              <w:rPr>
                <w:lang w:val="en-GB"/>
              </w:rPr>
              <w:t xml:space="preserve"> 3,</w:t>
            </w:r>
          </w:p>
          <w:p w14:paraId="0C04C1EE" w14:textId="3AF2C376" w:rsidR="000C6786" w:rsidRPr="002E7302" w:rsidRDefault="000C6786" w:rsidP="0061474F">
            <w:pPr>
              <w:jc w:val="both"/>
              <w:rPr>
                <w:lang w:val="en-GB"/>
              </w:rPr>
            </w:pPr>
            <w:r>
              <w:rPr>
                <w:lang w:val="en-GB"/>
              </w:rPr>
              <w:t>Gabi</w:t>
            </w:r>
          </w:p>
        </w:tc>
        <w:tc>
          <w:tcPr>
            <w:tcW w:w="455" w:type="pct"/>
          </w:tcPr>
          <w:p w14:paraId="2D908F52" w14:textId="2A91FD87" w:rsidR="007A0B5B" w:rsidRPr="002E7302" w:rsidRDefault="00914487" w:rsidP="0061474F">
            <w:pPr>
              <w:jc w:val="both"/>
              <w:rPr>
                <w:lang w:val="en-GB"/>
              </w:rPr>
            </w:pPr>
            <w:r>
              <w:rPr>
                <w:lang w:val="en-GB"/>
              </w:rPr>
              <w:t>Environmental Footprint 3.0</w:t>
            </w:r>
          </w:p>
        </w:tc>
        <w:tc>
          <w:tcPr>
            <w:tcW w:w="966" w:type="pct"/>
          </w:tcPr>
          <w:p w14:paraId="1DD6F7AF" w14:textId="14B1D765" w:rsidR="007A0B5B" w:rsidRPr="002E7302" w:rsidRDefault="00B76C11" w:rsidP="00E05634">
            <w:pPr>
              <w:jc w:val="both"/>
              <w:rPr>
                <w:lang w:val="en-GB"/>
              </w:rPr>
            </w:pPr>
            <w:r w:rsidRPr="05135B6E">
              <w:rPr>
                <w:lang w:val="en-GB"/>
              </w:rPr>
              <w:t>not identified</w:t>
            </w:r>
          </w:p>
        </w:tc>
        <w:tc>
          <w:tcPr>
            <w:tcW w:w="1023" w:type="pct"/>
          </w:tcPr>
          <w:p w14:paraId="5AE8C592" w14:textId="05A1039A" w:rsidR="007A0B5B" w:rsidRDefault="00B76C11" w:rsidP="00882222">
            <w:pPr>
              <w:jc w:val="both"/>
            </w:pPr>
            <w:proofErr w:type="gramStart"/>
            <w:r w:rsidRPr="05135B6E">
              <w:rPr>
                <w:lang w:val="en-GB"/>
              </w:rPr>
              <w:t>not</w:t>
            </w:r>
            <w:proofErr w:type="gramEnd"/>
            <w:r w:rsidRPr="05135B6E">
              <w:rPr>
                <w:lang w:val="en-GB"/>
              </w:rPr>
              <w:t xml:space="preserve"> identified</w:t>
            </w:r>
            <w:r w:rsidR="00882222">
              <w:rPr>
                <w:lang w:val="en-GB"/>
              </w:rPr>
              <w:t xml:space="preserve"> (no approximations in the study).</w:t>
            </w:r>
          </w:p>
        </w:tc>
      </w:tr>
      <w:tr w:rsidR="003805F6" w14:paraId="0D17CE57" w14:textId="77777777" w:rsidTr="05135B6E">
        <w:trPr>
          <w:cantSplit/>
          <w:trHeight w:val="300"/>
        </w:trPr>
        <w:tc>
          <w:tcPr>
            <w:tcW w:w="567" w:type="pct"/>
          </w:tcPr>
          <w:p w14:paraId="55A41100" w14:textId="77777777" w:rsidR="007A0B5B" w:rsidRPr="008009C8" w:rsidRDefault="007A0B5B" w:rsidP="007A0B5B">
            <w:pPr>
              <w:jc w:val="both"/>
            </w:pPr>
            <w:r>
              <w:lastRenderedPageBreak/>
              <w:fldChar w:fldCharType="begin" w:fldLock="1"/>
            </w:r>
            <w:r>
              <w:instrText>ADDIN CSL_CITATION {"citationItems":[{"id":"ITEM-1","itemData":{"DOI":"10.1002/ese3.441","ISSN":"20500505","abstract":"Commonly used materials constituting the core components of polymer electrolyte membrane fuel cells (PEMFCs), including the balance-of-plant, were classified according to the EU criticality methodology with an additional assessment of hazardousness and price. A life-cycle assessment (LCA) of the materials potentially present in PEMFC systems was performed for 1 g of each material. To demonstrate the importance of appropriate actions at the end of life (EoL) for critical materials, a LCA study of the whole life cycle for a 1-kW PEMFC system and 20,000 operating hours was performed. In addition to the manufacturing phase, four different scenarios of hydrogen production were analyzed. In the EoL phase, recycling was used as a primary strategy, with energy extraction and landfill as the second and third. The environmental impacts for 1 g of material show that platinum group metals and precious metals have by far the largest environmental impact; therefore, it is necessary to pay special attention to these materials in the EoL phase. The LCA results for the 1-kW PEMFC system show that in the manufacturing phase the major environmental impacts come from the fuel cell stack, where the majority of the critical materials are used. Analysis shows that only 0.75 g of platinum in the manufacturing phase contributes, on average, 60% of the total environmental impacts of the manufacturing phase. In the operating phase, environmentally sounder scenarios are the hydrogen production with water electrolysis using hydroelectricity and natural gas reforming. These two scenarios have lower absolute values for the environmental impact indicators, on average, compared with the manufacturing phase of the 1-kW PEMFC system. With proper recycling strategies in the EoL phase for each material, and by paying a lot of attention to the critical materials, the environmental impacts could be reduced, on average, by 37.3% for the manufacturing phase and 23.7% for the entire life cycle of the 1-kW PEMFC system.","author":[{"dropping-particle":"","family":"Stropnik","given":"Rok","non-dropping-particle":"","parse-names":false,"suffix":""},{"dropping-particle":"","family":"Lotrič","given":"Andrej","non-dropping-particle":"","parse-names":false,"suffix":""},{"dropping-particle":"","family":"Bernad Montenegro","given":"Alfonso","non-dropping-particle":"","parse-names":false,"suffix":""},{"dropping-particle":"","family":"Sekavčnik","given":"Mihael","non-dropping-particle":"","parse-names":false,"suffix":""},{"dropping-particle":"","family":"Mori","given":"Mitja","non-dropping-particle":"","parse-names":false,"suffix":""}],"container-title":"Energy Science and Engineering","id":"ITEM-1","issue":"6","issued":{"date-parts":[["2019"]]},"page":"2519-2539","title":"Critical materials in PEMFC systems and a LCA analysis for the potential reduction of environmental impacts with EoL strategies","type":"article-journal","volume":"7"},"uris":["http://www.mendeley.com/documents/?uuid=2003beb2-89e8-4788-8abf-03a9df252ff9"]}],"mendeley":{"formattedCitation":"(Stropnik et al., 2019)","plainTextFormattedCitation":"(Stropnik et al., 2019)","previouslyFormattedCitation":"(Stropnik et al., 2019)"},"properties":{"noteIndex":0},"schema":"https://github.com/citation-style-language/schema/raw/master/csl-citation.json"}</w:instrText>
            </w:r>
            <w:r>
              <w:fldChar w:fldCharType="separate"/>
            </w:r>
            <w:r w:rsidRPr="00556B8F">
              <w:rPr>
                <w:noProof/>
              </w:rPr>
              <w:t>(Stropnik et al., 2019)</w:t>
            </w:r>
            <w:r>
              <w:fldChar w:fldCharType="end"/>
            </w:r>
          </w:p>
        </w:tc>
        <w:tc>
          <w:tcPr>
            <w:tcW w:w="512" w:type="pct"/>
          </w:tcPr>
          <w:p w14:paraId="122D1BBF" w14:textId="77777777" w:rsidR="007A0B5B" w:rsidRDefault="007A0B5B" w:rsidP="0061474F">
            <w:pPr>
              <w:jc w:val="both"/>
              <w:rPr>
                <w:lang w:val="en-GB"/>
              </w:rPr>
            </w:pPr>
            <w:r>
              <w:rPr>
                <w:lang w:val="en-GB"/>
              </w:rPr>
              <w:t>PEMFC</w:t>
            </w:r>
          </w:p>
        </w:tc>
        <w:tc>
          <w:tcPr>
            <w:tcW w:w="966" w:type="pct"/>
          </w:tcPr>
          <w:p w14:paraId="678E33B1" w14:textId="2ED989B6" w:rsidR="007A0B5B" w:rsidRPr="002E7302" w:rsidRDefault="00803271" w:rsidP="0061474F">
            <w:pPr>
              <w:jc w:val="both"/>
              <w:rPr>
                <w:lang w:val="en-GB"/>
              </w:rPr>
            </w:pPr>
            <w:r w:rsidRPr="002E7302">
              <w:rPr>
                <w:lang w:val="en-GB"/>
              </w:rPr>
              <w:t>cradle-to-grave of FC system/vehicle/ship (including use phase)</w:t>
            </w:r>
          </w:p>
        </w:tc>
        <w:tc>
          <w:tcPr>
            <w:tcW w:w="511" w:type="pct"/>
          </w:tcPr>
          <w:p w14:paraId="0983BDDB" w14:textId="77777777" w:rsidR="007A0B5B" w:rsidRDefault="00170A92" w:rsidP="0061474F">
            <w:pPr>
              <w:jc w:val="both"/>
              <w:rPr>
                <w:lang w:val="en-GB"/>
              </w:rPr>
            </w:pPr>
            <w:r>
              <w:rPr>
                <w:lang w:val="en-GB"/>
              </w:rPr>
              <w:t>Gabi Professional</w:t>
            </w:r>
          </w:p>
          <w:p w14:paraId="55620E2D" w14:textId="42C137BA" w:rsidR="00170A92" w:rsidRPr="002E7302" w:rsidRDefault="00170A92" w:rsidP="0061474F">
            <w:pPr>
              <w:jc w:val="both"/>
              <w:rPr>
                <w:lang w:val="en-GB"/>
              </w:rPr>
            </w:pPr>
          </w:p>
        </w:tc>
        <w:tc>
          <w:tcPr>
            <w:tcW w:w="455" w:type="pct"/>
          </w:tcPr>
          <w:p w14:paraId="2DC6BE5F" w14:textId="64B4CC7D" w:rsidR="007A0B5B" w:rsidRPr="002E7302" w:rsidRDefault="00DD7C4F" w:rsidP="0061474F">
            <w:pPr>
              <w:jc w:val="both"/>
              <w:rPr>
                <w:lang w:val="en-GB"/>
              </w:rPr>
            </w:pPr>
            <w:r>
              <w:rPr>
                <w:lang w:val="en-GB"/>
              </w:rPr>
              <w:t>CML 2001</w:t>
            </w:r>
          </w:p>
        </w:tc>
        <w:tc>
          <w:tcPr>
            <w:tcW w:w="966" w:type="pct"/>
          </w:tcPr>
          <w:p w14:paraId="3C821D2D" w14:textId="0D13F07B" w:rsidR="007A0B5B" w:rsidRPr="002E7302" w:rsidRDefault="00C21499" w:rsidP="00B76C11">
            <w:pPr>
              <w:jc w:val="both"/>
              <w:rPr>
                <w:lang w:val="en-GB"/>
              </w:rPr>
            </w:pPr>
            <w:r w:rsidRPr="25EBFC90">
              <w:rPr>
                <w:lang w:val="en-US"/>
              </w:rPr>
              <w:t xml:space="preserve">data missing for </w:t>
            </w:r>
            <w:r w:rsidR="58876FE0" w:rsidRPr="25EBFC90">
              <w:rPr>
                <w:lang w:val="en-US"/>
              </w:rPr>
              <w:t>processes related to stack dismantling including the separation of catalyst-coated membrane,</w:t>
            </w:r>
            <w:r w:rsidRPr="25EBFC90">
              <w:rPr>
                <w:lang w:val="en-US"/>
              </w:rPr>
              <w:t xml:space="preserve"> </w:t>
            </w:r>
            <w:r w:rsidR="00B76C11" w:rsidRPr="25EBFC90">
              <w:rPr>
                <w:lang w:val="en-US"/>
              </w:rPr>
              <w:t xml:space="preserve">data missing for modeling the </w:t>
            </w:r>
            <w:proofErr w:type="spellStart"/>
            <w:r w:rsidR="00B76C11" w:rsidRPr="25EBFC90">
              <w:rPr>
                <w:lang w:val="en-US"/>
              </w:rPr>
              <w:t>EoL</w:t>
            </w:r>
            <w:proofErr w:type="spellEnd"/>
            <w:r w:rsidR="00B76C11" w:rsidRPr="25EBFC90">
              <w:rPr>
                <w:lang w:val="en-US"/>
              </w:rPr>
              <w:t xml:space="preserve"> treatment of</w:t>
            </w:r>
            <w:r w:rsidR="58876FE0" w:rsidRPr="25EBFC90">
              <w:rPr>
                <w:lang w:val="en-US"/>
              </w:rPr>
              <w:t xml:space="preserve"> carbon black</w:t>
            </w:r>
            <w:r w:rsidR="242359D8" w:rsidRPr="25EBFC90">
              <w:rPr>
                <w:lang w:val="en-US"/>
              </w:rPr>
              <w:t xml:space="preserve">, </w:t>
            </w:r>
            <w:r w:rsidR="242359D8" w:rsidRPr="25EBFC90">
              <w:rPr>
                <w:lang w:val="en-GB"/>
              </w:rPr>
              <w:t>unavailable data on treatment of the spent solvent used for recovering the catalyst (hydrometallurgy</w:t>
            </w:r>
            <w:r w:rsidR="242359D8" w:rsidRPr="25EBFC90">
              <w:rPr>
                <w:lang w:val="en-US"/>
              </w:rPr>
              <w:t>)</w:t>
            </w:r>
          </w:p>
        </w:tc>
        <w:tc>
          <w:tcPr>
            <w:tcW w:w="1023" w:type="pct"/>
          </w:tcPr>
          <w:p w14:paraId="66A618F1" w14:textId="68F062FF" w:rsidR="007A0B5B" w:rsidRDefault="00A04D97" w:rsidP="00A04D97">
            <w:pPr>
              <w:jc w:val="both"/>
            </w:pPr>
            <w:r w:rsidRPr="00BA0688">
              <w:t>material masses and electricity consumption in the manufacturing phase are taken from the literature</w:t>
            </w:r>
            <w:r>
              <w:t xml:space="preserve">, the EoL of some specific </w:t>
            </w:r>
            <w:r w:rsidR="00803271">
              <w:t xml:space="preserve">materials of the FC </w:t>
            </w:r>
            <w:r>
              <w:t xml:space="preserve">are </w:t>
            </w:r>
            <w:r w:rsidR="00803271">
              <w:t>modeled as hazardous waste landfill as worst case scenario</w:t>
            </w:r>
            <w:r>
              <w:t xml:space="preserve">, background datasets of the dismantling for generic industrial machine are used </w:t>
            </w:r>
          </w:p>
        </w:tc>
      </w:tr>
      <w:tr w:rsidR="003805F6" w14:paraId="098F2CD2" w14:textId="77777777" w:rsidTr="05135B6E">
        <w:trPr>
          <w:cantSplit/>
          <w:trHeight w:val="300"/>
        </w:trPr>
        <w:tc>
          <w:tcPr>
            <w:tcW w:w="567" w:type="pct"/>
          </w:tcPr>
          <w:p w14:paraId="65538B96" w14:textId="77777777" w:rsidR="007A0B5B" w:rsidRPr="008009C8" w:rsidRDefault="00986930" w:rsidP="00986930">
            <w:pPr>
              <w:jc w:val="both"/>
            </w:pPr>
            <w:r w:rsidRPr="008924E8">
              <w:fldChar w:fldCharType="begin" w:fldLock="1"/>
            </w:r>
            <w:r w:rsidRPr="008924E8">
              <w:instrText>ADDIN CSL_CITATION {"citationItems":[{"id":"ITEM-1","itemData":{"DOI":"10.1016/j.ijhydene.2022.08.298","ISSN":"03603199","abstract":"Since transportation is one of the major contributors of global warming and air pollution, developing low-emission vehicles can significantly result in a more sustainable environment. In this research study, four different types of personal vehicles, including gasoline-fueled, CNG-fueled, electric, and hydrogen fuel cell vehicles (FCV) vehicles, are considered to analyze the role of personal vehicles in transportation. In the first step, based on common vehicles, all selected vehicles are simulated in the Simcenter Amesim Software. The primary aim of the modeling is to investigate the performance of each vehicle under the NYC driving conditions. The results indicate that under the selected driving cycle, CNG and gasoline-fueled vehicles consume 165.44g and 174.07g of CNG and gasoline in each driving cycle respectively, while the electric and hydrogen fuel cell vehicles consume 1.51% of the battery pack capacity and 26.47 g of hydrogen per driving cycle, respectively. In the next step, to study the vehicles' life cycle assessments (LCA), the GREET software is implemented to investigate the overall performance of the vehicles from the cradle to the grave. Based on the LCA results, CO2, CO, NOx, GHG, and SOx pollution are examined for all selected vehicles, in which the FCV indicates the best behavior. Finally, the emitted CO2 for FCV in comparison with gasoline-fueled, CNG-fueled, and EV vehicles were 75.87%, 73.42%, and 35.5% lower, respectively.","author":[{"dropping-particle":"","family":"Teimouri","given":"Aidin","non-dropping-particle":"","parse-names":false,"suffix":""},{"dropping-particle":"","family":"Zayer Kabeh","given":"Kaveh","non-dropping-particle":"","parse-names":false,"suffix":""},{"dropping-particle":"","family":"Changizian","given":"Sina","non-dropping-particle":"","parse-names":false,"suffix":""},{"dropping-particle":"","family":"Ahmadi","given":"Pouria","non-dropping-particle":"","parse-names":false,"suffix":""},{"dropping-particle":"","family":"Mortazavi","given":"Mehdi","non-dropping-particle":"","parse-names":false,"suffix":""}],"container-title":"International Journal of Hydrogen Energy","id":"ITEM-1","issue":"89","issued":{"date-parts":[["2022"]]},"page":"37990-38002","publisher":"Hydrogen Energy Publications LLC","title":"Comparative lifecycle assessment of hydrogen fuel cell, electric, CNG, and gasoline-powered vehicles under real driving conditions","type":"article-journal","volume":"47"},"uris":["http://www.mendeley.com/documents/?uuid=1da13619-f483-4c6b-8a6a-a87958c55dd3"]}],"mendeley":{"formattedCitation":"(Teimouri et al., 2022)","plainTextFormattedCitation":"(Teimouri et al., 2022)","previouslyFormattedCitation":"(Teimouri et al., 2022)"},"properties":{"noteIndex":0},"schema":"https://github.com/citation-style-language/schema/raw/master/csl-citation.json"}</w:instrText>
            </w:r>
            <w:r w:rsidRPr="008924E8">
              <w:fldChar w:fldCharType="separate"/>
            </w:r>
            <w:r w:rsidRPr="008924E8">
              <w:rPr>
                <w:noProof/>
              </w:rPr>
              <w:t>(Teimouri et al., 2022)</w:t>
            </w:r>
            <w:r w:rsidRPr="008924E8">
              <w:fldChar w:fldCharType="end"/>
            </w:r>
          </w:p>
        </w:tc>
        <w:tc>
          <w:tcPr>
            <w:tcW w:w="512" w:type="pct"/>
          </w:tcPr>
          <w:p w14:paraId="511EEB3C" w14:textId="77777777" w:rsidR="007A0B5B" w:rsidRDefault="00986930" w:rsidP="0061474F">
            <w:pPr>
              <w:jc w:val="both"/>
              <w:rPr>
                <w:lang w:val="en-GB"/>
              </w:rPr>
            </w:pPr>
            <w:r>
              <w:rPr>
                <w:lang w:val="en-GB"/>
              </w:rPr>
              <w:t>PEMFC</w:t>
            </w:r>
          </w:p>
        </w:tc>
        <w:tc>
          <w:tcPr>
            <w:tcW w:w="966" w:type="pct"/>
          </w:tcPr>
          <w:p w14:paraId="2A332C4C" w14:textId="3AAD2BB5" w:rsidR="007A0B5B" w:rsidRPr="002E7302" w:rsidRDefault="00170A92" w:rsidP="0061474F">
            <w:pPr>
              <w:jc w:val="both"/>
              <w:rPr>
                <w:lang w:val="en-GB"/>
              </w:rPr>
            </w:pPr>
            <w:r w:rsidRPr="00170A92">
              <w:rPr>
                <w:lang w:val="en-GB"/>
              </w:rPr>
              <w:t>cradle-to-grave of FC system/vehicle/ship (including use phase)</w:t>
            </w:r>
          </w:p>
        </w:tc>
        <w:tc>
          <w:tcPr>
            <w:tcW w:w="511" w:type="pct"/>
          </w:tcPr>
          <w:p w14:paraId="08372EBD" w14:textId="42A696A8" w:rsidR="007A0B5B" w:rsidRPr="002E7302" w:rsidRDefault="003A4F7F" w:rsidP="0061474F">
            <w:pPr>
              <w:jc w:val="both"/>
              <w:rPr>
                <w:lang w:val="en-GB"/>
              </w:rPr>
            </w:pPr>
            <w:r>
              <w:rPr>
                <w:lang w:val="en-GB"/>
              </w:rPr>
              <w:t>GREET background data</w:t>
            </w:r>
          </w:p>
        </w:tc>
        <w:tc>
          <w:tcPr>
            <w:tcW w:w="455" w:type="pct"/>
          </w:tcPr>
          <w:p w14:paraId="4808B4F1" w14:textId="7482BDDB" w:rsidR="007A0B5B" w:rsidRPr="002E7302" w:rsidRDefault="007A4453" w:rsidP="0061474F">
            <w:pPr>
              <w:jc w:val="both"/>
              <w:rPr>
                <w:lang w:val="en-GB"/>
              </w:rPr>
            </w:pPr>
            <w:r>
              <w:rPr>
                <w:lang w:val="en-GB"/>
              </w:rPr>
              <w:t>unspecified</w:t>
            </w:r>
          </w:p>
        </w:tc>
        <w:tc>
          <w:tcPr>
            <w:tcW w:w="966" w:type="pct"/>
          </w:tcPr>
          <w:p w14:paraId="111268CE" w14:textId="50FD67BD" w:rsidR="007A0B5B" w:rsidRPr="002E7302" w:rsidRDefault="00670E63" w:rsidP="0061474F">
            <w:pPr>
              <w:jc w:val="both"/>
              <w:rPr>
                <w:lang w:val="en-GB"/>
              </w:rPr>
            </w:pPr>
            <w:r>
              <w:rPr>
                <w:lang w:val="en-GB"/>
              </w:rPr>
              <w:t>not identified</w:t>
            </w:r>
          </w:p>
        </w:tc>
        <w:tc>
          <w:tcPr>
            <w:tcW w:w="1023" w:type="pct"/>
          </w:tcPr>
          <w:p w14:paraId="0A4B65DB" w14:textId="1B307494" w:rsidR="007A0B5B" w:rsidRDefault="00670E63" w:rsidP="00670E63">
            <w:pPr>
              <w:jc w:val="both"/>
            </w:pPr>
            <w:r>
              <w:rPr>
                <w:lang w:val="en-GB"/>
              </w:rPr>
              <w:t>not identified</w:t>
            </w:r>
          </w:p>
        </w:tc>
      </w:tr>
      <w:tr w:rsidR="003805F6" w14:paraId="607858D7" w14:textId="77777777" w:rsidTr="05135B6E">
        <w:trPr>
          <w:cantSplit/>
          <w:trHeight w:val="300"/>
        </w:trPr>
        <w:tc>
          <w:tcPr>
            <w:tcW w:w="567" w:type="pct"/>
          </w:tcPr>
          <w:p w14:paraId="54B738D9" w14:textId="77777777" w:rsidR="00986930" w:rsidRPr="008924E8" w:rsidRDefault="00986930" w:rsidP="00986930">
            <w:pPr>
              <w:jc w:val="both"/>
            </w:pPr>
            <w:r>
              <w:fldChar w:fldCharType="begin" w:fldLock="1"/>
            </w:r>
            <w:r>
              <w:instrText>ADDIN CSL_CITATION {"citationItems":[{"id":"ITEM-1","itemData":{"DOI":"10.1016/j.scitotenv.2022.153189","ISSN":"18791026","PMID":"35051482","abstract":"Shipping is a very important source of pollution worldwide. In recent years, numerous actions and measures have been developed trying to reduce the levels of greenhouse gases (GHG) from the marine exhaust emissions in the fight against climate change, boosting the Sustainable Development Goal 13. Following this target, the action of hydrogen as energy vector makes it a suitable alternative to be used as fuel, constituting a very promising energy carrier for energy transition and decarbonization in maritime transport. The objective of this study is to develop an ex-ante environmental evaluation of two promising technologies for vessels propulsion, a H2 Polymeric Electrolytic Membrane Fuel Cell (PEMFC), and a H2 Internal Combustion Engine (ICE), in order to determine their viability and eligibility compared to the traditional one, a diesel ICE. The applied methodology follows the Life Cycle Assessment (LCA) guidelines, considering a functional unit of 1 kWh of energy produced. LCA results reveal that both alternatives have great potential to promote the energy transition, particularly the H2 ICE. However, as technologies readiness level is quite low, it was concluded that the assessment has been conducted at a very early stage, so their sustainability and environmental performance may change as they become more widely developed and deployed, which can be only achieved with political and stakeholder's involvement and collaboration.","author":[{"dropping-particle":"","family":"Fernández-Ríos","given":"Ana","non-dropping-particle":"","parse-names":false,"suffix":""},{"dropping-particle":"","family":"Santos","given":"Germán","non-dropping-particle":"","parse-names":false,"suffix":""},{"dropping-particle":"","family":"Pinedo","given":"Javier","non-dropping-particle":"","parse-names":false,"suffix":""},{"dropping-particle":"","family":"Santos","given":"Esther","non-dropping-particle":"","parse-names":false,"suffix":""},{"dropping-particle":"","family":"Ruiz-Salmón","given":"Israel","non-dropping-particle":"","parse-names":false,"suffix":""},{"dropping-particle":"","family":"Laso","given":"Jara","non-dropping-particle":"","parse-names":false,"suffix":""},{"dropping-particle":"","family":"Lyne","given":"Amanda","non-dropping-particle":"","parse-names":false,"suffix":""},{"dropping-particle":"","family":"Ortiz","given":"Alfredo","non-dropping-particle":"","parse-names":false,"suffix":""},{"dropping-particle":"","family":"Ortiz","given":"Inmaculada","non-dropping-particle":"","parse-names":false,"suffix":""},{"dropping-particle":"","family":"Irabien","given":"Ángel","non-dropping-particle":"","parse-names":false,"suffix":""},{"dropping-particle":"","family":"Aldaco","given":"Rubén","non-dropping-particle":"","parse-names":false,"suffix":""},{"dropping-particle":"","family":"Margallo","given":"María","non-dropping-particle":"","parse-names":false,"suffix":""}],"container-title":"Science of the Total Environment","id":"ITEM-1","issued":{"date-parts":[["2022"]]},"title":"Environmental sustainability of alternative marine propulsion technologies powered by hydrogen - a life cycle assessment approach","type":"article-journal","volume":"820"},"uris":["http://www.mendeley.com/documents/?uuid=912c0b93-25bc-4e79-b533-2e1e9aa1c3eb"]}],"mendeley":{"formattedCitation":"(Fernández-Ríos et al., 2022)","plainTextFormattedCitation":"(Fernández-Ríos et al., 2022)","previouslyFormattedCitation":"(Fernández-Ríos et al., 2022)"},"properties":{"noteIndex":0},"schema":"https://github.com/citation-style-language/schema/raw/master/csl-citation.json"}</w:instrText>
            </w:r>
            <w:r>
              <w:fldChar w:fldCharType="separate"/>
            </w:r>
            <w:r w:rsidRPr="000C4A88">
              <w:rPr>
                <w:noProof/>
              </w:rPr>
              <w:t>(Fernández-Ríos et al., 2022)</w:t>
            </w:r>
            <w:r>
              <w:fldChar w:fldCharType="end"/>
            </w:r>
          </w:p>
        </w:tc>
        <w:tc>
          <w:tcPr>
            <w:tcW w:w="512" w:type="pct"/>
          </w:tcPr>
          <w:p w14:paraId="140CBE64" w14:textId="77777777" w:rsidR="00986930" w:rsidRDefault="00986930" w:rsidP="0061474F">
            <w:pPr>
              <w:jc w:val="both"/>
              <w:rPr>
                <w:lang w:val="en-GB"/>
              </w:rPr>
            </w:pPr>
            <w:r>
              <w:rPr>
                <w:lang w:val="en-GB"/>
              </w:rPr>
              <w:t>PEMFC</w:t>
            </w:r>
          </w:p>
        </w:tc>
        <w:tc>
          <w:tcPr>
            <w:tcW w:w="966" w:type="pct"/>
          </w:tcPr>
          <w:p w14:paraId="47F0C8D6" w14:textId="210C1767" w:rsidR="00986930" w:rsidRPr="002E7302" w:rsidRDefault="00375DB0" w:rsidP="0061474F">
            <w:pPr>
              <w:jc w:val="both"/>
              <w:rPr>
                <w:lang w:val="en-GB"/>
              </w:rPr>
            </w:pPr>
            <w:r w:rsidRPr="00170A92">
              <w:rPr>
                <w:lang w:val="en-GB"/>
              </w:rPr>
              <w:t>cradle-to-grave of FC system/vehicle/ship (including use phase)</w:t>
            </w:r>
          </w:p>
        </w:tc>
        <w:tc>
          <w:tcPr>
            <w:tcW w:w="511" w:type="pct"/>
          </w:tcPr>
          <w:p w14:paraId="7B5590A8" w14:textId="48A7F0C9" w:rsidR="00986930" w:rsidRPr="002E7302" w:rsidRDefault="00D91D70" w:rsidP="0061474F">
            <w:pPr>
              <w:jc w:val="both"/>
              <w:rPr>
                <w:lang w:val="en-GB"/>
              </w:rPr>
            </w:pPr>
            <w:proofErr w:type="spellStart"/>
            <w:r w:rsidRPr="00D91D70">
              <w:rPr>
                <w:lang w:val="en-GB"/>
              </w:rPr>
              <w:t>GaBi</w:t>
            </w:r>
            <w:proofErr w:type="spellEnd"/>
            <w:r w:rsidRPr="00D91D70">
              <w:rPr>
                <w:lang w:val="en-GB"/>
              </w:rPr>
              <w:t xml:space="preserve"> database</w:t>
            </w:r>
            <w:r>
              <w:rPr>
                <w:lang w:val="en-GB"/>
              </w:rPr>
              <w:t xml:space="preserve"> (</w:t>
            </w:r>
            <w:proofErr w:type="spellStart"/>
            <w:r>
              <w:rPr>
                <w:lang w:val="en-GB"/>
              </w:rPr>
              <w:t>Sphera</w:t>
            </w:r>
            <w:proofErr w:type="spellEnd"/>
            <w:r>
              <w:rPr>
                <w:lang w:val="en-GB"/>
              </w:rPr>
              <w:t xml:space="preserve"> 2019)</w:t>
            </w:r>
          </w:p>
        </w:tc>
        <w:tc>
          <w:tcPr>
            <w:tcW w:w="455" w:type="pct"/>
          </w:tcPr>
          <w:p w14:paraId="1C9B71D9" w14:textId="677A6497" w:rsidR="00986930" w:rsidRPr="002E7302" w:rsidRDefault="00B1251B" w:rsidP="0061474F">
            <w:pPr>
              <w:jc w:val="both"/>
              <w:rPr>
                <w:lang w:val="en-GB"/>
              </w:rPr>
            </w:pPr>
            <w:r>
              <w:rPr>
                <w:lang w:val="en-GB"/>
              </w:rPr>
              <w:t xml:space="preserve">CML 2001 </w:t>
            </w:r>
          </w:p>
        </w:tc>
        <w:tc>
          <w:tcPr>
            <w:tcW w:w="966" w:type="pct"/>
          </w:tcPr>
          <w:p w14:paraId="126B4C34" w14:textId="556D0D32" w:rsidR="00986930" w:rsidRPr="002E7302" w:rsidRDefault="00B1251B" w:rsidP="00B1251B">
            <w:pPr>
              <w:jc w:val="both"/>
              <w:rPr>
                <w:lang w:val="en-GB"/>
              </w:rPr>
            </w:pPr>
            <w:r>
              <w:rPr>
                <w:lang w:val="en-GB"/>
              </w:rPr>
              <w:t xml:space="preserve">unavailable dataset for the </w:t>
            </w:r>
            <w:proofErr w:type="spellStart"/>
            <w:r>
              <w:rPr>
                <w:lang w:val="en-GB"/>
              </w:rPr>
              <w:t>Nafion</w:t>
            </w:r>
            <w:proofErr w:type="spellEnd"/>
            <w:r>
              <w:rPr>
                <w:lang w:val="en-GB"/>
              </w:rPr>
              <w:t xml:space="preserve"> membrane</w:t>
            </w:r>
            <w:r w:rsidR="00F953D1">
              <w:rPr>
                <w:lang w:val="en-GB"/>
              </w:rPr>
              <w:t>, graphite</w:t>
            </w:r>
          </w:p>
        </w:tc>
        <w:tc>
          <w:tcPr>
            <w:tcW w:w="1023" w:type="pct"/>
          </w:tcPr>
          <w:p w14:paraId="39572D79" w14:textId="5C3A4B64" w:rsidR="00986930" w:rsidRDefault="00375DB0" w:rsidP="00375DB0">
            <w:pPr>
              <w:jc w:val="both"/>
            </w:pPr>
            <w:r>
              <w:t xml:space="preserve">transport of raw materials and products is excluded </w:t>
            </w:r>
            <w:r w:rsidR="00B1251B">
              <w:t>due to its</w:t>
            </w:r>
            <w:r>
              <w:t xml:space="preserve"> low contribution</w:t>
            </w:r>
            <w:r w:rsidR="00574B9D">
              <w:t>, Carbon black is used to approximate the impacts of graphite</w:t>
            </w:r>
            <w:r w:rsidR="00B1251B">
              <w:t>, uncertainty related to the specific weight of the stack and the energy consumed for manufacturing</w:t>
            </w:r>
          </w:p>
        </w:tc>
      </w:tr>
      <w:tr w:rsidR="003805F6" w14:paraId="010A608C" w14:textId="77777777" w:rsidTr="05135B6E">
        <w:trPr>
          <w:cantSplit/>
          <w:trHeight w:val="300"/>
        </w:trPr>
        <w:tc>
          <w:tcPr>
            <w:tcW w:w="567" w:type="pct"/>
          </w:tcPr>
          <w:p w14:paraId="03F520CD" w14:textId="77777777" w:rsidR="00986930" w:rsidRDefault="00986930" w:rsidP="00986930">
            <w:pPr>
              <w:jc w:val="both"/>
            </w:pPr>
            <w:r>
              <w:fldChar w:fldCharType="begin" w:fldLock="1"/>
            </w:r>
            <w:r>
              <w:instrText>ADDIN CSL_CITATION {"citationItems":[{"id":"ITEM-1","itemData":{"DOI":"10.1039/c9gc03630j","ISSN":"14639270","abstract":"This study is focused on the development of an environmentally friendly recycling method for selective recovery in a closed loop manner of Co and Pt from a Pt3Co/C catalyst used as the proton exchange membrane fuel cell (PEMFC) cathode. Pt and Co selective separation was carried out using two different hydrometallurgical alternatives based either on ion exchange resin or solvent extraction. The recycling process was optimized in order to maximize the platinum recovery yield, which reached 85% and 78% of the Pt initially present in the membrane-electrode assembly (MEA) using respectively solvent extraction or ion exchange resin separation alternatives. The recovered platinum alkaline solutions have been further used for Pt/C particle synthesis via a modified polyol method and it was shown that although the resin alternative resulted in a slightly lower recovery yield, the catalyst prepared via this alternative had satisfactory morphological and electrochemical properties for the oxygen reduction reaction (ORR) by performing similar to a commercial state-of-art Pt/C catalyst. The feasibility of the closed loop Pt/C catalyst recycling was thus proven. The environmental impacts of the two recycling alternatives have been compared using the life cycle assessment methodology (LCA) and similar impacts have been found for both alternatives from the point of view of the entire MEA life cycle. The ion exchange resin alternative has thus been selected as the most appropriate one.","author":[{"dropping-particle":"","family":"Duclos","given":"Lucien","non-dropping-particle":"","parse-names":false,"suffix":""},{"dropping-particle":"","family":"Chattot","given":"Raphaël","non-dropping-particle":"","parse-names":false,"suffix":""},{"dropping-particle":"","family":"Dubau","given":"Laetitia","non-dropping-particle":"","parse-names":false,"suffix":""},{"dropping-particle":"","family":"Thivel","given":"Pierre Xavier","non-dropping-particle":"","parse-names":false,"suffix":""},{"dropping-particle":"","family":"Mandil","given":"Guillaume","non-dropping-particle":"","parse-names":false,"suffix":""},{"dropping-particle":"","family":"Laforest","given":"Valérie","non-dropping-particle":"","parse-names":false,"suffix":""},{"dropping-particle":"","family":"Bolloli","given":"Marco","non-dropping-particle":"","parse-names":false,"suffix":""},{"dropping-particle":"","family":"Vincent","given":"Rémi","non-dropping-particle":"","parse-names":false,"suffix":""},{"dropping-particle":"","family":"Svecova","given":"Lenka","non-dropping-particle":"","parse-names":false,"suffix":""}],"container-title":"Green Chemistry","id":"ITEM-1","issue":"6","issued":{"date-parts":[["2020"]]},"page":"1919-1933","publisher":"Royal Society of Chemistry","title":"Closing the loop: Life cycle assessment and optimization of a PEMFC platinum-based catalyst recycling process","type":"article-journal","volume":"22"},"uris":["http://www.mendeley.com/documents/?uuid=fff43d72-3e77-45db-b282-93e5fc07e51c"]}],"mendeley":{"formattedCitation":"(Duclos et al., 2020)","plainTextFormattedCitation":"(Duclos et al., 2020)","previouslyFormattedCitation":"(Duclos et al., 2020)"},"properties":{"noteIndex":0},"schema":"https://github.com/citation-style-language/schema/raw/master/csl-citation.json"}</w:instrText>
            </w:r>
            <w:r>
              <w:fldChar w:fldCharType="separate"/>
            </w:r>
            <w:r w:rsidRPr="00F62F6F">
              <w:rPr>
                <w:noProof/>
              </w:rPr>
              <w:t>(Duclos et al., 2020)</w:t>
            </w:r>
            <w:r>
              <w:fldChar w:fldCharType="end"/>
            </w:r>
          </w:p>
        </w:tc>
        <w:tc>
          <w:tcPr>
            <w:tcW w:w="512" w:type="pct"/>
          </w:tcPr>
          <w:p w14:paraId="6DF81324" w14:textId="77777777" w:rsidR="00986930" w:rsidRDefault="00986930" w:rsidP="0061474F">
            <w:pPr>
              <w:jc w:val="both"/>
              <w:rPr>
                <w:lang w:val="en-GB"/>
              </w:rPr>
            </w:pPr>
            <w:r>
              <w:rPr>
                <w:lang w:val="en-GB"/>
              </w:rPr>
              <w:t>PEMFC</w:t>
            </w:r>
          </w:p>
        </w:tc>
        <w:tc>
          <w:tcPr>
            <w:tcW w:w="966" w:type="pct"/>
          </w:tcPr>
          <w:p w14:paraId="61032E88" w14:textId="7E781CFB" w:rsidR="00986930" w:rsidRPr="002E7302" w:rsidRDefault="00B1251B" w:rsidP="00B1251B">
            <w:pPr>
              <w:jc w:val="both"/>
              <w:rPr>
                <w:lang w:val="en-GB"/>
              </w:rPr>
            </w:pPr>
            <w:proofErr w:type="spellStart"/>
            <w:r>
              <w:rPr>
                <w:lang w:val="en-GB"/>
              </w:rPr>
              <w:t>EoL</w:t>
            </w:r>
            <w:proofErr w:type="spellEnd"/>
            <w:r>
              <w:rPr>
                <w:lang w:val="en-GB"/>
              </w:rPr>
              <w:t xml:space="preserve"> of the Membrane Electrode Assembly</w:t>
            </w:r>
          </w:p>
        </w:tc>
        <w:tc>
          <w:tcPr>
            <w:tcW w:w="511" w:type="pct"/>
          </w:tcPr>
          <w:p w14:paraId="521D0B52" w14:textId="2CF518CD" w:rsidR="00986930" w:rsidRPr="002E7302" w:rsidRDefault="001B3DF3" w:rsidP="0061474F">
            <w:pPr>
              <w:jc w:val="both"/>
              <w:rPr>
                <w:lang w:val="en-GB"/>
              </w:rPr>
            </w:pPr>
            <w:proofErr w:type="spellStart"/>
            <w:r>
              <w:rPr>
                <w:lang w:val="en-GB"/>
              </w:rPr>
              <w:t>e</w:t>
            </w:r>
            <w:r w:rsidR="00B1251B">
              <w:rPr>
                <w:lang w:val="en-GB"/>
              </w:rPr>
              <w:t>coinvent</w:t>
            </w:r>
            <w:proofErr w:type="spellEnd"/>
            <w:r w:rsidR="00B1251B">
              <w:rPr>
                <w:lang w:val="en-GB"/>
              </w:rPr>
              <w:t xml:space="preserve"> 3</w:t>
            </w:r>
            <w:r w:rsidR="002E1A33">
              <w:rPr>
                <w:lang w:val="en-GB"/>
              </w:rPr>
              <w:t>.1</w:t>
            </w:r>
          </w:p>
        </w:tc>
        <w:tc>
          <w:tcPr>
            <w:tcW w:w="455" w:type="pct"/>
          </w:tcPr>
          <w:p w14:paraId="3F48228E" w14:textId="79964902" w:rsidR="00986930" w:rsidRPr="002E7302" w:rsidRDefault="002E1A33" w:rsidP="0061474F">
            <w:pPr>
              <w:jc w:val="both"/>
              <w:rPr>
                <w:lang w:val="en-GB"/>
              </w:rPr>
            </w:pPr>
            <w:r w:rsidRPr="002E1A33">
              <w:rPr>
                <w:lang w:val="en-GB"/>
              </w:rPr>
              <w:t>CML-IA baseline V3.02 method</w:t>
            </w:r>
          </w:p>
        </w:tc>
        <w:tc>
          <w:tcPr>
            <w:tcW w:w="966" w:type="pct"/>
          </w:tcPr>
          <w:p w14:paraId="4D626C4A" w14:textId="51C52B71" w:rsidR="00986930" w:rsidRPr="002E7302" w:rsidRDefault="00670E63" w:rsidP="00670E63">
            <w:pPr>
              <w:jc w:val="both"/>
              <w:rPr>
                <w:lang w:val="en-GB"/>
              </w:rPr>
            </w:pPr>
            <w:r w:rsidRPr="25EBFC90">
              <w:rPr>
                <w:lang w:val="en-GB"/>
              </w:rPr>
              <w:t xml:space="preserve">data for the </w:t>
            </w:r>
            <w:proofErr w:type="spellStart"/>
            <w:r w:rsidR="655BE9B1" w:rsidRPr="25EBFC90">
              <w:rPr>
                <w:lang w:val="en-GB"/>
              </w:rPr>
              <w:t>EoL</w:t>
            </w:r>
            <w:proofErr w:type="spellEnd"/>
            <w:r w:rsidR="655BE9B1" w:rsidRPr="25EBFC90">
              <w:rPr>
                <w:lang w:val="en-GB"/>
              </w:rPr>
              <w:t xml:space="preserve"> treatment </w:t>
            </w:r>
            <w:r w:rsidRPr="25EBFC90">
              <w:rPr>
                <w:lang w:val="en-GB"/>
              </w:rPr>
              <w:t xml:space="preserve">of </w:t>
            </w:r>
            <w:r w:rsidR="655BE9B1" w:rsidRPr="25EBFC90">
              <w:rPr>
                <w:lang w:val="en-GB"/>
              </w:rPr>
              <w:t>graphite/carbon black parts</w:t>
            </w:r>
            <w:r w:rsidRPr="25EBFC90">
              <w:rPr>
                <w:lang w:val="en-GB"/>
              </w:rPr>
              <w:t xml:space="preserve"> are unavailable</w:t>
            </w:r>
          </w:p>
        </w:tc>
        <w:tc>
          <w:tcPr>
            <w:tcW w:w="1023" w:type="pct"/>
          </w:tcPr>
          <w:p w14:paraId="53E13064" w14:textId="14206605" w:rsidR="00986930" w:rsidRDefault="655BE9B1" w:rsidP="00F953D1">
            <w:pPr>
              <w:jc w:val="both"/>
            </w:pPr>
            <w:r>
              <w:t>uncertainty o</w:t>
            </w:r>
            <w:r w:rsidR="446C88C9">
              <w:t>n</w:t>
            </w:r>
            <w:r>
              <w:t xml:space="preserve"> platinum recovery rate and initial platinum loading</w:t>
            </w:r>
          </w:p>
        </w:tc>
      </w:tr>
      <w:tr w:rsidR="003805F6" w14:paraId="406C01D9" w14:textId="77777777" w:rsidTr="05135B6E">
        <w:trPr>
          <w:cantSplit/>
          <w:trHeight w:val="300"/>
        </w:trPr>
        <w:tc>
          <w:tcPr>
            <w:tcW w:w="567" w:type="pct"/>
          </w:tcPr>
          <w:p w14:paraId="062683C6" w14:textId="77777777" w:rsidR="00986930" w:rsidRPr="00986930" w:rsidRDefault="00986930" w:rsidP="00986930">
            <w:pPr>
              <w:jc w:val="both"/>
              <w:rPr>
                <w:lang w:val="en-GB"/>
              </w:rPr>
            </w:pPr>
            <w:r w:rsidRPr="00564C8E">
              <w:fldChar w:fldCharType="begin" w:fldLock="1"/>
            </w:r>
            <w:r w:rsidRPr="008009C8">
              <w:instrText>ADDIN CSL_CITATION {"citationItems":[{"id":"ITEM-1","itemData":{"DOI":"10.1016/j.scitotenv.2023.166007","ISBN":"2899200216","ISSN":"18791026","PMID":"37541512","abstract":"Life Cycle Assessment (LCA) and Environmental Life Cycle Costing (eLCC) are useful methods for evaluating the environmental, energy and economic performances of innovative energy storage technologies. By using these methods, the production process of a small Polymer Electrolyte Membrane Unitized Regenerative Fuel Cell (PEM-URFC) stack has been investigated, aiming to assess its environmental, energy and economic impacts at the early design stage and to identify the contributions of its various components on these impacts. Indeed, the PEM-URFC stack includes Critical Raw Materials that affect the product's sustainability. Results show that the highest contributions are associated with the platinum group metals used for the catalyst and, to a lesser degree, the materials and energy used for the bipolar plates and porous transport layers. However, considering that the datasets for representing the impacts of one of the electrocatalysts (Iridium Ruthenium Oxide) are still missing in LCA commercial databases and literature, a sensitivity analysis is performed assuming its impact to be similar to that of other Platinum Group Metals (PGMs) extracted with them (e.g., Platinum, Nickel, Palladium, etc.). The analysis shows a high difference in results due to data and methodological assumptions, making the assimilation of Iridium Ruthenium Oxide to Rhodium the worst scenario, increasing environmental impacts by 37.54 %, energy impacts by 40.48 % and environmental price by 45.08 %. Moreover, the study identified issues for applying life cycle thinking approaches on URFC devices that must be resolved in future studies (e.g., increase the reliability of catalyst inventor</w:instrText>
            </w:r>
            <w:r w:rsidRPr="002E7302">
              <w:rPr>
                <w:lang w:val="en-GB"/>
              </w:rPr>
              <w:instrText>y data or improve guidelines on energy storage technologies).","author":[{"dropping-particle":"","family":"Gulotta","given":"Teresa Maria","non-dropping-particle":"","parse-names":false,"suffix":""},{"dropping-particle":"","family":"Salomone","given":"Roberta","non-dropping-particle":"","parse-names":false,"suffix":""},{"dropping-particle":"","family":"Mondello","given":"Giovanni","non-dropping-particle":"","parse-names":false,"suffix":""},{"dropping-particle":"","family":"Saija","given":"Giuseppe","non-dropping-particle":"","parse-names":false,"suffix":""},{"dropping-particle":"","family":"Lanuzza","given":"Francesco","non-dropping-particle":"","parse-names":false,"suffix":""},{"dropping-particle":"","family":"Briguglio","given":"Nicola","non-dropping-particle":"","parse-names":false,"suffix":""}],"container-title":"Science of the Total Environment","id":"ITEM-1","issue":"May","issued":{"date-parts":[["2023"]]},"page":"166007","publisher":"Elsevier B.V.","title":"Life Cycle Assessment and Environmental Life Cycle costing of a unitised regenerative fuel cell stack","type":"article-journal","volume":"901"},"uris":["http://www.mendeley.com/documents/?uuid=81e18ea0-8e09-4575-8907-8fa3096d40d0"]}],"mendeley":{"formattedCitation":"(Gulotta et al., 2023)","plainTextFormattedCitation":"(Gulotta et al., 2023)","previouslyFormattedCitation":"(Gulotta et al., 2023)"},"properties":{"noteIndex":0},"schema":"https://github.com/citation-style-language/schema/raw/master/csl-citation.json"}</w:instrText>
            </w:r>
            <w:r w:rsidRPr="00564C8E">
              <w:fldChar w:fldCharType="separate"/>
            </w:r>
            <w:r w:rsidRPr="002E7302">
              <w:rPr>
                <w:noProof/>
                <w:lang w:val="en-GB"/>
              </w:rPr>
              <w:t>(Gulotta et al., 2023)</w:t>
            </w:r>
            <w:r w:rsidRPr="00564C8E">
              <w:fldChar w:fldCharType="end"/>
            </w:r>
          </w:p>
        </w:tc>
        <w:tc>
          <w:tcPr>
            <w:tcW w:w="512" w:type="pct"/>
          </w:tcPr>
          <w:p w14:paraId="0E99FD27" w14:textId="77777777" w:rsidR="00986930" w:rsidRDefault="00986930" w:rsidP="0061474F">
            <w:pPr>
              <w:jc w:val="both"/>
              <w:rPr>
                <w:lang w:val="en-GB"/>
              </w:rPr>
            </w:pPr>
            <w:r>
              <w:rPr>
                <w:lang w:val="en-GB"/>
              </w:rPr>
              <w:t>PEMFC</w:t>
            </w:r>
          </w:p>
        </w:tc>
        <w:tc>
          <w:tcPr>
            <w:tcW w:w="966" w:type="pct"/>
          </w:tcPr>
          <w:p w14:paraId="44918550" w14:textId="23798293" w:rsidR="00986930" w:rsidRPr="002E7302" w:rsidRDefault="00B5167B" w:rsidP="0061474F">
            <w:pPr>
              <w:jc w:val="both"/>
              <w:rPr>
                <w:lang w:val="en-GB"/>
              </w:rPr>
            </w:pPr>
            <w:r w:rsidRPr="002E7302">
              <w:rPr>
                <w:lang w:val="en-GB"/>
              </w:rPr>
              <w:t>stack manufacturing</w:t>
            </w:r>
          </w:p>
        </w:tc>
        <w:tc>
          <w:tcPr>
            <w:tcW w:w="511" w:type="pct"/>
          </w:tcPr>
          <w:p w14:paraId="1DB414DA" w14:textId="39F68ABC" w:rsidR="00986930" w:rsidRPr="002E7302" w:rsidRDefault="001B3DF3" w:rsidP="0061474F">
            <w:pPr>
              <w:jc w:val="both"/>
              <w:rPr>
                <w:lang w:val="en-GB"/>
              </w:rPr>
            </w:pPr>
            <w:proofErr w:type="spellStart"/>
            <w:r>
              <w:rPr>
                <w:lang w:val="en-GB"/>
              </w:rPr>
              <w:t>e</w:t>
            </w:r>
            <w:r w:rsidR="00FE60FF">
              <w:rPr>
                <w:lang w:val="en-GB"/>
              </w:rPr>
              <w:t>coinvent</w:t>
            </w:r>
            <w:proofErr w:type="spellEnd"/>
            <w:r w:rsidR="00FE60FF">
              <w:rPr>
                <w:lang w:val="en-GB"/>
              </w:rPr>
              <w:t xml:space="preserve"> 3.8</w:t>
            </w:r>
          </w:p>
        </w:tc>
        <w:tc>
          <w:tcPr>
            <w:tcW w:w="455" w:type="pct"/>
          </w:tcPr>
          <w:p w14:paraId="2090C37E" w14:textId="41A4FA14" w:rsidR="00986930" w:rsidRPr="002E7302" w:rsidRDefault="00B5167B" w:rsidP="0061474F">
            <w:pPr>
              <w:jc w:val="both"/>
              <w:rPr>
                <w:lang w:val="en-GB"/>
              </w:rPr>
            </w:pPr>
            <w:r w:rsidRPr="00B5167B">
              <w:rPr>
                <w:lang w:val="en-GB"/>
              </w:rPr>
              <w:t>CML-IA baseline</w:t>
            </w:r>
          </w:p>
        </w:tc>
        <w:tc>
          <w:tcPr>
            <w:tcW w:w="966" w:type="pct"/>
          </w:tcPr>
          <w:p w14:paraId="6CA87982" w14:textId="42351BA0" w:rsidR="00986930" w:rsidRPr="002E7302" w:rsidRDefault="655BE9B1" w:rsidP="00FE60FF">
            <w:pPr>
              <w:jc w:val="both"/>
              <w:rPr>
                <w:lang w:val="en-GB"/>
              </w:rPr>
            </w:pPr>
            <w:r w:rsidRPr="528E8AD9">
              <w:rPr>
                <w:lang w:val="en-GB"/>
              </w:rPr>
              <w:t>no background data for the catalysts (</w:t>
            </w:r>
            <w:proofErr w:type="spellStart"/>
            <w:r w:rsidRPr="528E8AD9">
              <w:rPr>
                <w:lang w:val="en-GB"/>
              </w:rPr>
              <w:t>Ir</w:t>
            </w:r>
            <w:proofErr w:type="spellEnd"/>
            <w:r w:rsidRPr="528E8AD9">
              <w:rPr>
                <w:lang w:val="en-GB"/>
              </w:rPr>
              <w:t xml:space="preserve"> and Ru oxides)</w:t>
            </w:r>
            <w:r w:rsidR="6B83D0AC" w:rsidRPr="528E8AD9">
              <w:rPr>
                <w:lang w:val="en-GB"/>
              </w:rPr>
              <w:t xml:space="preserve">, </w:t>
            </w:r>
            <w:proofErr w:type="spellStart"/>
            <w:r w:rsidR="6B83D0AC" w:rsidRPr="528E8AD9">
              <w:rPr>
                <w:lang w:val="en-GB"/>
              </w:rPr>
              <w:t>Nafion</w:t>
            </w:r>
            <w:proofErr w:type="spellEnd"/>
            <w:r w:rsidR="6B83D0AC" w:rsidRPr="528E8AD9">
              <w:rPr>
                <w:lang w:val="en-GB"/>
              </w:rPr>
              <w:t xml:space="preserve"> or </w:t>
            </w:r>
            <w:proofErr w:type="spellStart"/>
            <w:r w:rsidR="6B83D0AC" w:rsidRPr="528E8AD9">
              <w:rPr>
                <w:lang w:val="en-GB"/>
              </w:rPr>
              <w:t>polytetrafuoroethylene</w:t>
            </w:r>
            <w:proofErr w:type="spellEnd"/>
            <w:r w:rsidR="6B83D0AC" w:rsidRPr="528E8AD9">
              <w:rPr>
                <w:lang w:val="en-GB"/>
              </w:rPr>
              <w:t xml:space="preserve">, production of </w:t>
            </w:r>
            <w:proofErr w:type="spellStart"/>
            <w:r w:rsidR="6B83D0AC" w:rsidRPr="528E8AD9">
              <w:rPr>
                <w:lang w:val="en-GB"/>
              </w:rPr>
              <w:t>Ertalyte</w:t>
            </w:r>
            <w:proofErr w:type="spellEnd"/>
            <w:r w:rsidR="6B83D0AC" w:rsidRPr="528E8AD9">
              <w:rPr>
                <w:lang w:val="en-GB"/>
              </w:rPr>
              <w:t xml:space="preserve"> polymer, unavailability of activity data for specific metal working processes</w:t>
            </w:r>
            <w:r w:rsidR="5566725F" w:rsidRPr="528E8AD9">
              <w:rPr>
                <w:lang w:val="en-GB"/>
              </w:rPr>
              <w:t xml:space="preserve">, </w:t>
            </w:r>
            <w:r w:rsidR="199E7827" w:rsidRPr="528E8AD9">
              <w:rPr>
                <w:lang w:val="en-GB"/>
              </w:rPr>
              <w:t>unavailable dataset for the laser cut process</w:t>
            </w:r>
          </w:p>
        </w:tc>
        <w:tc>
          <w:tcPr>
            <w:tcW w:w="1023" w:type="pct"/>
          </w:tcPr>
          <w:p w14:paraId="164A6E09" w14:textId="0A718DFD" w:rsidR="00986930" w:rsidRDefault="6B83D0AC" w:rsidP="00FE60FF">
            <w:pPr>
              <w:jc w:val="both"/>
            </w:pPr>
            <w:r>
              <w:t xml:space="preserve">the treatments required for bipolar plates and porous transport layers are assumed to be average metalworking and deep drawing processes available in Ecoinvent, </w:t>
            </w:r>
            <w:r w:rsidR="655BE9B1">
              <w:t>an application of cut-off by mass would overlook the impacts related to the catalyst layer (PGMs</w:t>
            </w:r>
            <w:r w:rsidR="34E7911E">
              <w:t>),</w:t>
            </w:r>
            <w:r w:rsidR="199E7827">
              <w:t xml:space="preserve"> laser cut of the gaskets is approximated with the </w:t>
            </w:r>
            <w:r w:rsidR="199E7827" w:rsidRPr="003D10B8">
              <w:rPr>
                <w:lang w:val="en-GB"/>
              </w:rPr>
              <w:t>injection moulding</w:t>
            </w:r>
          </w:p>
        </w:tc>
      </w:tr>
      <w:tr w:rsidR="003805F6" w14:paraId="61E2B4C0" w14:textId="77777777" w:rsidTr="05135B6E">
        <w:trPr>
          <w:cantSplit/>
          <w:trHeight w:val="300"/>
        </w:trPr>
        <w:tc>
          <w:tcPr>
            <w:tcW w:w="567" w:type="pct"/>
          </w:tcPr>
          <w:p w14:paraId="0A8FAC9D" w14:textId="77777777" w:rsidR="00986930" w:rsidRPr="00564C8E" w:rsidRDefault="00986930" w:rsidP="00986930">
            <w:pPr>
              <w:jc w:val="both"/>
            </w:pPr>
            <w:r w:rsidRPr="008009C8">
              <w:lastRenderedPageBreak/>
              <w:fldChar w:fldCharType="begin" w:fldLock="1"/>
            </w:r>
            <w:r w:rsidRPr="002E7302">
              <w:rPr>
                <w:lang w:val="en-GB"/>
              </w:rPr>
              <w:instrText>ADDIN CSL_CITATION {"citationItems":[{"id":"ITEM-1","itemData":{"DOI":"10.3390/en14154668","ISSN":"19961073","abstract":"The oil and gas industry generates a significant amount of harmful greenhouse gases that cause irreversible environmental impact; this fact is exacerbated by the world’s utter dependence on fossil fuels as a primary energy source and low-efficiency oil and gas operation plants. Integration o</w:instrText>
            </w:r>
            <w:r w:rsidRPr="008009C8">
              <w:instrText>f solid oxide fuel cells (SOFCs) into natural gas plants can enhance their operational efficiencies and reduce emissions. However, a systematic analysis of the life cycle impacts of SOFC integration in natural gas operations is necessary to quantitatively and comparatively understand the potential benefits. This study presents a systematic cradle-to-grave life cycle assessment (LCA) based on the ISO 14040 and 14044 standards using a planar anode-supported SOFC with a lifespan of ten years and a functional unit of one MW electricity output. The analysis primarily focused on global warming, acidification, eutrophication, and ozone potentials in addition to human health particulate matter and human toxicity potentials. The total global warming potential (GWP) of a 1 MW SOFC for 10 years in Qatar conditions is found to be 2,415,755 kg CO2 eq., and the greenhouse gas (GHG) impact is found to be higher during the operation phase than the manufacturing phase, rating 71% and 29%, respectively.","author":[{"dropping-particle":"","family":"Al-Khori","given":"Khalid","non-dropping-particle":"","parse-names":false,"suffix":""},{"dropping-particle":"","family":"Al-Ghamdi","given":"Sami G.","non-dropping-particle":"","parse-names":false,"suffix":""},{"dropping-particle":"","family":"Boulfrad","given":"Samir","non-dropping-particle":"","parse-names":false,"suffix":""},{"dropping-particle":"","family":"Koç","given":"Muammer","non-dropping-particle":"","parse-names":false,"suffix":""}],"container-title":"Energies","id":"ITEM-1","issue":"15","issued":{"date-parts":[["2021"]]},"title":"Life cycle assessment for integration of solid oxide fuel cells into gas processing operations","type":"article-journal","volume":"14"},"uris":["http://www.mendeley.com/documents/?uuid=aba1b685-2223-457d-9a87-a40b434e1515"]}],"mendeley":{"formattedCitation":"(Al-Khori et al., 2021)","plainTextFormattedCitation":"(Al-Khori et al., 2021)","previouslyFormattedCitation":"(Al-Khori et al., 2021)"},"properties":{"noteIndex":0},"schema":"https://github.com/citation-style-language/schema/raw/master/csl-citation.json"}</w:instrText>
            </w:r>
            <w:r w:rsidRPr="008009C8">
              <w:fldChar w:fldCharType="separate"/>
            </w:r>
            <w:r w:rsidRPr="008009C8">
              <w:rPr>
                <w:noProof/>
              </w:rPr>
              <w:t>(Al-Khori et al., 2021)</w:t>
            </w:r>
            <w:r w:rsidRPr="008009C8">
              <w:fldChar w:fldCharType="end"/>
            </w:r>
            <w:r w:rsidRPr="008009C8">
              <w:t xml:space="preserve"> </w:t>
            </w:r>
          </w:p>
        </w:tc>
        <w:tc>
          <w:tcPr>
            <w:tcW w:w="512" w:type="pct"/>
          </w:tcPr>
          <w:p w14:paraId="44DDC127" w14:textId="4160D39D" w:rsidR="00986930" w:rsidRDefault="55816D9F" w:rsidP="0061474F">
            <w:pPr>
              <w:jc w:val="both"/>
              <w:rPr>
                <w:lang w:val="en-GB"/>
              </w:rPr>
            </w:pPr>
            <w:r w:rsidRPr="25EBFC90">
              <w:rPr>
                <w:lang w:val="en-GB"/>
              </w:rPr>
              <w:t>SO</w:t>
            </w:r>
            <w:r w:rsidR="00B47EAE" w:rsidRPr="25EBFC90">
              <w:rPr>
                <w:lang w:val="en-GB"/>
              </w:rPr>
              <w:t>F</w:t>
            </w:r>
            <w:r w:rsidRPr="25EBFC90">
              <w:rPr>
                <w:lang w:val="en-GB"/>
              </w:rPr>
              <w:t>C</w:t>
            </w:r>
          </w:p>
        </w:tc>
        <w:tc>
          <w:tcPr>
            <w:tcW w:w="966" w:type="pct"/>
          </w:tcPr>
          <w:p w14:paraId="0A47BEE7" w14:textId="3C562FE0" w:rsidR="00986930" w:rsidRPr="002E7302" w:rsidRDefault="000836FD" w:rsidP="00D91469">
            <w:pPr>
              <w:jc w:val="both"/>
              <w:rPr>
                <w:lang w:val="en-GB"/>
              </w:rPr>
            </w:pPr>
            <w:r>
              <w:rPr>
                <w:lang w:val="en-GB"/>
              </w:rPr>
              <w:t>manufacturing and operation of the FC</w:t>
            </w:r>
          </w:p>
        </w:tc>
        <w:tc>
          <w:tcPr>
            <w:tcW w:w="511" w:type="pct"/>
          </w:tcPr>
          <w:p w14:paraId="7D734D33" w14:textId="5DC031C3" w:rsidR="00986930" w:rsidRPr="002E7302" w:rsidRDefault="000836FD" w:rsidP="0061474F">
            <w:pPr>
              <w:jc w:val="both"/>
              <w:rPr>
                <w:lang w:val="en-GB"/>
              </w:rPr>
            </w:pPr>
            <w:r>
              <w:rPr>
                <w:lang w:val="en-GB"/>
              </w:rPr>
              <w:t>Gabi Database</w:t>
            </w:r>
          </w:p>
        </w:tc>
        <w:tc>
          <w:tcPr>
            <w:tcW w:w="455" w:type="pct"/>
          </w:tcPr>
          <w:p w14:paraId="4B65A0F4" w14:textId="631F6BC1" w:rsidR="00986930" w:rsidRPr="002E7302" w:rsidRDefault="00D3158E" w:rsidP="0061474F">
            <w:pPr>
              <w:jc w:val="both"/>
              <w:rPr>
                <w:lang w:val="en-GB"/>
              </w:rPr>
            </w:pPr>
            <w:r w:rsidRPr="002E7302">
              <w:rPr>
                <w:lang w:val="en-GB"/>
              </w:rPr>
              <w:t>Not specified</w:t>
            </w:r>
          </w:p>
        </w:tc>
        <w:tc>
          <w:tcPr>
            <w:tcW w:w="966" w:type="pct"/>
          </w:tcPr>
          <w:p w14:paraId="14DC7B32" w14:textId="207C3BFD" w:rsidR="00986930" w:rsidRPr="002E7302" w:rsidRDefault="000836FD" w:rsidP="000836FD">
            <w:pPr>
              <w:jc w:val="both"/>
              <w:rPr>
                <w:lang w:val="en-GB"/>
              </w:rPr>
            </w:pPr>
            <w:proofErr w:type="spellStart"/>
            <w:r>
              <w:rPr>
                <w:lang w:val="en-GB"/>
              </w:rPr>
              <w:t>EoL</w:t>
            </w:r>
            <w:proofErr w:type="spellEnd"/>
            <w:r>
              <w:rPr>
                <w:lang w:val="en-GB"/>
              </w:rPr>
              <w:t xml:space="preserve"> phase is not assessed because data on recycling or d</w:t>
            </w:r>
            <w:r w:rsidR="00D3158E">
              <w:rPr>
                <w:lang w:val="en-GB"/>
              </w:rPr>
              <w:t>isposal of the SOFC are insuffi</w:t>
            </w:r>
            <w:r>
              <w:rPr>
                <w:lang w:val="en-GB"/>
              </w:rPr>
              <w:t xml:space="preserve">cient, </w:t>
            </w:r>
            <w:r w:rsidR="00D3158E">
              <w:rPr>
                <w:lang w:val="en-GB"/>
              </w:rPr>
              <w:t xml:space="preserve">data gap for </w:t>
            </w:r>
            <w:r>
              <w:rPr>
                <w:lang w:val="en-GB"/>
              </w:rPr>
              <w:t>YSZ</w:t>
            </w:r>
          </w:p>
        </w:tc>
        <w:tc>
          <w:tcPr>
            <w:tcW w:w="1023" w:type="pct"/>
          </w:tcPr>
          <w:p w14:paraId="696EFCBC" w14:textId="115EAA39" w:rsidR="00986930" w:rsidRDefault="000836FD" w:rsidP="0061474F">
            <w:pPr>
              <w:jc w:val="both"/>
            </w:pPr>
            <w:r>
              <w:t>Impacts of YSZ production are approxiamated with Alumina</w:t>
            </w:r>
          </w:p>
        </w:tc>
      </w:tr>
      <w:tr w:rsidR="003805F6" w14:paraId="2BA7EB09" w14:textId="77777777" w:rsidTr="05135B6E">
        <w:trPr>
          <w:cantSplit/>
          <w:trHeight w:val="300"/>
        </w:trPr>
        <w:tc>
          <w:tcPr>
            <w:tcW w:w="567" w:type="pct"/>
          </w:tcPr>
          <w:p w14:paraId="513D1EA3" w14:textId="77777777" w:rsidR="00986930" w:rsidRPr="008009C8" w:rsidRDefault="00986930" w:rsidP="00986930">
            <w:pPr>
              <w:jc w:val="both"/>
            </w:pPr>
            <w:r w:rsidRPr="008009C8">
              <w:fldChar w:fldCharType="begin" w:fldLock="1"/>
            </w:r>
            <w:r w:rsidRPr="008009C8">
              <w:instrText>ADDIN CSL_CITATION {"citationItems":[{"id":"ITEM-1","itemData":{"DOI":"10.1016/j.apenergy.2018.11.028","ISSN":"03062619","abstract":"Globally, the issue of climate change due to greenhouse gas (GHG) emissions is now broadly acknowledged as one of the major challenges facing humankind that requires urgent attention. Accordingly, considerable efforts on clean energy technologies and policy recommendations have been developed to address this challenge. Solid oxide fuel cells (SOFCs) have been touted to play a role in achieving a reduction in global GHG emissions, offering numerous advantages including higher efficiencies and reduced emissions, over other conventional methods of energy generation. The increasing recognition and emphasis on fuel cells as a representative power generation system of the future has raised concerns over their environmental profile. Extensive research regarding the environmental profile of current structures of SOFCs can be found in the literature, but none consider the use of new materials to achieve lower environmental impacts. This research fills the gap and presents a comparison of the environmental profile of three SOFC structures: a commercially available structure, and two intermediate temperature structures, one using erbia-stabilised bismuth oxide electrolytes and a proposed structure using strontium-doped sodium bismuth titanate electrolytes. Using a functional unit of kg/100 kW of power output for each of the SOFC structures (excluding the interconnects), within a hybrid life cycle analysis framework, the environmental hotspots across the supply chains of each SOFC type are identified, quantified and ranked. The results show the use of these novel material combinations leads to a reduction in embodied materials and toxicological impact but higher electrical energy consumption during fabrication, in comparison to commercial SOFCs. The findings support the move to reduce the operating temperatures of SOFCs using these novel material architectures, which leads to an overall reduction in environmental impact due to the lower operational energy requirement of the chosen material constituents.","author":[{"dropping-particle":"","family":"Smith","given":"Lucy","non-dropping-particle":"","parse-names":false,"suffix":""},{"dropping-particle":"","family":"Ibn-Mohammed","given":"Taofeeq","non-dropping-particle":"","parse-names":false,"suffix":""},{"dropping-particle":"","family":"Yang","given":"Fan","non-dropping-particle":"","parse-names":false,"suffix":""},{"dropping-particle":"","family":"Reaney","given":"Ian M.","non-dropping-particle":"","parse-names":false,"suffix":""},{"dropping-particle":"","family":"Sinclair","given":"Derek C.","non-dropping-particle":"","parse-names":false,"suffix":""},{"dropping-particle":"","family":"Koh","given":"S. C.Lenny","non-dropping-particle":"","parse-names":false,"suffix":""}],"container-title":"Applied Energy","id":"ITEM-1","issue":"November 2018","issued":{"date-parts":[["2019"]]},"page":"1300-1313","publisher":"Elsevier","title":"Comparative environmental profile assessments of commercial and novel material structures for solid oxide fuel cells","type":"article-journal","volume":"235"},"uris":["http://www.mendeley.com/documents/?uuid=0f701191-ff82-4096-b2f2-8526774b4479"]}],"mendeley":{"formattedCitation":"(Smith et al., 2019)","plainTextFormattedCitation":"(Smith et al., 2019)","previouslyFormattedCitation":"(Smith et al., 2019)"},"properties":{"noteIndex":0},"schema":"https://github.com/citation-style-language/schema/raw/master/csl-citation.json"}</w:instrText>
            </w:r>
            <w:r w:rsidRPr="008009C8">
              <w:fldChar w:fldCharType="separate"/>
            </w:r>
            <w:r w:rsidRPr="008009C8">
              <w:rPr>
                <w:noProof/>
              </w:rPr>
              <w:t>(Smith et al., 2019)</w:t>
            </w:r>
            <w:r w:rsidRPr="008009C8">
              <w:fldChar w:fldCharType="end"/>
            </w:r>
          </w:p>
        </w:tc>
        <w:tc>
          <w:tcPr>
            <w:tcW w:w="512" w:type="pct"/>
          </w:tcPr>
          <w:p w14:paraId="30CD3AD8" w14:textId="3AA30A6C" w:rsidR="00986930" w:rsidRDefault="00986930" w:rsidP="0061474F">
            <w:pPr>
              <w:jc w:val="both"/>
              <w:rPr>
                <w:lang w:val="en-GB"/>
              </w:rPr>
            </w:pPr>
            <w:r>
              <w:rPr>
                <w:lang w:val="en-GB"/>
              </w:rPr>
              <w:t>SO</w:t>
            </w:r>
            <w:r w:rsidR="001B3DF3">
              <w:rPr>
                <w:lang w:val="en-GB"/>
              </w:rPr>
              <w:t>F</w:t>
            </w:r>
            <w:r>
              <w:rPr>
                <w:lang w:val="en-GB"/>
              </w:rPr>
              <w:t>C</w:t>
            </w:r>
          </w:p>
        </w:tc>
        <w:tc>
          <w:tcPr>
            <w:tcW w:w="966" w:type="pct"/>
          </w:tcPr>
          <w:p w14:paraId="4C572BF6" w14:textId="22202C09" w:rsidR="00986930" w:rsidRPr="002E7302" w:rsidRDefault="34B29917" w:rsidP="0061474F">
            <w:pPr>
              <w:jc w:val="both"/>
              <w:rPr>
                <w:lang w:val="en-GB"/>
              </w:rPr>
            </w:pPr>
            <w:r w:rsidRPr="528E8AD9">
              <w:rPr>
                <w:lang w:val="en-GB"/>
              </w:rPr>
              <w:t>cradle</w:t>
            </w:r>
            <w:r w:rsidR="5E43020F" w:rsidRPr="528E8AD9">
              <w:rPr>
                <w:lang w:val="en-GB"/>
              </w:rPr>
              <w:t>-</w:t>
            </w:r>
            <w:r w:rsidRPr="528E8AD9">
              <w:rPr>
                <w:lang w:val="en-GB"/>
              </w:rPr>
              <w:t>to</w:t>
            </w:r>
            <w:r w:rsidR="60A511CE" w:rsidRPr="528E8AD9">
              <w:rPr>
                <w:lang w:val="en-GB"/>
              </w:rPr>
              <w:t>-</w:t>
            </w:r>
            <w:r w:rsidRPr="528E8AD9">
              <w:rPr>
                <w:lang w:val="en-GB"/>
              </w:rPr>
              <w:t>gate of the stack only (raw material extraction and manufacturing process)</w:t>
            </w:r>
          </w:p>
        </w:tc>
        <w:tc>
          <w:tcPr>
            <w:tcW w:w="511" w:type="pct"/>
          </w:tcPr>
          <w:p w14:paraId="473E5EBF" w14:textId="474609DE" w:rsidR="00986930" w:rsidRPr="002E7302" w:rsidRDefault="001B3DF3" w:rsidP="00D22A70">
            <w:pPr>
              <w:jc w:val="both"/>
              <w:rPr>
                <w:lang w:val="en-GB"/>
              </w:rPr>
            </w:pPr>
            <w:proofErr w:type="spellStart"/>
            <w:r>
              <w:rPr>
                <w:lang w:val="en-GB"/>
              </w:rPr>
              <w:t>e</w:t>
            </w:r>
            <w:r w:rsidR="00D22A70">
              <w:rPr>
                <w:lang w:val="en-GB"/>
              </w:rPr>
              <w:t>coinvent</w:t>
            </w:r>
            <w:proofErr w:type="spellEnd"/>
            <w:r w:rsidR="00D22A70">
              <w:rPr>
                <w:lang w:val="en-GB"/>
              </w:rPr>
              <w:t xml:space="preserve"> 3.2</w:t>
            </w:r>
          </w:p>
        </w:tc>
        <w:tc>
          <w:tcPr>
            <w:tcW w:w="455" w:type="pct"/>
          </w:tcPr>
          <w:p w14:paraId="3EC5B22F" w14:textId="60B70280" w:rsidR="00986930" w:rsidRPr="002E7302" w:rsidRDefault="00D22A70" w:rsidP="0061474F">
            <w:pPr>
              <w:jc w:val="both"/>
              <w:rPr>
                <w:lang w:val="en-GB"/>
              </w:rPr>
            </w:pPr>
            <w:r>
              <w:rPr>
                <w:lang w:val="en-GB"/>
              </w:rPr>
              <w:t>CML 2001</w:t>
            </w:r>
          </w:p>
        </w:tc>
        <w:tc>
          <w:tcPr>
            <w:tcW w:w="966" w:type="pct"/>
          </w:tcPr>
          <w:p w14:paraId="41518506" w14:textId="0E06D832" w:rsidR="000E7D87" w:rsidRPr="002E7302" w:rsidRDefault="002989B8" w:rsidP="00B47EAE">
            <w:pPr>
              <w:jc w:val="both"/>
              <w:rPr>
                <w:lang w:val="en-GB"/>
              </w:rPr>
            </w:pPr>
            <w:r w:rsidRPr="25EBFC90">
              <w:rPr>
                <w:lang w:val="en-GB"/>
              </w:rPr>
              <w:t>no background dat</w:t>
            </w:r>
            <w:r w:rsidR="2A0C114A" w:rsidRPr="25EBFC90">
              <w:rPr>
                <w:lang w:val="en-GB"/>
              </w:rPr>
              <w:t>a</w:t>
            </w:r>
            <w:r w:rsidRPr="25EBFC90">
              <w:rPr>
                <w:lang w:val="en-GB"/>
              </w:rPr>
              <w:t xml:space="preserve"> on the production of nickel oxide</w:t>
            </w:r>
            <w:r w:rsidR="00B47EAE" w:rsidRPr="25EBFC90">
              <w:rPr>
                <w:lang w:val="en-GB"/>
              </w:rPr>
              <w:t xml:space="preserve"> and polyvinyl alcohol</w:t>
            </w:r>
          </w:p>
        </w:tc>
        <w:tc>
          <w:tcPr>
            <w:tcW w:w="1023" w:type="pct"/>
          </w:tcPr>
          <w:p w14:paraId="6F6909C0" w14:textId="5E9996DB" w:rsidR="00986930" w:rsidRDefault="000E7D87" w:rsidP="000E7D87">
            <w:pPr>
              <w:jc w:val="both"/>
            </w:pPr>
            <w:r>
              <w:t xml:space="preserve">Polyvinyl Alcohol is </w:t>
            </w:r>
            <w:r w:rsidRPr="002E7302">
              <w:rPr>
                <w:lang w:val="en-GB"/>
              </w:rPr>
              <w:t>approximated to similar product, i.e. ethylene vinyl acetate</w:t>
            </w:r>
          </w:p>
        </w:tc>
      </w:tr>
      <w:tr w:rsidR="003805F6" w14:paraId="4744CEED" w14:textId="77777777" w:rsidTr="05135B6E">
        <w:trPr>
          <w:cantSplit/>
          <w:trHeight w:val="300"/>
        </w:trPr>
        <w:tc>
          <w:tcPr>
            <w:tcW w:w="567" w:type="pct"/>
          </w:tcPr>
          <w:p w14:paraId="63F07B7A" w14:textId="77777777" w:rsidR="00986930" w:rsidRPr="008009C8" w:rsidRDefault="00986930" w:rsidP="00986930">
            <w:pPr>
              <w:jc w:val="both"/>
            </w:pPr>
            <w:r>
              <w:fldChar w:fldCharType="begin" w:fldLock="1"/>
            </w:r>
            <w:r>
              <w:instrText>ADDIN CSL_CITATION {"citationItems":[{"id":"ITEM-1","itemData":{"DOI":"10.1016/j.apenergy.2020.116378","ISSN":"03062619","abstract":"This paper presents the life cycle assessment (LCA) of two different solid oxide fuel cell (SOFC)-based combined heat and power (CHP) systems with thermal energy storage, one based on a reversible solid oxide fuel cell (r-SOFC) and hydrogen storage, and the other on a natural gas-fed SOFC. Both systems have been included alternately into the same single-family house nanogrid, that also includes a photovoltaic (PV) system for renewable energy production. The hourly electrical and thermal demands over an entire year of the user are calculated by means of the commercial software TRNSYS 17, the simulation of the two CHP systems operation is performed using the commercial software HOMER PRO, and the life cycle assessment is performed by means of the software SimaPro 9 and Ecoinvent 3.3. The main finding of this study is that, in the considered Italian scenario, the r-SOFC-based CHP system has, in general, a more adverse environmental impact than the natural gas-fed one. This is essentially because the higher electricity production of the natural gas-fed SOFC, mainly due to its continuous operation, determines a higher self-consumption referred to the total alternating current (AC) load on a yearly basis. On the other hand, the r-SOFC with H2 storage shows a more adverse environmental impact, despite the higher power self-consumption from the PV system. Indeed, relatively to the r-SOFC system, in the cold seasons large part of the electrical energy necessary to power the H2 production and AC loads is taken from the Italian national grid, which has a relatively high share of electricity produced by fossil fuel thermal power plant. Moreover, the effects of an increased renewable energy (solar) share in the country energy mix are also reported and discussed, and the results of a Monte Carlo analysis aimed at evaluating the effects of the uncertainty relative to the input parameters for the LCA analysis are presented as well.","author":[{"dropping-particle":"","family":"Florio","given":"Giuseppe","non-dropping-particle":"Di","parse-names":false,"suffix":""},{"dropping-particle":"","family":"Macchi","given":"Edoardo Gino","non-dropping-particle":"","parse-names":false,"suffix":""},{"dropping-particle":"","family":"Mongibello","given":"Luigi","non-dropping-particle":"","parse-names":false,"suffix":""},{"dropping-particle":"","family":"Baratto","given":"Maria Camilla","non-dropping-particle":"","parse-names":false,"suffix":""},{"dropping-particle":"","family":"Basosi","given":"Riccardo","non-dropping-particle":"","parse-names":false,"suffix":""},{"dropping-particle":"","family":"Busi","given":"Elena","non-dropping-particle":"","parse-names":false,"suffix":""},{"dropping-particle":"","family":"Caliano","given":"Martina","non-dropping-particle":"","parse-names":false,"suffix":""},{"dropping-particle":"","family":"Cigolotti","given":"Viviana","non-dropping-particle":"","parse-names":false,"suffix":""},{"dropping-particle":"","family":"Testi","given":"Matteo","non-dropping-particle":"","parse-names":false,"suffix":""},{"dropping-particle":"","family":"Trini","given":"Martina","non-dropping-particle":"","parse-names":false,"suffix":""}],"container-title":"Applied Energy","id":"ITEM-1","issue":"December 2020","issued":{"date-parts":[["2021"]]},"publisher":"Elsevier Ltd","title":"Comparative life cycle assessment of two different SOFC-based cogeneration systems with thermal energy storage integrated into a single-family house nanogrid","type":"article-journal","volume":"285"},"uris":["http://www.mendeley.com/documents/?uuid=3944b5c7-c1b3-4d02-addc-7a065019e0a8"]}],"mendeley":{"formattedCitation":"(Di Florio et al., 2021)","plainTextFormattedCitation":"(Di Florio et al., 2021)","previouslyFormattedCitation":"(Di Florio et al., 2021)"},"properties":{"noteIndex":0},"schema":"https://github.com/citation-style-language/schema/raw/master/csl-citation.json"}</w:instrText>
            </w:r>
            <w:r>
              <w:fldChar w:fldCharType="separate"/>
            </w:r>
            <w:r w:rsidRPr="006A1CBF">
              <w:rPr>
                <w:noProof/>
              </w:rPr>
              <w:t>(Di Florio et al., 2021)</w:t>
            </w:r>
            <w:r>
              <w:fldChar w:fldCharType="end"/>
            </w:r>
          </w:p>
        </w:tc>
        <w:tc>
          <w:tcPr>
            <w:tcW w:w="512" w:type="pct"/>
          </w:tcPr>
          <w:p w14:paraId="1BBDF4E7" w14:textId="40D2EA2B" w:rsidR="00986930" w:rsidRDefault="00B47EAE" w:rsidP="00B47EAE">
            <w:pPr>
              <w:jc w:val="both"/>
              <w:rPr>
                <w:lang w:val="en-GB"/>
              </w:rPr>
            </w:pPr>
            <w:r>
              <w:rPr>
                <w:lang w:val="en-GB"/>
              </w:rPr>
              <w:t>SOFC</w:t>
            </w:r>
          </w:p>
        </w:tc>
        <w:tc>
          <w:tcPr>
            <w:tcW w:w="966" w:type="pct"/>
          </w:tcPr>
          <w:p w14:paraId="616905E0" w14:textId="42B6CE97" w:rsidR="00986930" w:rsidRPr="002E7302" w:rsidRDefault="0033269E" w:rsidP="0061474F">
            <w:pPr>
              <w:jc w:val="both"/>
              <w:rPr>
                <w:lang w:val="en-GB"/>
              </w:rPr>
            </w:pPr>
            <w:r>
              <w:rPr>
                <w:lang w:val="en-GB"/>
              </w:rPr>
              <w:t xml:space="preserve">manufacturing of the FC (stack and </w:t>
            </w:r>
            <w:proofErr w:type="spellStart"/>
            <w:r>
              <w:rPr>
                <w:lang w:val="en-GB"/>
              </w:rPr>
              <w:t>BoP</w:t>
            </w:r>
            <w:proofErr w:type="spellEnd"/>
            <w:r>
              <w:rPr>
                <w:lang w:val="en-GB"/>
              </w:rPr>
              <w:t>), thermal storage, operation and maintenance</w:t>
            </w:r>
            <w:r w:rsidR="00BC43EA">
              <w:rPr>
                <w:lang w:val="en-GB"/>
              </w:rPr>
              <w:t xml:space="preserve"> </w:t>
            </w:r>
          </w:p>
        </w:tc>
        <w:tc>
          <w:tcPr>
            <w:tcW w:w="511" w:type="pct"/>
          </w:tcPr>
          <w:p w14:paraId="151358EA" w14:textId="766E3D6C" w:rsidR="00986930" w:rsidRPr="002E7302" w:rsidRDefault="001B3DF3" w:rsidP="0061474F">
            <w:pPr>
              <w:jc w:val="both"/>
              <w:rPr>
                <w:lang w:val="en-GB"/>
              </w:rPr>
            </w:pPr>
            <w:proofErr w:type="spellStart"/>
            <w:r>
              <w:rPr>
                <w:lang w:val="en-GB"/>
              </w:rPr>
              <w:t>e</w:t>
            </w:r>
            <w:r w:rsidR="0033269E">
              <w:rPr>
                <w:lang w:val="en-GB"/>
              </w:rPr>
              <w:t>coinvent</w:t>
            </w:r>
            <w:proofErr w:type="spellEnd"/>
            <w:r w:rsidR="0033269E">
              <w:rPr>
                <w:lang w:val="en-GB"/>
              </w:rPr>
              <w:t xml:space="preserve"> 3.3</w:t>
            </w:r>
          </w:p>
        </w:tc>
        <w:tc>
          <w:tcPr>
            <w:tcW w:w="455" w:type="pct"/>
          </w:tcPr>
          <w:p w14:paraId="2246CA1F" w14:textId="0882C054" w:rsidR="00986930" w:rsidRPr="002E7302" w:rsidRDefault="0033269E" w:rsidP="0061474F">
            <w:pPr>
              <w:jc w:val="both"/>
              <w:rPr>
                <w:lang w:val="en-GB"/>
              </w:rPr>
            </w:pPr>
            <w:proofErr w:type="spellStart"/>
            <w:r w:rsidRPr="0033269E">
              <w:rPr>
                <w:lang w:val="en-GB"/>
              </w:rPr>
              <w:t>ReCiPe</w:t>
            </w:r>
            <w:proofErr w:type="spellEnd"/>
            <w:r w:rsidRPr="0033269E">
              <w:rPr>
                <w:lang w:val="en-GB"/>
              </w:rPr>
              <w:t xml:space="preserve"> world 2016 </w:t>
            </w:r>
            <w:proofErr w:type="spellStart"/>
            <w:r w:rsidRPr="0033269E">
              <w:rPr>
                <w:lang w:val="en-GB"/>
              </w:rPr>
              <w:t>MidPoint</w:t>
            </w:r>
            <w:proofErr w:type="spellEnd"/>
            <w:r w:rsidRPr="0033269E">
              <w:rPr>
                <w:lang w:val="en-GB"/>
              </w:rPr>
              <w:t xml:space="preserve"> H/H</w:t>
            </w:r>
          </w:p>
        </w:tc>
        <w:tc>
          <w:tcPr>
            <w:tcW w:w="966" w:type="pct"/>
          </w:tcPr>
          <w:p w14:paraId="10C4DB2F" w14:textId="71D9F915" w:rsidR="00986930" w:rsidRPr="002E7302" w:rsidRDefault="0033269E" w:rsidP="0061474F">
            <w:pPr>
              <w:jc w:val="both"/>
              <w:rPr>
                <w:lang w:val="en-GB"/>
              </w:rPr>
            </w:pPr>
            <w:r>
              <w:rPr>
                <w:lang w:val="en-GB"/>
              </w:rPr>
              <w:t xml:space="preserve">issue with the availability of </w:t>
            </w:r>
            <w:proofErr w:type="spellStart"/>
            <w:r>
              <w:rPr>
                <w:lang w:val="en-GB"/>
              </w:rPr>
              <w:t>EoL</w:t>
            </w:r>
            <w:proofErr w:type="spellEnd"/>
            <w:r>
              <w:rPr>
                <w:lang w:val="en-GB"/>
              </w:rPr>
              <w:t xml:space="preserve"> phase </w:t>
            </w:r>
          </w:p>
        </w:tc>
        <w:tc>
          <w:tcPr>
            <w:tcW w:w="1023" w:type="pct"/>
          </w:tcPr>
          <w:p w14:paraId="6B195E55" w14:textId="02AE0FB7" w:rsidR="00986930" w:rsidRDefault="008A26CF" w:rsidP="0061474F">
            <w:pPr>
              <w:jc w:val="both"/>
            </w:pPr>
            <w:r>
              <w:t>uncertainty related to the energy consumed for manufacturing</w:t>
            </w:r>
          </w:p>
        </w:tc>
      </w:tr>
      <w:tr w:rsidR="003805F6" w14:paraId="480C98C1" w14:textId="77777777" w:rsidTr="05135B6E">
        <w:trPr>
          <w:cantSplit/>
          <w:trHeight w:val="300"/>
        </w:trPr>
        <w:tc>
          <w:tcPr>
            <w:tcW w:w="567" w:type="pct"/>
          </w:tcPr>
          <w:p w14:paraId="35C3313D" w14:textId="77777777" w:rsidR="00986930" w:rsidRPr="008009C8" w:rsidRDefault="00986930" w:rsidP="00986930">
            <w:pPr>
              <w:keepNext/>
              <w:jc w:val="both"/>
            </w:pPr>
            <w:r w:rsidRPr="008009C8">
              <w:fldChar w:fldCharType="begin" w:fldLock="1"/>
            </w:r>
            <w:r w:rsidRPr="00D24D80">
              <w:instrText>ADDIN CSL_CITATION {"citationItems":[{"id":"ITEM-1","itemData":{"abstract":"This work assesses the environmental impacts of an industrial-scale Solid Oxide Fuel Cell (SOFC) plant fed by sewage biogas locally available from a Waste Water Treatment Plant (WWTP). Three alternative scenarios for biogas exploitation have been investigated and real data from an existing integrated SOFC-WWTP have been retrieved: the first one (Scenario 1) is the current scenario, where biogas is exploited in a boiler for thermal-energy-only production, while the second one is related to the installation of an efficient SOFC-based cogeneration system (Scenario 2). A thermal energy conservation opportunity that foresees the use of a dynamic machine for sludge pre-thickening enhancement is also investigated as a third scenario (Scenario 3). The life cycle impact assessment (LCIA) has shown that producing a substantial share of electrical energy (around 25%) via biogas-fed SOFC cogeneration modules can reduce the environmental burden associated to WWTP operations in five out of the seven impact categories that have been analyzed in this work. A further reduction of impacts, particularly concerning global warming potential and primary energy demand, is possible by the decrease of the thermal request of the digester, thus making the system independent from natural gas. In both Scenarios 2 and 3, primary energy and CO2 emissions embodied in the manufacture and maintenance of the cogeneration system are neutralized by operational savings in less than one year.","author":[{"dropping-particle":"","family":"Gandiglio","given":"Marta","non-dropping-particle":"","parse-names":false,"suffix":""},{"dropping-particle":"De","family":"Sario","given":"Fabrizio","non-dropping-particle":"","parse-names":false,"suffix":""},{"dropping-particle":"","family":"Lanzini","given":"Andrea","non-dropping-particle":"","parse-names":false,"suffix":""},{"dropping-particle":"","family":"Bobba","given":"Silvia","non-dropping-particle":"","parse-names":false,"suffix":""},{"dropping-particle":"","family":"Santarelli","given":"Massimo","non-dropping-particle":"","parse-names":false,"suffix":""},{"dropping-particle":"","family":"Blengini","given":"Gian Andrea","non-dropping-particle":"","parse-names":false,"suffix":""}],"container-title":"Energies","id":"ITEM-1","issued":{"date-parts":[["2019"]]},"page":"1611","title":"Life Cycle Assessment of a Biogas-Fed Solid Oxide Treatment Plant","type":"article-journal","volume":"12"},"uris":["http://www.mendeley.com/documents/?uuid=04493ef3-a539-4c95-aba8-b822c3117798"]}],"mendeley":{"formattedCitation":"(Gandiglio et al., 2019)","plainTextFormattedCitation":"(Gandiglio et al., 2019)","previouslyFormattedCitation":"(Gandiglio et al., 2019)"},"properties":{"noteIndex":0},"schema":"https://github.com/citation-style-language/schema/raw/master/csl-citation.json"}</w:instrText>
            </w:r>
            <w:r w:rsidRPr="008009C8">
              <w:fldChar w:fldCharType="separate"/>
            </w:r>
            <w:r w:rsidRPr="00D24D80">
              <w:rPr>
                <w:noProof/>
              </w:rPr>
              <w:t>(Gandiglio et al., 2019)</w:t>
            </w:r>
            <w:r w:rsidRPr="008009C8">
              <w:fldChar w:fldCharType="end"/>
            </w:r>
          </w:p>
        </w:tc>
        <w:tc>
          <w:tcPr>
            <w:tcW w:w="512" w:type="pct"/>
          </w:tcPr>
          <w:p w14:paraId="1C44D484" w14:textId="7E375536" w:rsidR="00986930" w:rsidRDefault="001B3DF3" w:rsidP="001B3DF3">
            <w:pPr>
              <w:jc w:val="both"/>
              <w:rPr>
                <w:lang w:val="en-GB"/>
              </w:rPr>
            </w:pPr>
            <w:r>
              <w:rPr>
                <w:lang w:val="en-GB"/>
              </w:rPr>
              <w:t>SOFC</w:t>
            </w:r>
          </w:p>
        </w:tc>
        <w:tc>
          <w:tcPr>
            <w:tcW w:w="966" w:type="pct"/>
          </w:tcPr>
          <w:p w14:paraId="1799A040" w14:textId="2BCCF7EC" w:rsidR="00986930" w:rsidRPr="002E7302" w:rsidRDefault="0D9897DD" w:rsidP="0061474F">
            <w:pPr>
              <w:jc w:val="both"/>
              <w:rPr>
                <w:lang w:val="en-GB"/>
              </w:rPr>
            </w:pPr>
            <w:r w:rsidRPr="528E8AD9">
              <w:rPr>
                <w:lang w:val="en-GB"/>
              </w:rPr>
              <w:t xml:space="preserve">manufacturing of stack and </w:t>
            </w:r>
            <w:proofErr w:type="spellStart"/>
            <w:r w:rsidRPr="528E8AD9">
              <w:rPr>
                <w:lang w:val="en-GB"/>
              </w:rPr>
              <w:t>B</w:t>
            </w:r>
            <w:r w:rsidR="4C025346" w:rsidRPr="528E8AD9">
              <w:rPr>
                <w:lang w:val="en-GB"/>
              </w:rPr>
              <w:t>o</w:t>
            </w:r>
            <w:r w:rsidRPr="528E8AD9">
              <w:rPr>
                <w:lang w:val="en-GB"/>
              </w:rPr>
              <w:t>P</w:t>
            </w:r>
            <w:proofErr w:type="spellEnd"/>
            <w:r w:rsidRPr="528E8AD9">
              <w:rPr>
                <w:lang w:val="en-GB"/>
              </w:rPr>
              <w:t xml:space="preserve"> applied in power plants plus maintenance and operation phase</w:t>
            </w:r>
          </w:p>
        </w:tc>
        <w:tc>
          <w:tcPr>
            <w:tcW w:w="511" w:type="pct"/>
          </w:tcPr>
          <w:p w14:paraId="7BA577FC" w14:textId="714FE396" w:rsidR="00986930" w:rsidRPr="002E7302" w:rsidRDefault="001B3DF3" w:rsidP="0061474F">
            <w:pPr>
              <w:jc w:val="both"/>
              <w:rPr>
                <w:lang w:val="en-GB"/>
              </w:rPr>
            </w:pPr>
            <w:proofErr w:type="spellStart"/>
            <w:r>
              <w:rPr>
                <w:lang w:val="en-GB"/>
              </w:rPr>
              <w:t>e</w:t>
            </w:r>
            <w:r w:rsidR="00870986">
              <w:rPr>
                <w:lang w:val="en-GB"/>
              </w:rPr>
              <w:t>coinvent</w:t>
            </w:r>
            <w:proofErr w:type="spellEnd"/>
            <w:r w:rsidR="00870986">
              <w:rPr>
                <w:lang w:val="en-GB"/>
              </w:rPr>
              <w:t xml:space="preserve"> 3.1</w:t>
            </w:r>
          </w:p>
        </w:tc>
        <w:tc>
          <w:tcPr>
            <w:tcW w:w="455" w:type="pct"/>
          </w:tcPr>
          <w:p w14:paraId="15F8FC5B" w14:textId="2BCE2F47" w:rsidR="00986930" w:rsidRPr="002E7302" w:rsidRDefault="00870986" w:rsidP="0061474F">
            <w:pPr>
              <w:jc w:val="both"/>
              <w:rPr>
                <w:lang w:val="en-GB"/>
              </w:rPr>
            </w:pPr>
            <w:r>
              <w:rPr>
                <w:lang w:val="en-GB"/>
              </w:rPr>
              <w:t>CML midpoint</w:t>
            </w:r>
          </w:p>
        </w:tc>
        <w:tc>
          <w:tcPr>
            <w:tcW w:w="966" w:type="pct"/>
          </w:tcPr>
          <w:p w14:paraId="0BF5E1A4" w14:textId="075ACF50" w:rsidR="00986930" w:rsidRPr="002E7302" w:rsidRDefault="00B47EAE" w:rsidP="0061474F">
            <w:pPr>
              <w:jc w:val="both"/>
              <w:rPr>
                <w:lang w:val="en-GB"/>
              </w:rPr>
            </w:pPr>
            <w:r>
              <w:rPr>
                <w:lang w:val="en-GB"/>
              </w:rPr>
              <w:t>not identified</w:t>
            </w:r>
          </w:p>
        </w:tc>
        <w:tc>
          <w:tcPr>
            <w:tcW w:w="1023" w:type="pct"/>
          </w:tcPr>
          <w:p w14:paraId="72DDF4FE" w14:textId="5FF70FB1" w:rsidR="00986930" w:rsidRDefault="00B47EAE" w:rsidP="0061474F">
            <w:pPr>
              <w:jc w:val="both"/>
            </w:pPr>
            <w:r>
              <w:rPr>
                <w:lang w:val="en-GB"/>
              </w:rPr>
              <w:t>not identified</w:t>
            </w:r>
          </w:p>
        </w:tc>
      </w:tr>
      <w:tr w:rsidR="003805F6" w14:paraId="1628781F" w14:textId="77777777" w:rsidTr="05135B6E">
        <w:trPr>
          <w:cantSplit/>
          <w:trHeight w:val="300"/>
        </w:trPr>
        <w:tc>
          <w:tcPr>
            <w:tcW w:w="567" w:type="pct"/>
          </w:tcPr>
          <w:p w14:paraId="264CEDEB" w14:textId="77777777" w:rsidR="00986930" w:rsidRPr="008009C8" w:rsidRDefault="00986930" w:rsidP="00986930">
            <w:pPr>
              <w:keepNext/>
              <w:jc w:val="both"/>
            </w:pPr>
            <w:r w:rsidRPr="008009C8">
              <w:fldChar w:fldCharType="begin" w:fldLock="1"/>
            </w:r>
            <w:r w:rsidRPr="008009C8">
              <w:instrText>ADDIN CSL_CITATION {"citationItems":[{"id":"ITEM-1","itemData":{"DOI":"10.1016/j.scitotenv.2019.05.368","ISSN":"18791026","PMID":"31174124","abstract":"Fuel cells are considered one of the key technologies to reach the ambitious European goal of a low carbon economy, by reducing CO2 emissions and limiting the production of other pollutants. The manuscript presents an assessment of the life cycle energy and environmental performances of a solid oxide fuel cell system for household applications using primary data from the manufacturing phase and experimental data for the start-up and operation phases. The Life Cycle Assessment methodology is applied, based on a functional unit of 1 MJ of exergy and includes the life cycle steps from the raw materials extraction to the maintenance. The results show a particular relevance of the operation stage on the impacts (about 98% of cumulative energy demand and more than 63% of about half of the examined environmental impacts), mainly due to the fuel supply and, focusing on climate change, to the CO2 emissions during the conversion of chemical energy into electricity. Manufacturing step is the main responsible of the remaining half of the impacts, with a contribution higher than 38%, mainly imputable to the stacks production. For almost half of the examined impact, a contribution of 20–30% is caused by the maintenance step, with a relevant contribution of the stacks and DC/DC booster substitutions. The analysis highlights that eco-design solutions of the assessed system can be traced in the improvement of the energy system efficiency and reduction of emissions during the operation, and in the increase of the durability of the system components, thus reducing the number of their substitutions. The results of a sensitivity analysis on the selec</w:instrText>
            </w:r>
            <w:r w:rsidRPr="002E7302">
              <w:rPr>
                <w:lang w:val="en-GB"/>
              </w:rPr>
              <w:instrText>tion of the functional unit also clarified the importance of the recovery of the thermal energy generated by the fuel cells, in order to avoid concurrent energy generation from conventional sources.","author":[{"dropping-particle":"","family":"Longo","given":"Sonia","non-dropping-particle":"","parse-names":false,"suffix":""},{"dropping-particle":"","family":"Cellura","given":"Maurizio","non-dropping-particle":"","parse-names":false,"suffix":""},{"dropping-particle":"","family":"Guarino","given":"Francesco","non-dropping-particle":"","parse-names":false,"suffix":""},{"dropping-particle":"","family":"Brunaccini","given":"Giovanni","non-dropping-particle":"","parse-names":false,"suffix":""},{"dropping-particle":"","family":"Ferraro","given":"Marco","non-dropping-particle":"","parse-names":false,"suffix":""}],"container-title":"Science of the Total Environment","id":"ITEM-1","issued":{"date-parts":[["2019"]]},"page":"59-73","publisher":"Elsevier B.V.","title":"Life cycle energy and environmental impacts of a solid oxide fuel cell micro-CHP system for residential application","type":"article-journal","volume":"685"},"uris":["http://www.mendeley.com/documents/?uuid=8400bb82-441b-4089-af11-faccb0673be7"]}],"mendeley":{"formattedCitation":"(Longo et al., 2019)","plainTextFormattedCitation":"(Longo et al., 2019)","previouslyFormattedCitation":"(Longo et al., 2019)"},"properties":{"noteIndex":0},"schema":"https://github.com/citation-style-language/schema/raw/master/csl-citation.json"}</w:instrText>
            </w:r>
            <w:r w:rsidRPr="008009C8">
              <w:fldChar w:fldCharType="separate"/>
            </w:r>
            <w:r w:rsidRPr="002E7302">
              <w:rPr>
                <w:noProof/>
                <w:lang w:val="en-GB"/>
              </w:rPr>
              <w:t>(Longo et al., 2019)</w:t>
            </w:r>
            <w:r w:rsidRPr="008009C8">
              <w:fldChar w:fldCharType="end"/>
            </w:r>
          </w:p>
        </w:tc>
        <w:tc>
          <w:tcPr>
            <w:tcW w:w="512" w:type="pct"/>
          </w:tcPr>
          <w:p w14:paraId="705026FC" w14:textId="4123B873" w:rsidR="00986930" w:rsidRDefault="00B47EAE" w:rsidP="00B47EAE">
            <w:pPr>
              <w:jc w:val="both"/>
              <w:rPr>
                <w:lang w:val="en-GB"/>
              </w:rPr>
            </w:pPr>
            <w:r>
              <w:rPr>
                <w:lang w:val="en-GB"/>
              </w:rPr>
              <w:t>SOFC</w:t>
            </w:r>
          </w:p>
        </w:tc>
        <w:tc>
          <w:tcPr>
            <w:tcW w:w="966" w:type="pct"/>
          </w:tcPr>
          <w:p w14:paraId="4DF490D9" w14:textId="0C7F9132" w:rsidR="00986930" w:rsidRPr="002E7302" w:rsidRDefault="009F0593" w:rsidP="0061474F">
            <w:pPr>
              <w:jc w:val="both"/>
              <w:rPr>
                <w:lang w:val="en-GB"/>
              </w:rPr>
            </w:pPr>
            <w:r>
              <w:rPr>
                <w:lang w:val="en-GB"/>
              </w:rPr>
              <w:t>manufacturing, start-up, operation and maintenance of the FC system</w:t>
            </w:r>
          </w:p>
        </w:tc>
        <w:tc>
          <w:tcPr>
            <w:tcW w:w="511" w:type="pct"/>
          </w:tcPr>
          <w:p w14:paraId="3A65C60D" w14:textId="1267DDA9" w:rsidR="00986930" w:rsidRPr="002E7302" w:rsidRDefault="001B3DF3" w:rsidP="0061474F">
            <w:pPr>
              <w:jc w:val="both"/>
              <w:rPr>
                <w:lang w:val="en-GB"/>
              </w:rPr>
            </w:pPr>
            <w:proofErr w:type="spellStart"/>
            <w:r>
              <w:rPr>
                <w:lang w:val="en-GB"/>
              </w:rPr>
              <w:t>e</w:t>
            </w:r>
            <w:r w:rsidR="000C5400">
              <w:rPr>
                <w:lang w:val="en-GB"/>
              </w:rPr>
              <w:t>coinvent</w:t>
            </w:r>
            <w:proofErr w:type="spellEnd"/>
            <w:r w:rsidR="000C5400">
              <w:rPr>
                <w:lang w:val="en-GB"/>
              </w:rPr>
              <w:t xml:space="preserve"> 2.2</w:t>
            </w:r>
          </w:p>
        </w:tc>
        <w:tc>
          <w:tcPr>
            <w:tcW w:w="455" w:type="pct"/>
          </w:tcPr>
          <w:p w14:paraId="6D6BA5CE" w14:textId="5EE80A78" w:rsidR="00986930" w:rsidRPr="002E7302" w:rsidRDefault="000C5400" w:rsidP="0061474F">
            <w:pPr>
              <w:jc w:val="both"/>
              <w:rPr>
                <w:lang w:val="en-GB"/>
              </w:rPr>
            </w:pPr>
            <w:r w:rsidRPr="002E7302">
              <w:rPr>
                <w:lang w:val="en-GB"/>
              </w:rPr>
              <w:t>Cumulative Energy Demand 1.11, IPCC 2013 GWP 100a</w:t>
            </w:r>
          </w:p>
        </w:tc>
        <w:tc>
          <w:tcPr>
            <w:tcW w:w="966" w:type="pct"/>
          </w:tcPr>
          <w:p w14:paraId="55C4BBCE" w14:textId="35AF539E" w:rsidR="00986930" w:rsidRPr="002E7302" w:rsidRDefault="53A9029E" w:rsidP="009F0593">
            <w:pPr>
              <w:jc w:val="both"/>
              <w:rPr>
                <w:lang w:val="en-GB"/>
              </w:rPr>
            </w:pPr>
            <w:r w:rsidRPr="528E8AD9">
              <w:rPr>
                <w:lang w:val="en-GB"/>
              </w:rPr>
              <w:t>data on transport steps unavailable (foreground),</w:t>
            </w:r>
            <w:r w:rsidR="68194961" w:rsidRPr="528E8AD9">
              <w:rPr>
                <w:lang w:val="en-GB"/>
              </w:rPr>
              <w:t xml:space="preserve"> data gaps for YSZ and</w:t>
            </w:r>
            <w:r w:rsidRPr="528E8AD9">
              <w:rPr>
                <w:lang w:val="en-GB"/>
              </w:rPr>
              <w:t xml:space="preserve"> lanthanum strontium cobaltite/ferrite/ manganite</w:t>
            </w:r>
            <w:r w:rsidR="68194961" w:rsidRPr="528E8AD9">
              <w:rPr>
                <w:lang w:val="en-GB"/>
              </w:rPr>
              <w:t xml:space="preserve">, data on </w:t>
            </w:r>
            <w:r w:rsidR="68194961">
              <w:t>energy consumed for manufacturing are unavailable</w:t>
            </w:r>
          </w:p>
        </w:tc>
        <w:tc>
          <w:tcPr>
            <w:tcW w:w="1023" w:type="pct"/>
          </w:tcPr>
          <w:p w14:paraId="619144B6" w14:textId="77777777" w:rsidR="00986930" w:rsidRDefault="009F0593" w:rsidP="009F0593">
            <w:pPr>
              <w:jc w:val="both"/>
            </w:pPr>
            <w:r>
              <w:t xml:space="preserve">the EoL is out of scope because this system </w:t>
            </w:r>
            <w:r w:rsidRPr="009F0593">
              <w:t>has not yet reached its market maturity</w:t>
            </w:r>
            <w:r>
              <w:t xml:space="preserve"> and no reliable data regard</w:t>
            </w:r>
            <w:r w:rsidRPr="009F0593">
              <w:t>ing future end-of-life processes are available</w:t>
            </w:r>
            <w:r w:rsidR="00D73331">
              <w:t xml:space="preserve">, </w:t>
            </w:r>
          </w:p>
          <w:p w14:paraId="7765C44B" w14:textId="78152E24" w:rsidR="00D73331" w:rsidRDefault="00D73331" w:rsidP="009F0593">
            <w:pPr>
              <w:jc w:val="both"/>
            </w:pPr>
            <w:r>
              <w:t>energy consumed for manufacturing is estimated from secondary sources</w:t>
            </w:r>
          </w:p>
        </w:tc>
      </w:tr>
      <w:tr w:rsidR="003805F6" w14:paraId="41C073A5" w14:textId="77777777" w:rsidTr="05135B6E">
        <w:trPr>
          <w:cantSplit/>
          <w:trHeight w:val="300"/>
        </w:trPr>
        <w:tc>
          <w:tcPr>
            <w:tcW w:w="567" w:type="pct"/>
          </w:tcPr>
          <w:p w14:paraId="2994EEF1" w14:textId="77777777" w:rsidR="00986930" w:rsidRPr="008009C8" w:rsidRDefault="00986930" w:rsidP="00986930">
            <w:pPr>
              <w:keepNext/>
              <w:jc w:val="both"/>
            </w:pPr>
            <w:r w:rsidRPr="008009C8">
              <w:fldChar w:fldCharType="begin" w:fldLock="1"/>
            </w:r>
            <w:r w:rsidRPr="008009C8">
              <w:instrText>ADDIN CSL_CITATION {"citationItems":[{"id":"ITEM-1","itemData":{"DOI":"10.1016/j.ijhydene.2018.11.122","ISSN":"03603199","abstract":"This study aims to provide a comprehensive environmental life cycle assessment of heat and power production through solid oxide fuel cells (SOFCs) fueled by various chemical feeds namely; natural gas, hydrogen, ammonia and methanol. The life cycle assessment (LCA) includes the complete phases from raw material extraction or chemical fuel synthesis to consumption in the electrochemical reaction as a cradle-to-grave approach. The LCA study is performed using GaBi software, where the selected impact assessment methodology is ReCiPe 1.08. The selected environmental impact categories are climate change, fossil depletion, human toxicity, water depletion, particulate matter formation, and photochemical oxidant formation. The production pathways of the feed gases are selected based on the mature technologies as well as emerging water electrolysis via wind electricity. Natural gas is extracted from the wells and processed in the processing plant to be fed to SOFC. Hydrogen is generated by steam methane reforming method using the natural gas in the plant. Methanol is also produced by steam methane reforming and methanol synthesis reaction. Ammonia is synthesized using the hydrogen obtained from steam methane reforming and combined with nitrogen from air in a Haber-Bosch plant. Both hydrogen and ammonia are also produced via wind energy-driven decentralized electrolysis in order to emphasize the cleaner fuel production. The results of this study show that feeding SOFC systems with carbon-free fuels eliminates the greenhouse gas emissions during operation, however additional steps required for natural gas to hydrogen, ammonia and methanol conversion, make the complete process more environmentally problematic. However, if hydrogen and ammonia are produced from renewable sources such as wind-based electricity, the environmental impacts reduce significantly, yielding about 0.05 and 0.16 kg CO2 eq., respectively, per kWh electricity generation from SOFC.","author":[{"dropping-particle":"","family":"Bicer","given":"Yusuf","non-dropping-particle":"","parse-names":false,"suffix":""},{"dropping-particle":"","family":"Khalid","given":"Farrukh","non-dropping-particle":"","parse-names":false,"suffix":""}],"container-title":"International Journal of Hydrogen Energy","id":"ITEM-1","issue":"5","issued":{"date-parts":[["2020"]]},"page":"3670-3685","publisher":"Elsevier Ltd","title":"Life cycle environmental impact comparison of solid oxide fuel cells fueled by natural gas, hydrogen, ammonia and methanol for combined heat and power generation","type":"article-journal","volume":"45"},"uris":["http://www.mendeley.com/documents/?uuid=8e85be56-d0d6-4a3f-a3f5-e7752f2af547"]}],"mendeley":{"formattedCitation":"(Bicer &amp; Khalid, 2020)","plainTextFormattedCitation":"(Bicer &amp; Khalid, 2020)","previouslyFormattedCitation":"(Bicer &amp; Khalid, 2020)"},"properties":{"noteIndex":0},"schema":"https://github.com/citation-style-language/schema/raw/master/csl-citation.json"}</w:instrText>
            </w:r>
            <w:r w:rsidRPr="008009C8">
              <w:fldChar w:fldCharType="separate"/>
            </w:r>
            <w:r w:rsidRPr="008009C8">
              <w:rPr>
                <w:noProof/>
              </w:rPr>
              <w:t>(Bicer &amp; Khalid, 2020)</w:t>
            </w:r>
            <w:r w:rsidRPr="008009C8">
              <w:fldChar w:fldCharType="end"/>
            </w:r>
          </w:p>
        </w:tc>
        <w:tc>
          <w:tcPr>
            <w:tcW w:w="512" w:type="pct"/>
          </w:tcPr>
          <w:p w14:paraId="519F576F" w14:textId="2227A938" w:rsidR="00986930" w:rsidRDefault="001B3DF3" w:rsidP="001B3DF3">
            <w:pPr>
              <w:jc w:val="both"/>
              <w:rPr>
                <w:lang w:val="en-GB"/>
              </w:rPr>
            </w:pPr>
            <w:r>
              <w:rPr>
                <w:lang w:val="en-GB"/>
              </w:rPr>
              <w:t>SOFC</w:t>
            </w:r>
          </w:p>
        </w:tc>
        <w:tc>
          <w:tcPr>
            <w:tcW w:w="966" w:type="pct"/>
          </w:tcPr>
          <w:p w14:paraId="68EA2CE4" w14:textId="6693947F" w:rsidR="00986930" w:rsidRPr="002E7302" w:rsidRDefault="488CF2AD" w:rsidP="0061474F">
            <w:pPr>
              <w:jc w:val="both"/>
              <w:rPr>
                <w:lang w:val="en-GB"/>
              </w:rPr>
            </w:pPr>
            <w:r w:rsidRPr="528E8AD9">
              <w:rPr>
                <w:lang w:val="en-GB"/>
              </w:rPr>
              <w:t xml:space="preserve">manufacturing of the stack and </w:t>
            </w:r>
            <w:proofErr w:type="spellStart"/>
            <w:r w:rsidRPr="528E8AD9">
              <w:rPr>
                <w:lang w:val="en-GB"/>
              </w:rPr>
              <w:t>B</w:t>
            </w:r>
            <w:r w:rsidR="400EE15C" w:rsidRPr="528E8AD9">
              <w:rPr>
                <w:lang w:val="en-GB"/>
              </w:rPr>
              <w:t>o</w:t>
            </w:r>
            <w:r w:rsidRPr="528E8AD9">
              <w:rPr>
                <w:lang w:val="en-GB"/>
              </w:rPr>
              <w:t>P</w:t>
            </w:r>
            <w:proofErr w:type="spellEnd"/>
            <w:r w:rsidRPr="528E8AD9">
              <w:rPr>
                <w:lang w:val="en-GB"/>
              </w:rPr>
              <w:t>, operation and maintenance of the SOEC system</w:t>
            </w:r>
          </w:p>
        </w:tc>
        <w:tc>
          <w:tcPr>
            <w:tcW w:w="511" w:type="pct"/>
          </w:tcPr>
          <w:p w14:paraId="7AC9126C" w14:textId="0EC3261E" w:rsidR="00986930" w:rsidRPr="002E7302" w:rsidRDefault="00D91469" w:rsidP="0061474F">
            <w:pPr>
              <w:jc w:val="both"/>
              <w:rPr>
                <w:lang w:val="en-GB"/>
              </w:rPr>
            </w:pPr>
            <w:r>
              <w:rPr>
                <w:lang w:val="en-GB"/>
              </w:rPr>
              <w:t xml:space="preserve">Gabi professional database 2018, </w:t>
            </w:r>
            <w:proofErr w:type="spellStart"/>
            <w:r>
              <w:rPr>
                <w:lang w:val="en-GB"/>
              </w:rPr>
              <w:t>Ecoinvent</w:t>
            </w:r>
            <w:proofErr w:type="spellEnd"/>
            <w:r>
              <w:rPr>
                <w:lang w:val="en-GB"/>
              </w:rPr>
              <w:t xml:space="preserve"> 3</w:t>
            </w:r>
          </w:p>
        </w:tc>
        <w:tc>
          <w:tcPr>
            <w:tcW w:w="455" w:type="pct"/>
          </w:tcPr>
          <w:p w14:paraId="0ED4B325" w14:textId="3DB13ADE" w:rsidR="00986930" w:rsidRPr="002E7302" w:rsidRDefault="00914487" w:rsidP="0061474F">
            <w:pPr>
              <w:jc w:val="both"/>
              <w:rPr>
                <w:lang w:val="en-GB"/>
              </w:rPr>
            </w:pPr>
            <w:proofErr w:type="spellStart"/>
            <w:r>
              <w:rPr>
                <w:lang w:val="en-GB"/>
              </w:rPr>
              <w:t>ReCiPe</w:t>
            </w:r>
            <w:proofErr w:type="spellEnd"/>
            <w:r w:rsidR="00D91469">
              <w:rPr>
                <w:lang w:val="en-GB"/>
              </w:rPr>
              <w:t xml:space="preserve"> 1.08</w:t>
            </w:r>
          </w:p>
        </w:tc>
        <w:tc>
          <w:tcPr>
            <w:tcW w:w="966" w:type="pct"/>
          </w:tcPr>
          <w:p w14:paraId="10E95A4D" w14:textId="36AEC753" w:rsidR="00986930" w:rsidRPr="002E7302" w:rsidRDefault="00285DA6" w:rsidP="0061474F">
            <w:pPr>
              <w:jc w:val="both"/>
              <w:rPr>
                <w:lang w:val="en-GB"/>
              </w:rPr>
            </w:pPr>
            <w:r>
              <w:rPr>
                <w:lang w:val="en-GB"/>
              </w:rPr>
              <w:t>Unknown data on the emissions of the SOFC (when fuelled by hydrogen, ammonia or methanol)</w:t>
            </w:r>
          </w:p>
        </w:tc>
        <w:tc>
          <w:tcPr>
            <w:tcW w:w="1023" w:type="pct"/>
          </w:tcPr>
          <w:p w14:paraId="6339F6DD" w14:textId="7E2EA6BF" w:rsidR="00986930" w:rsidRDefault="68194961" w:rsidP="0061474F">
            <w:pPr>
              <w:jc w:val="both"/>
            </w:pPr>
            <w:r>
              <w:t>impacts of the YSZ are approximated with ZrO</w:t>
            </w:r>
            <w:r w:rsidRPr="003D10B8">
              <w:rPr>
                <w:vertAlign w:val="subscript"/>
              </w:rPr>
              <w:t>2</w:t>
            </w:r>
          </w:p>
        </w:tc>
      </w:tr>
    </w:tbl>
    <w:p w14:paraId="0432BAED" w14:textId="09B609E0" w:rsidR="00C84317" w:rsidRDefault="00C84317">
      <w:pPr>
        <w:pStyle w:val="Caption"/>
      </w:pPr>
    </w:p>
    <w:p w14:paraId="2BAC5AE9" w14:textId="3E91E158" w:rsidR="005C05B6" w:rsidRDefault="005C05B6" w:rsidP="005C05B6">
      <w:pPr>
        <w:pStyle w:val="Caption"/>
        <w:keepNext/>
      </w:pPr>
    </w:p>
    <w:p w14:paraId="7D7EBBB7" w14:textId="01F45804" w:rsidR="00E05634" w:rsidRDefault="00E05634" w:rsidP="00E05634"/>
    <w:p w14:paraId="15E140BC" w14:textId="77777777" w:rsidR="00E05634" w:rsidRPr="00E05634" w:rsidRDefault="00E05634" w:rsidP="00E05634"/>
    <w:p w14:paraId="5E5BDBD5" w14:textId="4EA22416" w:rsidR="009F0BDE" w:rsidRDefault="5EB01EFC" w:rsidP="00E05634">
      <w:pPr>
        <w:pStyle w:val="Caption"/>
        <w:keepNext/>
      </w:pPr>
      <w:r>
        <w:lastRenderedPageBreak/>
        <w:t>Table S.</w:t>
      </w:r>
      <w:r>
        <w:fldChar w:fldCharType="begin"/>
      </w:r>
      <w:r>
        <w:instrText>SEQ Table_S. \* ARABIC</w:instrText>
      </w:r>
      <w:r>
        <w:fldChar w:fldCharType="separate"/>
      </w:r>
      <w:r w:rsidR="00267B04">
        <w:rPr>
          <w:noProof/>
        </w:rPr>
        <w:t>2</w:t>
      </w:r>
      <w:r>
        <w:fldChar w:fldCharType="end"/>
      </w:r>
      <w:r>
        <w:t xml:space="preserve"> Results of the research performed in GLAD.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4"/>
        <w:gridCol w:w="2730"/>
        <w:gridCol w:w="1321"/>
        <w:gridCol w:w="1507"/>
        <w:gridCol w:w="3582"/>
        <w:gridCol w:w="2396"/>
      </w:tblGrid>
      <w:tr w:rsidR="009F0BDE" w:rsidRPr="009F0BDE" w14:paraId="414B8554" w14:textId="77777777" w:rsidTr="25EBFC90">
        <w:trPr>
          <w:cantSplit/>
        </w:trPr>
        <w:tc>
          <w:tcPr>
            <w:tcW w:w="546" w:type="pct"/>
          </w:tcPr>
          <w:p w14:paraId="0010D015" w14:textId="77777777" w:rsidR="009F0BDE" w:rsidRPr="009F0BDE" w:rsidRDefault="009F0BDE" w:rsidP="009F0BDE">
            <w:pPr>
              <w:jc w:val="both"/>
              <w:rPr>
                <w:rFonts w:eastAsia="Calibri" w:cs="Arial"/>
                <w:lang w:val="it-IT"/>
              </w:rPr>
            </w:pPr>
            <w:r w:rsidRPr="009F0BDE">
              <w:rPr>
                <w:rFonts w:eastAsia="Calibri" w:cs="Arial"/>
                <w:lang w:val="it-IT"/>
              </w:rPr>
              <w:t>Technology</w:t>
            </w:r>
          </w:p>
        </w:tc>
        <w:tc>
          <w:tcPr>
            <w:tcW w:w="1054" w:type="pct"/>
          </w:tcPr>
          <w:p w14:paraId="200B764B" w14:textId="77777777" w:rsidR="009F0BDE" w:rsidRPr="009F0BDE" w:rsidRDefault="009F0BDE" w:rsidP="009F0BDE">
            <w:pPr>
              <w:jc w:val="both"/>
              <w:rPr>
                <w:rFonts w:eastAsia="Calibri" w:cs="Arial"/>
                <w:lang w:val="it-IT"/>
              </w:rPr>
            </w:pPr>
            <w:r w:rsidRPr="009F0BDE">
              <w:rPr>
                <w:rFonts w:eastAsia="Calibri" w:cs="Arial"/>
                <w:lang w:val="it-IT"/>
              </w:rPr>
              <w:t>Name</w:t>
            </w:r>
          </w:p>
        </w:tc>
        <w:tc>
          <w:tcPr>
            <w:tcW w:w="510" w:type="pct"/>
          </w:tcPr>
          <w:p w14:paraId="72C5EBB8" w14:textId="77777777" w:rsidR="009F0BDE" w:rsidRPr="009F0BDE" w:rsidRDefault="009F0BDE" w:rsidP="009F0BDE">
            <w:pPr>
              <w:jc w:val="both"/>
              <w:rPr>
                <w:rFonts w:eastAsia="Calibri" w:cs="Arial"/>
                <w:lang w:val="it-IT"/>
              </w:rPr>
            </w:pPr>
            <w:r w:rsidRPr="009F0BDE">
              <w:rPr>
                <w:rFonts w:eastAsia="Calibri" w:cs="Arial"/>
                <w:lang w:val="it-IT"/>
              </w:rPr>
              <w:t>Provider</w:t>
            </w:r>
          </w:p>
        </w:tc>
        <w:tc>
          <w:tcPr>
            <w:tcW w:w="582" w:type="pct"/>
          </w:tcPr>
          <w:p w14:paraId="2DF0DC78" w14:textId="77777777" w:rsidR="009F0BDE" w:rsidRPr="009F0BDE" w:rsidRDefault="009F0BDE" w:rsidP="009F0BDE">
            <w:pPr>
              <w:jc w:val="both"/>
              <w:rPr>
                <w:rFonts w:eastAsia="Calibri" w:cs="Arial"/>
                <w:lang w:val="it-IT"/>
              </w:rPr>
            </w:pPr>
            <w:r w:rsidRPr="009F0BDE">
              <w:rPr>
                <w:rFonts w:eastAsia="Calibri" w:cs="Arial"/>
                <w:lang w:val="it-IT"/>
              </w:rPr>
              <w:t>Geography</w:t>
            </w:r>
          </w:p>
        </w:tc>
        <w:tc>
          <w:tcPr>
            <w:tcW w:w="1383" w:type="pct"/>
          </w:tcPr>
          <w:p w14:paraId="0C46AD5B" w14:textId="77777777" w:rsidR="009F0BDE" w:rsidRPr="009F0BDE" w:rsidRDefault="009F0BDE" w:rsidP="009F0BDE">
            <w:pPr>
              <w:jc w:val="both"/>
              <w:rPr>
                <w:rFonts w:eastAsia="Calibri" w:cs="Arial"/>
                <w:lang w:val="en-GB"/>
              </w:rPr>
            </w:pPr>
            <w:r w:rsidRPr="009F0BDE">
              <w:rPr>
                <w:rFonts w:eastAsia="Calibri" w:cs="Arial"/>
                <w:lang w:val="en-GB"/>
              </w:rPr>
              <w:t>Included life-cycle stages</w:t>
            </w:r>
          </w:p>
        </w:tc>
        <w:tc>
          <w:tcPr>
            <w:tcW w:w="925" w:type="pct"/>
          </w:tcPr>
          <w:p w14:paraId="0E7533A9" w14:textId="77777777" w:rsidR="009F0BDE" w:rsidRPr="009F0BDE" w:rsidRDefault="009F0BDE" w:rsidP="009F0BDE">
            <w:pPr>
              <w:jc w:val="both"/>
              <w:rPr>
                <w:rFonts w:eastAsia="Calibri" w:cs="Arial"/>
                <w:lang w:val="en-GB"/>
              </w:rPr>
            </w:pPr>
            <w:r w:rsidRPr="009F0BDE">
              <w:rPr>
                <w:rFonts w:eastAsia="Calibri" w:cs="Arial"/>
                <w:lang w:val="en-GB"/>
              </w:rPr>
              <w:t>Limitations</w:t>
            </w:r>
          </w:p>
        </w:tc>
      </w:tr>
      <w:tr w:rsidR="009F0BDE" w:rsidRPr="009F0BDE" w14:paraId="45DBE202" w14:textId="77777777" w:rsidTr="25EBFC90">
        <w:trPr>
          <w:cantSplit/>
        </w:trPr>
        <w:tc>
          <w:tcPr>
            <w:tcW w:w="546" w:type="pct"/>
            <w:vMerge w:val="restart"/>
          </w:tcPr>
          <w:p w14:paraId="0946C46E" w14:textId="77777777" w:rsidR="009F0BDE" w:rsidRPr="009F0BDE" w:rsidRDefault="009F0BDE" w:rsidP="009F0BDE">
            <w:pPr>
              <w:jc w:val="both"/>
              <w:rPr>
                <w:rFonts w:eastAsia="Calibri" w:cs="Arial"/>
                <w:lang w:val="en-GB"/>
              </w:rPr>
            </w:pPr>
          </w:p>
          <w:p w14:paraId="7AEA6C6D" w14:textId="77777777" w:rsidR="009F0BDE" w:rsidRPr="009F0BDE" w:rsidRDefault="009F0BDE" w:rsidP="009F0BDE">
            <w:pPr>
              <w:jc w:val="both"/>
              <w:rPr>
                <w:rFonts w:eastAsia="Calibri" w:cs="Arial"/>
                <w:lang w:val="it-IT"/>
              </w:rPr>
            </w:pPr>
            <w:r w:rsidRPr="009F0BDE">
              <w:rPr>
                <w:rFonts w:eastAsia="Calibri" w:cs="Arial"/>
                <w:lang w:val="it-IT"/>
              </w:rPr>
              <w:t>Hydrogen production</w:t>
            </w:r>
          </w:p>
          <w:p w14:paraId="0E4E81D8" w14:textId="77777777" w:rsidR="009F0BDE" w:rsidRPr="009F0BDE" w:rsidRDefault="009F0BDE" w:rsidP="009F0BDE">
            <w:pPr>
              <w:jc w:val="both"/>
              <w:rPr>
                <w:rFonts w:eastAsia="Calibri" w:cs="Arial"/>
                <w:lang w:val="it-IT"/>
              </w:rPr>
            </w:pPr>
          </w:p>
          <w:p w14:paraId="74D7F2D6" w14:textId="77777777" w:rsidR="009F0BDE" w:rsidRPr="009F0BDE" w:rsidRDefault="009F0BDE" w:rsidP="009F0BDE">
            <w:pPr>
              <w:jc w:val="both"/>
              <w:rPr>
                <w:rFonts w:eastAsia="Calibri" w:cs="Arial"/>
                <w:lang w:val="it-IT"/>
              </w:rPr>
            </w:pPr>
          </w:p>
          <w:p w14:paraId="1B8C04DD" w14:textId="77777777" w:rsidR="009F0BDE" w:rsidRPr="009F0BDE" w:rsidRDefault="009F0BDE" w:rsidP="009F0BDE">
            <w:pPr>
              <w:jc w:val="both"/>
              <w:rPr>
                <w:rFonts w:eastAsia="Calibri" w:cs="Arial"/>
                <w:lang w:val="it-IT"/>
              </w:rPr>
            </w:pPr>
          </w:p>
          <w:p w14:paraId="65A35558" w14:textId="77777777" w:rsidR="009F0BDE" w:rsidRPr="009F0BDE" w:rsidRDefault="009F0BDE" w:rsidP="009F0BDE">
            <w:pPr>
              <w:jc w:val="both"/>
              <w:rPr>
                <w:rFonts w:eastAsia="Calibri" w:cs="Arial"/>
                <w:lang w:val="it-IT"/>
              </w:rPr>
            </w:pPr>
          </w:p>
          <w:p w14:paraId="460E009D" w14:textId="77777777" w:rsidR="009F0BDE" w:rsidRPr="009F0BDE" w:rsidRDefault="009F0BDE" w:rsidP="009F0BDE">
            <w:pPr>
              <w:jc w:val="both"/>
              <w:rPr>
                <w:rFonts w:eastAsia="Calibri" w:cs="Arial"/>
                <w:lang w:val="it-IT"/>
              </w:rPr>
            </w:pPr>
          </w:p>
          <w:p w14:paraId="223A533D" w14:textId="77777777" w:rsidR="009F0BDE" w:rsidRPr="009F0BDE" w:rsidRDefault="009F0BDE" w:rsidP="009F0BDE">
            <w:pPr>
              <w:jc w:val="both"/>
              <w:rPr>
                <w:rFonts w:eastAsia="Calibri" w:cs="Arial"/>
                <w:lang w:val="it-IT"/>
              </w:rPr>
            </w:pPr>
          </w:p>
        </w:tc>
        <w:tc>
          <w:tcPr>
            <w:tcW w:w="1054" w:type="pct"/>
          </w:tcPr>
          <w:p w14:paraId="32981A96" w14:textId="77777777" w:rsidR="009F0BDE" w:rsidRPr="009F0BDE" w:rsidRDefault="009F0BDE" w:rsidP="009F0BDE">
            <w:pPr>
              <w:jc w:val="both"/>
              <w:rPr>
                <w:rFonts w:eastAsia="Calibri" w:cs="Arial"/>
                <w:lang w:val="en-GB"/>
              </w:rPr>
            </w:pPr>
            <w:r w:rsidRPr="009F0BDE">
              <w:rPr>
                <w:rFonts w:eastAsia="Calibri" w:cs="Arial"/>
                <w:lang w:val="en-GB"/>
              </w:rPr>
              <w:t>Hydrogen; from electrolysis of water, decentralised; production mix, at electrolyser; gaseous hydrogen, 10 bar, 99,995 % purity</w:t>
            </w:r>
          </w:p>
        </w:tc>
        <w:tc>
          <w:tcPr>
            <w:tcW w:w="510" w:type="pct"/>
          </w:tcPr>
          <w:p w14:paraId="1040B4A7" w14:textId="77777777" w:rsidR="009F0BDE" w:rsidRPr="009F0BDE" w:rsidRDefault="009F0BDE" w:rsidP="009F0BDE">
            <w:pPr>
              <w:jc w:val="both"/>
              <w:rPr>
                <w:rFonts w:eastAsia="Calibri" w:cs="Arial"/>
                <w:lang w:val="it-IT"/>
              </w:rPr>
            </w:pPr>
            <w:r w:rsidRPr="009F0BDE">
              <w:rPr>
                <w:rFonts w:eastAsia="Calibri" w:cs="Arial"/>
                <w:lang w:val="it-IT"/>
              </w:rPr>
              <w:t>Sphera (Gabi 2020 database)</w:t>
            </w:r>
          </w:p>
        </w:tc>
        <w:tc>
          <w:tcPr>
            <w:tcW w:w="582" w:type="pct"/>
          </w:tcPr>
          <w:p w14:paraId="1D5F1B13" w14:textId="77777777" w:rsidR="009F0BDE" w:rsidRPr="009F0BDE" w:rsidRDefault="009F0BDE" w:rsidP="009F0BDE">
            <w:pPr>
              <w:jc w:val="both"/>
              <w:rPr>
                <w:rFonts w:eastAsia="Calibri" w:cs="Arial"/>
                <w:lang w:val="it-IT"/>
              </w:rPr>
            </w:pPr>
            <w:r w:rsidRPr="009F0BDE">
              <w:rPr>
                <w:rFonts w:eastAsia="Calibri" w:cs="Arial"/>
                <w:lang w:val="it-IT"/>
              </w:rPr>
              <w:t>Global</w:t>
            </w:r>
          </w:p>
        </w:tc>
        <w:tc>
          <w:tcPr>
            <w:tcW w:w="1383" w:type="pct"/>
          </w:tcPr>
          <w:p w14:paraId="649E686A" w14:textId="77777777" w:rsidR="009F0BDE" w:rsidRPr="009F0BDE" w:rsidRDefault="009F0BDE" w:rsidP="009F0BDE">
            <w:pPr>
              <w:jc w:val="both"/>
              <w:rPr>
                <w:rFonts w:eastAsia="Calibri" w:cs="Arial"/>
                <w:lang w:val="en-GB"/>
              </w:rPr>
            </w:pPr>
            <w:proofErr w:type="gramStart"/>
            <w:r w:rsidRPr="009F0BDE">
              <w:rPr>
                <w:rFonts w:eastAsia="Calibri" w:cs="Arial"/>
                <w:lang w:val="en-GB"/>
              </w:rPr>
              <w:t>manufacturing</w:t>
            </w:r>
            <w:proofErr w:type="gramEnd"/>
            <w:r w:rsidRPr="009F0BDE">
              <w:rPr>
                <w:rFonts w:eastAsia="Calibri" w:cs="Arial"/>
                <w:lang w:val="en-GB"/>
              </w:rPr>
              <w:t xml:space="preserve">, maintenance and </w:t>
            </w:r>
            <w:proofErr w:type="spellStart"/>
            <w:r w:rsidRPr="009F0BDE">
              <w:rPr>
                <w:rFonts w:eastAsia="Calibri" w:cs="Arial"/>
                <w:lang w:val="en-GB"/>
              </w:rPr>
              <w:t>EoL</w:t>
            </w:r>
            <w:proofErr w:type="spellEnd"/>
            <w:r w:rsidRPr="009F0BDE">
              <w:rPr>
                <w:rFonts w:eastAsia="Calibri" w:cs="Arial"/>
                <w:lang w:val="en-GB"/>
              </w:rPr>
              <w:t xml:space="preserve"> of the electrolyser. </w:t>
            </w:r>
          </w:p>
        </w:tc>
        <w:tc>
          <w:tcPr>
            <w:tcW w:w="925" w:type="pct"/>
          </w:tcPr>
          <w:p w14:paraId="2C189369" w14:textId="77777777" w:rsidR="009F0BDE" w:rsidRPr="009F0BDE" w:rsidRDefault="009F0BDE" w:rsidP="009F0BDE">
            <w:pPr>
              <w:jc w:val="both"/>
              <w:rPr>
                <w:rFonts w:eastAsia="Calibri" w:cs="Arial"/>
                <w:lang w:val="en-GB"/>
              </w:rPr>
            </w:pPr>
            <w:r w:rsidRPr="009F0BDE">
              <w:rPr>
                <w:rFonts w:eastAsia="Calibri" w:cs="Arial"/>
                <w:lang w:val="en-GB"/>
              </w:rPr>
              <w:t>The technology of the electrolytic cell is unspecified.</w:t>
            </w:r>
          </w:p>
        </w:tc>
      </w:tr>
      <w:tr w:rsidR="009F0BDE" w:rsidRPr="009F0BDE" w14:paraId="440285C3" w14:textId="77777777" w:rsidTr="25EBFC90">
        <w:trPr>
          <w:cantSplit/>
        </w:trPr>
        <w:tc>
          <w:tcPr>
            <w:tcW w:w="546" w:type="pct"/>
            <w:vMerge/>
          </w:tcPr>
          <w:p w14:paraId="1F7A4FC7" w14:textId="77777777" w:rsidR="009F0BDE" w:rsidRPr="009F0BDE" w:rsidRDefault="009F0BDE" w:rsidP="009F0BDE">
            <w:pPr>
              <w:jc w:val="both"/>
              <w:rPr>
                <w:rFonts w:eastAsia="Calibri" w:cs="Arial"/>
                <w:lang w:val="en-GB"/>
              </w:rPr>
            </w:pPr>
          </w:p>
        </w:tc>
        <w:tc>
          <w:tcPr>
            <w:tcW w:w="1054" w:type="pct"/>
          </w:tcPr>
          <w:p w14:paraId="32535218" w14:textId="77777777" w:rsidR="009F0BDE" w:rsidRPr="009F0BDE" w:rsidRDefault="5EB01EFC" w:rsidP="528E8AD9">
            <w:pPr>
              <w:jc w:val="both"/>
              <w:rPr>
                <w:rFonts w:eastAsia="Calibri" w:cs="Arial"/>
                <w:lang w:val="en-GB"/>
              </w:rPr>
            </w:pPr>
            <w:r w:rsidRPr="25EBFC90">
              <w:rPr>
                <w:rFonts w:eastAsia="Calibri" w:cs="Arial"/>
                <w:lang w:val="en-GB"/>
              </w:rPr>
              <w:t>Hydrogen (produced from High temperature electrolysis (SOEC), decentral – open input energy); raw material processing, cell assembling,; single route, at plant</w:t>
            </w:r>
          </w:p>
        </w:tc>
        <w:tc>
          <w:tcPr>
            <w:tcW w:w="510" w:type="pct"/>
          </w:tcPr>
          <w:p w14:paraId="41814387" w14:textId="77777777" w:rsidR="009F0BDE" w:rsidRPr="009F0BDE" w:rsidRDefault="009F0BDE" w:rsidP="009F0BDE">
            <w:pPr>
              <w:jc w:val="both"/>
              <w:rPr>
                <w:rFonts w:eastAsia="Calibri" w:cs="Arial"/>
                <w:lang w:val="it-IT"/>
              </w:rPr>
            </w:pPr>
            <w:r w:rsidRPr="009F0BDE">
              <w:rPr>
                <w:rFonts w:eastAsia="Calibri" w:cs="Arial"/>
                <w:lang w:val="it-IT"/>
              </w:rPr>
              <w:t>Sphera</w:t>
            </w:r>
          </w:p>
        </w:tc>
        <w:tc>
          <w:tcPr>
            <w:tcW w:w="582" w:type="pct"/>
          </w:tcPr>
          <w:p w14:paraId="17085F99" w14:textId="77777777" w:rsidR="009F0BDE" w:rsidRPr="009F0BDE" w:rsidRDefault="009F0BDE" w:rsidP="009F0BDE">
            <w:pPr>
              <w:jc w:val="both"/>
              <w:rPr>
                <w:rFonts w:eastAsia="Calibri" w:cs="Arial"/>
                <w:lang w:val="en-GB"/>
              </w:rPr>
            </w:pPr>
            <w:r w:rsidRPr="009F0BDE">
              <w:rPr>
                <w:rFonts w:eastAsia="Calibri" w:cs="Arial"/>
                <w:lang w:val="en-GB"/>
              </w:rPr>
              <w:t>The dataset represents the production situation in Europe</w:t>
            </w:r>
          </w:p>
        </w:tc>
        <w:tc>
          <w:tcPr>
            <w:tcW w:w="1383" w:type="pct"/>
          </w:tcPr>
          <w:p w14:paraId="374823FC" w14:textId="17BF8CC0" w:rsidR="009F0BDE" w:rsidRPr="009F0BDE" w:rsidRDefault="5EB01EFC" w:rsidP="528E8AD9">
            <w:pPr>
              <w:jc w:val="both"/>
              <w:rPr>
                <w:rFonts w:eastAsia="Calibri" w:cs="Arial"/>
                <w:lang w:val="en-GB"/>
              </w:rPr>
            </w:pPr>
            <w:proofErr w:type="gramStart"/>
            <w:r w:rsidRPr="528E8AD9">
              <w:rPr>
                <w:rFonts w:eastAsia="Calibri" w:cs="Arial"/>
                <w:lang w:val="en-GB"/>
              </w:rPr>
              <w:t>cradle-to-gate</w:t>
            </w:r>
            <w:proofErr w:type="gramEnd"/>
            <w:r w:rsidRPr="528E8AD9">
              <w:rPr>
                <w:rFonts w:eastAsia="Calibri" w:cs="Arial"/>
                <w:lang w:val="en-GB"/>
              </w:rPr>
              <w:t xml:space="preserve"> impacts of 1 kg hydrogen produced by a solid oxide electrolyser. </w:t>
            </w:r>
          </w:p>
        </w:tc>
        <w:tc>
          <w:tcPr>
            <w:tcW w:w="925" w:type="pct"/>
          </w:tcPr>
          <w:p w14:paraId="65994540" w14:textId="77777777" w:rsidR="009F0BDE" w:rsidRPr="009F0BDE" w:rsidRDefault="009F0BDE" w:rsidP="009F0BDE">
            <w:pPr>
              <w:jc w:val="both"/>
              <w:rPr>
                <w:rFonts w:eastAsia="Calibri" w:cs="Arial"/>
                <w:lang w:val="en-GB"/>
              </w:rPr>
            </w:pPr>
            <w:r w:rsidRPr="009F0BDE">
              <w:rPr>
                <w:rFonts w:eastAsia="Calibri" w:cs="Arial"/>
                <w:lang w:val="en-GB"/>
              </w:rPr>
              <w:t>The materials for manufacturing stage are taken from a LCI of SOFC instead of a SOEC (proxy), literature data.</w:t>
            </w:r>
          </w:p>
        </w:tc>
      </w:tr>
      <w:tr w:rsidR="009F0BDE" w:rsidRPr="009F0BDE" w14:paraId="4CCA0B86" w14:textId="77777777" w:rsidTr="25EBFC90">
        <w:trPr>
          <w:cantSplit/>
        </w:trPr>
        <w:tc>
          <w:tcPr>
            <w:tcW w:w="546" w:type="pct"/>
            <w:vMerge/>
          </w:tcPr>
          <w:p w14:paraId="2FD257B1" w14:textId="77777777" w:rsidR="009F0BDE" w:rsidRPr="009F0BDE" w:rsidRDefault="009F0BDE" w:rsidP="009F0BDE">
            <w:pPr>
              <w:jc w:val="both"/>
              <w:rPr>
                <w:rFonts w:eastAsia="Calibri" w:cs="Arial"/>
                <w:lang w:val="en-GB"/>
              </w:rPr>
            </w:pPr>
          </w:p>
        </w:tc>
        <w:tc>
          <w:tcPr>
            <w:tcW w:w="1054" w:type="pct"/>
          </w:tcPr>
          <w:p w14:paraId="337AF093" w14:textId="77777777" w:rsidR="009F0BDE" w:rsidRPr="009F0BDE" w:rsidRDefault="009F0BDE" w:rsidP="009F0BDE">
            <w:pPr>
              <w:jc w:val="both"/>
              <w:rPr>
                <w:rFonts w:eastAsia="Calibri" w:cs="Arial"/>
                <w:lang w:val="it-IT"/>
              </w:rPr>
            </w:pPr>
            <w:r w:rsidRPr="009F0BDE">
              <w:rPr>
                <w:rFonts w:eastAsia="Calibri" w:cs="Arial"/>
                <w:lang w:val="it-IT"/>
              </w:rPr>
              <w:t>Water Electrolysis</w:t>
            </w:r>
          </w:p>
        </w:tc>
        <w:tc>
          <w:tcPr>
            <w:tcW w:w="510" w:type="pct"/>
          </w:tcPr>
          <w:p w14:paraId="0E6C17FD" w14:textId="77777777" w:rsidR="009F0BDE" w:rsidRPr="009F0BDE" w:rsidRDefault="009F0BDE" w:rsidP="009F0BDE">
            <w:pPr>
              <w:jc w:val="both"/>
              <w:rPr>
                <w:rFonts w:eastAsia="Calibri" w:cs="Arial"/>
                <w:lang w:val="it-IT"/>
              </w:rPr>
            </w:pPr>
            <w:r w:rsidRPr="009F0BDE">
              <w:rPr>
                <w:rFonts w:eastAsia="Calibri" w:cs="Arial"/>
                <w:lang w:val="it-IT"/>
              </w:rPr>
              <w:t>TianGong Life Cycle Inventory</w:t>
            </w:r>
          </w:p>
        </w:tc>
        <w:tc>
          <w:tcPr>
            <w:tcW w:w="582" w:type="pct"/>
          </w:tcPr>
          <w:p w14:paraId="63E0FD8E" w14:textId="77777777" w:rsidR="009F0BDE" w:rsidRPr="009F0BDE" w:rsidRDefault="009F0BDE" w:rsidP="009F0BDE">
            <w:pPr>
              <w:jc w:val="both"/>
              <w:rPr>
                <w:rFonts w:eastAsia="Calibri" w:cs="Arial"/>
                <w:lang w:val="it-IT"/>
              </w:rPr>
            </w:pPr>
            <w:r w:rsidRPr="009F0BDE">
              <w:rPr>
                <w:rFonts w:eastAsia="Calibri" w:cs="Arial"/>
                <w:lang w:val="it-IT"/>
              </w:rPr>
              <w:t>China</w:t>
            </w:r>
          </w:p>
        </w:tc>
        <w:tc>
          <w:tcPr>
            <w:tcW w:w="1383" w:type="pct"/>
          </w:tcPr>
          <w:p w14:paraId="496C16B7" w14:textId="77777777" w:rsidR="009F0BDE" w:rsidRPr="009F0BDE" w:rsidRDefault="009F0BDE" w:rsidP="009F0BDE">
            <w:pPr>
              <w:jc w:val="both"/>
              <w:rPr>
                <w:rFonts w:eastAsia="Calibri" w:cs="Arial"/>
                <w:lang w:val="en-GB"/>
              </w:rPr>
            </w:pPr>
            <w:r w:rsidRPr="009F0BDE">
              <w:rPr>
                <w:rFonts w:eastAsia="Calibri" w:cs="Arial"/>
                <w:lang w:val="en-GB"/>
              </w:rPr>
              <w:t xml:space="preserve">Use phase of the water electrolyser, based on the data collected at a hydrogen production plant. </w:t>
            </w:r>
          </w:p>
        </w:tc>
        <w:tc>
          <w:tcPr>
            <w:tcW w:w="925" w:type="pct"/>
          </w:tcPr>
          <w:p w14:paraId="52B0340F" w14:textId="77777777" w:rsidR="009F0BDE" w:rsidRPr="009F0BDE" w:rsidRDefault="009F0BDE" w:rsidP="009F0BDE">
            <w:pPr>
              <w:jc w:val="both"/>
              <w:rPr>
                <w:rFonts w:eastAsia="Calibri" w:cs="Arial"/>
                <w:lang w:val="en-GB"/>
              </w:rPr>
            </w:pPr>
            <w:r w:rsidRPr="009F0BDE">
              <w:rPr>
                <w:rFonts w:eastAsia="Calibri" w:cs="Arial"/>
                <w:lang w:val="en-GB"/>
              </w:rPr>
              <w:t>The technology of the electrolytic cell is unspecified. LCIA results are not documented.</w:t>
            </w:r>
          </w:p>
        </w:tc>
      </w:tr>
      <w:tr w:rsidR="009F0BDE" w:rsidRPr="009F0BDE" w14:paraId="704B16B9" w14:textId="77777777" w:rsidTr="25EBFC90">
        <w:trPr>
          <w:cantSplit/>
        </w:trPr>
        <w:tc>
          <w:tcPr>
            <w:tcW w:w="546" w:type="pct"/>
            <w:vMerge/>
          </w:tcPr>
          <w:p w14:paraId="7E28F8FB" w14:textId="77777777" w:rsidR="009F0BDE" w:rsidRPr="009F0BDE" w:rsidRDefault="009F0BDE" w:rsidP="009F0BDE">
            <w:pPr>
              <w:jc w:val="both"/>
              <w:rPr>
                <w:rFonts w:eastAsia="Calibri" w:cs="Arial"/>
                <w:lang w:val="en-GB"/>
              </w:rPr>
            </w:pPr>
          </w:p>
        </w:tc>
        <w:tc>
          <w:tcPr>
            <w:tcW w:w="1054" w:type="pct"/>
          </w:tcPr>
          <w:p w14:paraId="04E4A535" w14:textId="77777777" w:rsidR="009F0BDE" w:rsidRPr="009F0BDE" w:rsidRDefault="009F0BDE" w:rsidP="009F0BDE">
            <w:pPr>
              <w:jc w:val="both"/>
              <w:rPr>
                <w:rFonts w:eastAsia="Calibri" w:cs="Arial"/>
                <w:lang w:val="en-GB"/>
              </w:rPr>
            </w:pPr>
            <w:r w:rsidRPr="009F0BDE">
              <w:rPr>
                <w:rFonts w:eastAsia="Calibri" w:cs="Arial"/>
                <w:lang w:val="en-GB"/>
              </w:rPr>
              <w:t>Hydrogen (steam reforming from natural gas); steam reforming, from natural gas; single route, at plant; 0.0899 kg/m3, 2 g/</w:t>
            </w:r>
            <w:proofErr w:type="spellStart"/>
            <w:r w:rsidRPr="009F0BDE">
              <w:rPr>
                <w:rFonts w:eastAsia="Calibri" w:cs="Arial"/>
                <w:lang w:val="en-GB"/>
              </w:rPr>
              <w:t>mol</w:t>
            </w:r>
            <w:proofErr w:type="spellEnd"/>
            <w:r w:rsidRPr="009F0BDE">
              <w:rPr>
                <w:rFonts w:eastAsia="Calibri" w:cs="Arial"/>
                <w:lang w:val="en-GB"/>
              </w:rPr>
              <w:t>, 120 MJ/kg net calorific value)</w:t>
            </w:r>
          </w:p>
        </w:tc>
        <w:tc>
          <w:tcPr>
            <w:tcW w:w="510" w:type="pct"/>
          </w:tcPr>
          <w:p w14:paraId="52A284A5" w14:textId="77777777" w:rsidR="009F0BDE" w:rsidRPr="009F0BDE" w:rsidRDefault="009F0BDE" w:rsidP="009F0BDE">
            <w:pPr>
              <w:jc w:val="both"/>
              <w:rPr>
                <w:rFonts w:eastAsia="Calibri" w:cs="Arial"/>
                <w:lang w:val="it-IT"/>
              </w:rPr>
            </w:pPr>
            <w:r w:rsidRPr="009F0BDE">
              <w:rPr>
                <w:rFonts w:eastAsia="Calibri" w:cs="Arial"/>
                <w:lang w:val="it-IT"/>
              </w:rPr>
              <w:t xml:space="preserve">Sphera (Gabi 2020 Database) </w:t>
            </w:r>
          </w:p>
        </w:tc>
        <w:tc>
          <w:tcPr>
            <w:tcW w:w="582" w:type="pct"/>
          </w:tcPr>
          <w:p w14:paraId="3FC79618" w14:textId="77777777" w:rsidR="009F0BDE" w:rsidRPr="009F0BDE" w:rsidRDefault="009F0BDE" w:rsidP="009F0BDE">
            <w:pPr>
              <w:jc w:val="both"/>
              <w:rPr>
                <w:rFonts w:eastAsia="Calibri" w:cs="Arial"/>
                <w:lang w:val="en-GB"/>
              </w:rPr>
            </w:pPr>
            <w:r w:rsidRPr="009F0BDE">
              <w:rPr>
                <w:rFonts w:eastAsia="Calibri" w:cs="Arial"/>
                <w:lang w:val="en-GB"/>
              </w:rPr>
              <w:t xml:space="preserve">Global </w:t>
            </w:r>
          </w:p>
          <w:p w14:paraId="66D5DCA0" w14:textId="77777777" w:rsidR="009F0BDE" w:rsidRPr="009F0BDE" w:rsidRDefault="009F0BDE" w:rsidP="009F0BDE">
            <w:pPr>
              <w:jc w:val="both"/>
              <w:rPr>
                <w:rFonts w:eastAsia="Calibri" w:cs="Arial"/>
                <w:lang w:val="en-GB"/>
              </w:rPr>
            </w:pPr>
            <w:r w:rsidRPr="009F0BDE">
              <w:rPr>
                <w:rFonts w:eastAsia="Calibri" w:cs="Arial"/>
                <w:lang w:val="en-GB"/>
              </w:rPr>
              <w:t>France</w:t>
            </w:r>
          </w:p>
          <w:p w14:paraId="357DD206" w14:textId="77777777" w:rsidR="009F0BDE" w:rsidRPr="009F0BDE" w:rsidRDefault="009F0BDE" w:rsidP="009F0BDE">
            <w:pPr>
              <w:jc w:val="both"/>
              <w:rPr>
                <w:rFonts w:eastAsia="Calibri" w:cs="Arial"/>
                <w:lang w:val="en-GB"/>
              </w:rPr>
            </w:pPr>
            <w:r w:rsidRPr="009F0BDE">
              <w:rPr>
                <w:rFonts w:eastAsia="Calibri" w:cs="Arial"/>
                <w:lang w:val="en-GB"/>
              </w:rPr>
              <w:t>UK</w:t>
            </w:r>
          </w:p>
          <w:p w14:paraId="36EEF93C" w14:textId="77777777" w:rsidR="009F0BDE" w:rsidRPr="009F0BDE" w:rsidRDefault="009F0BDE" w:rsidP="009F0BDE">
            <w:pPr>
              <w:jc w:val="both"/>
              <w:rPr>
                <w:rFonts w:eastAsia="Calibri" w:cs="Arial"/>
                <w:lang w:val="en-GB"/>
              </w:rPr>
            </w:pPr>
            <w:r w:rsidRPr="009F0BDE">
              <w:rPr>
                <w:rFonts w:eastAsia="Calibri" w:cs="Arial"/>
                <w:lang w:val="en-GB"/>
              </w:rPr>
              <w:t>Italy</w:t>
            </w:r>
          </w:p>
          <w:p w14:paraId="08DC5076" w14:textId="77777777" w:rsidR="009F0BDE" w:rsidRPr="009F0BDE" w:rsidRDefault="009F0BDE" w:rsidP="009F0BDE">
            <w:pPr>
              <w:jc w:val="both"/>
              <w:rPr>
                <w:rFonts w:eastAsia="Calibri" w:cs="Arial"/>
                <w:lang w:val="en-GB"/>
              </w:rPr>
            </w:pPr>
            <w:r w:rsidRPr="009F0BDE">
              <w:rPr>
                <w:rFonts w:eastAsia="Calibri" w:cs="Arial"/>
                <w:lang w:val="en-GB"/>
              </w:rPr>
              <w:t>Germany</w:t>
            </w:r>
          </w:p>
          <w:p w14:paraId="0707744B" w14:textId="77777777" w:rsidR="009F0BDE" w:rsidRPr="009F0BDE" w:rsidRDefault="009F0BDE" w:rsidP="009F0BDE">
            <w:pPr>
              <w:jc w:val="both"/>
              <w:rPr>
                <w:rFonts w:eastAsia="Calibri" w:cs="Arial"/>
                <w:lang w:val="en-GB"/>
              </w:rPr>
            </w:pPr>
            <w:r w:rsidRPr="009F0BDE">
              <w:rPr>
                <w:rFonts w:eastAsia="Calibri" w:cs="Arial"/>
                <w:lang w:val="en-GB"/>
              </w:rPr>
              <w:t>Netherlands</w:t>
            </w:r>
          </w:p>
          <w:p w14:paraId="44052847" w14:textId="77777777" w:rsidR="009F0BDE" w:rsidRPr="009F0BDE" w:rsidRDefault="009F0BDE" w:rsidP="009F0BDE">
            <w:pPr>
              <w:jc w:val="both"/>
              <w:rPr>
                <w:rFonts w:eastAsia="Calibri" w:cs="Arial"/>
                <w:lang w:val="it-IT"/>
              </w:rPr>
            </w:pPr>
            <w:r w:rsidRPr="009F0BDE">
              <w:rPr>
                <w:rFonts w:eastAsia="Calibri" w:cs="Arial"/>
                <w:lang w:val="it-IT"/>
              </w:rPr>
              <w:t>EU-28</w:t>
            </w:r>
          </w:p>
        </w:tc>
        <w:tc>
          <w:tcPr>
            <w:tcW w:w="1383" w:type="pct"/>
          </w:tcPr>
          <w:p w14:paraId="14E70D21" w14:textId="77777777" w:rsidR="009F0BDE" w:rsidRPr="009F0BDE" w:rsidRDefault="009F0BDE" w:rsidP="009F0BDE">
            <w:pPr>
              <w:jc w:val="both"/>
              <w:rPr>
                <w:rFonts w:eastAsia="Calibri" w:cs="Arial"/>
                <w:lang w:val="en-GB"/>
              </w:rPr>
            </w:pPr>
            <w:r w:rsidRPr="25EBFC90">
              <w:rPr>
                <w:rFonts w:eastAsia="Calibri" w:cs="Arial"/>
                <w:lang w:val="en-GB"/>
              </w:rPr>
              <w:t>Cradle-to-gate production of hydrogen by steam reforming</w:t>
            </w:r>
          </w:p>
          <w:p w14:paraId="7EEF5C96" w14:textId="77777777" w:rsidR="009F0BDE" w:rsidRPr="009F0BDE" w:rsidRDefault="009F0BDE" w:rsidP="009F0BDE">
            <w:pPr>
              <w:jc w:val="both"/>
              <w:rPr>
                <w:rFonts w:eastAsia="Calibri" w:cs="Arial"/>
                <w:lang w:val="en-GB"/>
              </w:rPr>
            </w:pPr>
          </w:p>
          <w:p w14:paraId="3FBFF023" w14:textId="1A4F1CCB" w:rsidR="009F0BDE" w:rsidRPr="009F0BDE" w:rsidRDefault="009F0BDE" w:rsidP="009F0BDE">
            <w:pPr>
              <w:jc w:val="both"/>
              <w:rPr>
                <w:rFonts w:eastAsia="Calibri" w:cs="Arial"/>
                <w:lang w:val="en-GB"/>
              </w:rPr>
            </w:pPr>
          </w:p>
        </w:tc>
        <w:tc>
          <w:tcPr>
            <w:tcW w:w="925" w:type="pct"/>
          </w:tcPr>
          <w:p w14:paraId="416C3C1E" w14:textId="77777777" w:rsidR="009F0BDE" w:rsidRPr="009F0BDE" w:rsidRDefault="009F0BDE" w:rsidP="009F0BDE">
            <w:pPr>
              <w:jc w:val="both"/>
              <w:rPr>
                <w:rFonts w:eastAsia="Calibri" w:cs="Arial"/>
                <w:lang w:val="en-GB"/>
              </w:rPr>
            </w:pPr>
            <w:r w:rsidRPr="009F0BDE">
              <w:rPr>
                <w:rFonts w:eastAsia="Calibri" w:cs="Arial"/>
                <w:lang w:val="en-GB"/>
              </w:rPr>
              <w:t>None.</w:t>
            </w:r>
          </w:p>
        </w:tc>
      </w:tr>
      <w:tr w:rsidR="009F0BDE" w:rsidRPr="009F0BDE" w14:paraId="4F868B74" w14:textId="77777777" w:rsidTr="25EBFC90">
        <w:trPr>
          <w:cantSplit/>
        </w:trPr>
        <w:tc>
          <w:tcPr>
            <w:tcW w:w="546" w:type="pct"/>
            <w:vMerge/>
          </w:tcPr>
          <w:p w14:paraId="0BB3B085" w14:textId="77777777" w:rsidR="009F0BDE" w:rsidRPr="009F0BDE" w:rsidRDefault="009F0BDE" w:rsidP="009F0BDE">
            <w:pPr>
              <w:jc w:val="both"/>
              <w:rPr>
                <w:rFonts w:eastAsia="Calibri" w:cs="Arial"/>
                <w:lang w:val="en-GB"/>
              </w:rPr>
            </w:pPr>
          </w:p>
        </w:tc>
        <w:tc>
          <w:tcPr>
            <w:tcW w:w="1054" w:type="pct"/>
          </w:tcPr>
          <w:p w14:paraId="078794CB" w14:textId="77777777" w:rsidR="009F0BDE" w:rsidRPr="009F0BDE" w:rsidRDefault="009F0BDE" w:rsidP="009F0BDE">
            <w:pPr>
              <w:keepNext/>
              <w:keepLines/>
              <w:spacing w:before="40"/>
              <w:outlineLvl w:val="1"/>
              <w:rPr>
                <w:rFonts w:eastAsia="Calibri" w:cs="Arial"/>
                <w:lang w:val="it-IT"/>
              </w:rPr>
            </w:pPr>
            <w:r w:rsidRPr="009F0BDE">
              <w:rPr>
                <w:rFonts w:eastAsia="Calibri" w:cs="Arial"/>
                <w:lang w:val="it-IT"/>
              </w:rPr>
              <w:t>hydrogen, town gas</w:t>
            </w:r>
          </w:p>
          <w:p w14:paraId="7763E53E" w14:textId="77777777" w:rsidR="009F0BDE" w:rsidRPr="009F0BDE" w:rsidRDefault="009F0BDE" w:rsidP="009F0BDE">
            <w:pPr>
              <w:jc w:val="both"/>
              <w:rPr>
                <w:rFonts w:eastAsia="Calibri" w:cs="Arial"/>
                <w:lang w:val="it-IT"/>
              </w:rPr>
            </w:pPr>
          </w:p>
        </w:tc>
        <w:tc>
          <w:tcPr>
            <w:tcW w:w="510" w:type="pct"/>
          </w:tcPr>
          <w:p w14:paraId="4E5E6FE3" w14:textId="77777777" w:rsidR="009F0BDE" w:rsidRPr="009F0BDE" w:rsidRDefault="009F0BDE" w:rsidP="009F0BDE">
            <w:pPr>
              <w:jc w:val="both"/>
              <w:rPr>
                <w:rFonts w:eastAsia="Calibri" w:cs="Arial"/>
                <w:lang w:val="it-IT"/>
              </w:rPr>
            </w:pPr>
            <w:r w:rsidRPr="009F0BDE">
              <w:rPr>
                <w:rFonts w:eastAsia="Calibri" w:cs="Arial"/>
                <w:lang w:val="it-IT"/>
              </w:rPr>
              <w:t>IDEA</w:t>
            </w:r>
          </w:p>
        </w:tc>
        <w:tc>
          <w:tcPr>
            <w:tcW w:w="582" w:type="pct"/>
          </w:tcPr>
          <w:p w14:paraId="17F734C1" w14:textId="77777777" w:rsidR="009F0BDE" w:rsidRPr="009F0BDE" w:rsidRDefault="009F0BDE" w:rsidP="009F0BDE">
            <w:pPr>
              <w:jc w:val="both"/>
              <w:rPr>
                <w:rFonts w:eastAsia="Calibri" w:cs="Arial"/>
                <w:lang w:val="it-IT"/>
              </w:rPr>
            </w:pPr>
            <w:r w:rsidRPr="009F0BDE">
              <w:rPr>
                <w:rFonts w:eastAsia="Calibri" w:cs="Arial"/>
                <w:lang w:val="it-IT"/>
              </w:rPr>
              <w:t>Japan</w:t>
            </w:r>
          </w:p>
        </w:tc>
        <w:tc>
          <w:tcPr>
            <w:tcW w:w="1383" w:type="pct"/>
          </w:tcPr>
          <w:p w14:paraId="01AF8910" w14:textId="77777777" w:rsidR="009F0BDE" w:rsidRPr="009F0BDE" w:rsidRDefault="009F0BDE" w:rsidP="009F0BDE">
            <w:pPr>
              <w:jc w:val="both"/>
              <w:rPr>
                <w:rFonts w:eastAsia="Calibri" w:cs="Arial"/>
                <w:lang w:val="en-GB"/>
              </w:rPr>
            </w:pPr>
            <w:r w:rsidRPr="009F0BDE">
              <w:rPr>
                <w:rFonts w:eastAsia="Calibri" w:cs="Arial"/>
                <w:lang w:val="en-GB"/>
              </w:rPr>
              <w:t xml:space="preserve">Gate-to-gate production of Hydrogen from “town gas” by steam reforming. </w:t>
            </w:r>
          </w:p>
        </w:tc>
        <w:tc>
          <w:tcPr>
            <w:tcW w:w="925" w:type="pct"/>
          </w:tcPr>
          <w:p w14:paraId="4629E016" w14:textId="77777777" w:rsidR="009F0BDE" w:rsidRPr="009F0BDE" w:rsidRDefault="009F0BDE" w:rsidP="009F0BDE">
            <w:pPr>
              <w:jc w:val="both"/>
              <w:rPr>
                <w:rFonts w:eastAsia="Calibri" w:cs="Arial"/>
                <w:lang w:val="en-GB"/>
              </w:rPr>
            </w:pPr>
            <w:r w:rsidRPr="009F0BDE">
              <w:rPr>
                <w:rFonts w:eastAsia="Calibri" w:cs="Arial"/>
                <w:lang w:val="en-GB"/>
              </w:rPr>
              <w:t>Data refers to 2004-2010 and the description of considered technologies is not provided.</w:t>
            </w:r>
          </w:p>
        </w:tc>
      </w:tr>
      <w:tr w:rsidR="009F0BDE" w:rsidRPr="009F0BDE" w14:paraId="3DF4C417" w14:textId="77777777" w:rsidTr="25EBFC90">
        <w:trPr>
          <w:cantSplit/>
        </w:trPr>
        <w:tc>
          <w:tcPr>
            <w:tcW w:w="546" w:type="pct"/>
            <w:vMerge/>
          </w:tcPr>
          <w:p w14:paraId="77A0BB5A" w14:textId="77777777" w:rsidR="009F0BDE" w:rsidRPr="009F0BDE" w:rsidRDefault="009F0BDE" w:rsidP="009F0BDE">
            <w:pPr>
              <w:jc w:val="both"/>
              <w:rPr>
                <w:rFonts w:eastAsia="Calibri" w:cs="Arial"/>
                <w:lang w:val="en-GB"/>
              </w:rPr>
            </w:pPr>
          </w:p>
        </w:tc>
        <w:tc>
          <w:tcPr>
            <w:tcW w:w="1054" w:type="pct"/>
          </w:tcPr>
          <w:p w14:paraId="6C406035" w14:textId="77777777" w:rsidR="009F0BDE" w:rsidRPr="009F0BDE" w:rsidRDefault="009F0BDE" w:rsidP="009F0BDE">
            <w:pPr>
              <w:jc w:val="both"/>
              <w:rPr>
                <w:rFonts w:eastAsia="Calibri" w:cs="Arial"/>
                <w:lang w:val="it-IT"/>
              </w:rPr>
            </w:pPr>
            <w:r w:rsidRPr="009F0BDE">
              <w:rPr>
                <w:rFonts w:eastAsia="Calibri" w:cs="Arial"/>
                <w:lang w:val="it-IT"/>
              </w:rPr>
              <w:t>hydrogen production; technology mix; production mix, at plant; 100% active substance</w:t>
            </w:r>
          </w:p>
        </w:tc>
        <w:tc>
          <w:tcPr>
            <w:tcW w:w="510" w:type="pct"/>
          </w:tcPr>
          <w:p w14:paraId="7CB7BC79" w14:textId="2A8751DB" w:rsidR="009F0BDE" w:rsidRPr="009F0BDE" w:rsidRDefault="001B3DF3" w:rsidP="009F0BDE">
            <w:pPr>
              <w:jc w:val="both"/>
              <w:rPr>
                <w:rFonts w:eastAsia="Calibri" w:cs="Arial"/>
                <w:lang w:val="it-IT"/>
              </w:rPr>
            </w:pPr>
            <w:r>
              <w:rPr>
                <w:rFonts w:eastAsia="Calibri" w:cs="Arial"/>
                <w:lang w:val="it-IT"/>
              </w:rPr>
              <w:t>e</w:t>
            </w:r>
            <w:r w:rsidR="009F0BDE" w:rsidRPr="009F0BDE">
              <w:rPr>
                <w:rFonts w:eastAsia="Calibri" w:cs="Arial"/>
                <w:lang w:val="it-IT"/>
              </w:rPr>
              <w:t>coinvent 3.6</w:t>
            </w:r>
          </w:p>
        </w:tc>
        <w:tc>
          <w:tcPr>
            <w:tcW w:w="582" w:type="pct"/>
          </w:tcPr>
          <w:p w14:paraId="2FC66B77" w14:textId="77777777" w:rsidR="009F0BDE" w:rsidRPr="009F0BDE" w:rsidRDefault="009F0BDE" w:rsidP="009F0BDE">
            <w:pPr>
              <w:jc w:val="both"/>
              <w:rPr>
                <w:rFonts w:eastAsia="Calibri" w:cs="Arial"/>
                <w:lang w:val="it-IT"/>
              </w:rPr>
            </w:pPr>
            <w:r w:rsidRPr="009F0BDE">
              <w:rPr>
                <w:rFonts w:eastAsia="Calibri" w:cs="Arial"/>
                <w:lang w:val="it-IT"/>
              </w:rPr>
              <w:t>EU+EFTA+UK</w:t>
            </w:r>
          </w:p>
        </w:tc>
        <w:tc>
          <w:tcPr>
            <w:tcW w:w="1383" w:type="pct"/>
          </w:tcPr>
          <w:p w14:paraId="6A15714B" w14:textId="77777777" w:rsidR="009F0BDE" w:rsidRPr="009F0BDE" w:rsidRDefault="009F0BDE" w:rsidP="009F0BDE">
            <w:pPr>
              <w:jc w:val="both"/>
              <w:rPr>
                <w:rFonts w:eastAsia="Calibri" w:cs="Arial"/>
                <w:lang w:val="en-GB"/>
              </w:rPr>
            </w:pPr>
            <w:r w:rsidRPr="009F0BDE">
              <w:rPr>
                <w:rFonts w:eastAsia="Calibri" w:cs="Arial"/>
                <w:lang w:val="en-GB"/>
              </w:rPr>
              <w:t>The dataset represents the production of one kg of hydrogen from steam cracking. The activity starts when the raw materials enter the process.</w:t>
            </w:r>
          </w:p>
          <w:p w14:paraId="53A84BDF" w14:textId="77777777" w:rsidR="009F0BDE" w:rsidRPr="009F0BDE" w:rsidRDefault="009F0BDE" w:rsidP="009F0BDE">
            <w:pPr>
              <w:jc w:val="both"/>
              <w:rPr>
                <w:rFonts w:eastAsia="Calibri" w:cs="Arial"/>
                <w:lang w:val="en-GB"/>
              </w:rPr>
            </w:pPr>
            <w:r w:rsidRPr="009F0BDE">
              <w:rPr>
                <w:rFonts w:eastAsia="Calibri" w:cs="Arial"/>
                <w:lang w:val="en-GB"/>
              </w:rPr>
              <w:t>Materials entering the process are included as well as energy uses, infrastructure and emissions.</w:t>
            </w:r>
          </w:p>
        </w:tc>
        <w:tc>
          <w:tcPr>
            <w:tcW w:w="925" w:type="pct"/>
          </w:tcPr>
          <w:p w14:paraId="7A738CFD" w14:textId="384C2A6A" w:rsidR="009F0BDE" w:rsidRPr="009F0BDE" w:rsidRDefault="5EB01EFC" w:rsidP="007A7973">
            <w:pPr>
              <w:jc w:val="both"/>
              <w:rPr>
                <w:rFonts w:eastAsia="Calibri" w:cs="Arial"/>
                <w:lang w:val="en-GB"/>
              </w:rPr>
            </w:pPr>
            <w:r w:rsidRPr="528E8AD9">
              <w:rPr>
                <w:rFonts w:eastAsia="Calibri" w:cs="Arial"/>
                <w:lang w:val="en-GB"/>
              </w:rPr>
              <w:t>None.</w:t>
            </w:r>
            <w:r w:rsidR="009F41CA">
              <w:rPr>
                <w:rFonts w:eastAsia="Calibri" w:cs="Arial"/>
                <w:lang w:val="en-GB"/>
              </w:rPr>
              <w:t xml:space="preserve"> The name of dataset, which includes</w:t>
            </w:r>
            <w:r w:rsidR="007A7973">
              <w:rPr>
                <w:rFonts w:eastAsia="Calibri" w:cs="Arial"/>
                <w:lang w:val="en-GB"/>
              </w:rPr>
              <w:t xml:space="preserve"> </w:t>
            </w:r>
            <w:r w:rsidR="007A7973">
              <w:rPr>
                <w:rFonts w:eastAsia="Calibri" w:cs="Arial"/>
              </w:rPr>
              <w:t>“technology mix” and</w:t>
            </w:r>
            <w:r w:rsidR="009F41CA">
              <w:rPr>
                <w:rFonts w:eastAsia="Calibri" w:cs="Arial"/>
                <w:lang w:val="en-GB"/>
              </w:rPr>
              <w:t xml:space="preserve"> “production mix” is </w:t>
            </w:r>
            <w:r w:rsidR="007A7973">
              <w:rPr>
                <w:rFonts w:eastAsia="Calibri" w:cs="Arial"/>
                <w:lang w:val="en-GB"/>
              </w:rPr>
              <w:t xml:space="preserve">not representing the actual technology </w:t>
            </w:r>
            <w:proofErr w:type="spellStart"/>
            <w:r w:rsidR="007A7973">
              <w:rPr>
                <w:rFonts w:eastAsia="Calibri" w:cs="Arial"/>
                <w:lang w:val="en-GB"/>
              </w:rPr>
              <w:t>modeled</w:t>
            </w:r>
            <w:proofErr w:type="spellEnd"/>
            <w:r w:rsidR="007A7973">
              <w:rPr>
                <w:rFonts w:eastAsia="Calibri" w:cs="Arial"/>
                <w:lang w:val="en-GB"/>
              </w:rPr>
              <w:t xml:space="preserve"> (steam cracking</w:t>
            </w:r>
            <w:r w:rsidR="007A7973">
              <w:rPr>
                <w:rFonts w:eastAsia="Calibri" w:cs="Arial"/>
              </w:rPr>
              <w:t>)</w:t>
            </w:r>
          </w:p>
        </w:tc>
      </w:tr>
      <w:tr w:rsidR="009F0BDE" w:rsidRPr="009F0BDE" w14:paraId="48A47B37" w14:textId="77777777" w:rsidTr="25EBFC90">
        <w:trPr>
          <w:cantSplit/>
          <w:trHeight w:val="300"/>
        </w:trPr>
        <w:tc>
          <w:tcPr>
            <w:tcW w:w="546" w:type="pct"/>
            <w:vMerge/>
          </w:tcPr>
          <w:p w14:paraId="72137BB2" w14:textId="77777777" w:rsidR="009F0BDE" w:rsidRPr="009F0BDE" w:rsidRDefault="009F0BDE" w:rsidP="009F0BDE">
            <w:pPr>
              <w:rPr>
                <w:rFonts w:eastAsia="Calibri" w:cs="Arial"/>
                <w:lang w:val="en-GB"/>
              </w:rPr>
            </w:pPr>
          </w:p>
        </w:tc>
        <w:tc>
          <w:tcPr>
            <w:tcW w:w="1054" w:type="pct"/>
          </w:tcPr>
          <w:p w14:paraId="707D5798" w14:textId="77777777" w:rsidR="009F0BDE" w:rsidRPr="009F0BDE" w:rsidRDefault="009F0BDE" w:rsidP="009F0BDE">
            <w:pPr>
              <w:jc w:val="both"/>
              <w:rPr>
                <w:rFonts w:eastAsia="Calibri" w:cs="Arial"/>
                <w:lang w:val="en-GB"/>
              </w:rPr>
            </w:pPr>
            <w:proofErr w:type="spellStart"/>
            <w:r w:rsidRPr="009F0BDE">
              <w:rPr>
                <w:rFonts w:eastAsia="Calibri" w:cs="Arial"/>
                <w:lang w:val="en-GB"/>
              </w:rPr>
              <w:t>chlor</w:t>
            </w:r>
            <w:proofErr w:type="spellEnd"/>
            <w:r w:rsidRPr="009F0BDE">
              <w:rPr>
                <w:rFonts w:eastAsia="Calibri" w:cs="Arial"/>
                <w:lang w:val="en-GB"/>
              </w:rPr>
              <w:t>-alkali electrolysis, membrane/mercury/ diaphragm cell</w:t>
            </w:r>
          </w:p>
        </w:tc>
        <w:tc>
          <w:tcPr>
            <w:tcW w:w="510" w:type="pct"/>
          </w:tcPr>
          <w:p w14:paraId="13964CD8" w14:textId="77777777" w:rsidR="009F0BDE" w:rsidRPr="009F0BDE" w:rsidRDefault="5EB01EFC" w:rsidP="528E8AD9">
            <w:pPr>
              <w:jc w:val="both"/>
              <w:rPr>
                <w:rFonts w:eastAsia="Calibri" w:cs="Arial"/>
                <w:lang w:val="it-IT"/>
              </w:rPr>
            </w:pPr>
            <w:r w:rsidRPr="25EBFC90">
              <w:rPr>
                <w:rFonts w:eastAsia="Calibri" w:cs="Arial"/>
                <w:lang w:val="it-IT"/>
              </w:rPr>
              <w:t>ecoinvent</w:t>
            </w:r>
          </w:p>
          <w:p w14:paraId="080EC03B" w14:textId="77777777" w:rsidR="009F0BDE" w:rsidRPr="009F0BDE" w:rsidRDefault="009F0BDE" w:rsidP="009F0BDE">
            <w:pPr>
              <w:jc w:val="both"/>
              <w:rPr>
                <w:rFonts w:eastAsia="Calibri" w:cs="Arial"/>
                <w:lang w:val="it-IT"/>
              </w:rPr>
            </w:pPr>
          </w:p>
        </w:tc>
        <w:tc>
          <w:tcPr>
            <w:tcW w:w="582" w:type="pct"/>
          </w:tcPr>
          <w:p w14:paraId="38F14F08" w14:textId="76625E64" w:rsidR="009F0BDE" w:rsidRPr="009F0BDE" w:rsidRDefault="5EB01EFC" w:rsidP="528E8AD9">
            <w:pPr>
              <w:jc w:val="both"/>
              <w:rPr>
                <w:rFonts w:eastAsia="Calibri" w:cs="Arial"/>
                <w:lang w:val="en-GB"/>
              </w:rPr>
            </w:pPr>
            <w:r w:rsidRPr="528E8AD9">
              <w:rPr>
                <w:rFonts w:eastAsia="Calibri" w:cs="Arial"/>
                <w:lang w:val="en-GB"/>
              </w:rPr>
              <w:t>Europe</w:t>
            </w:r>
            <w:r w:rsidR="02E05C2D" w:rsidRPr="528E8AD9">
              <w:rPr>
                <w:rFonts w:eastAsia="Calibri" w:cs="Arial"/>
                <w:lang w:val="en-GB"/>
              </w:rPr>
              <w:t>,</w:t>
            </w:r>
            <w:r w:rsidRPr="528E8AD9">
              <w:rPr>
                <w:rFonts w:eastAsia="Calibri" w:cs="Arial"/>
                <w:lang w:val="en-GB"/>
              </w:rPr>
              <w:t xml:space="preserve"> Canada</w:t>
            </w:r>
            <w:r w:rsidR="6915C712" w:rsidRPr="528E8AD9">
              <w:rPr>
                <w:rFonts w:eastAsia="Calibri" w:cs="Arial"/>
                <w:lang w:val="en-GB"/>
              </w:rPr>
              <w:t>,</w:t>
            </w:r>
          </w:p>
          <w:p w14:paraId="1C71B735" w14:textId="245C0990" w:rsidR="009F0BDE" w:rsidRPr="009F0BDE" w:rsidRDefault="5EB01EFC" w:rsidP="528E8AD9">
            <w:pPr>
              <w:jc w:val="both"/>
              <w:rPr>
                <w:rFonts w:eastAsia="Calibri" w:cs="Arial"/>
                <w:lang w:val="en-GB"/>
              </w:rPr>
            </w:pPr>
            <w:r w:rsidRPr="528E8AD9">
              <w:rPr>
                <w:rFonts w:eastAsia="Calibri" w:cs="Arial"/>
                <w:lang w:val="en-GB"/>
              </w:rPr>
              <w:t xml:space="preserve">Rest of the </w:t>
            </w:r>
            <w:r w:rsidR="0AC070CE" w:rsidRPr="528E8AD9">
              <w:rPr>
                <w:rFonts w:eastAsia="Calibri" w:cs="Arial"/>
                <w:lang w:val="en-GB"/>
              </w:rPr>
              <w:t>W</w:t>
            </w:r>
            <w:r w:rsidRPr="528E8AD9">
              <w:rPr>
                <w:rFonts w:eastAsia="Calibri" w:cs="Arial"/>
                <w:lang w:val="en-GB"/>
              </w:rPr>
              <w:t>orld</w:t>
            </w:r>
          </w:p>
        </w:tc>
        <w:tc>
          <w:tcPr>
            <w:tcW w:w="1383" w:type="pct"/>
          </w:tcPr>
          <w:p w14:paraId="518E22CD" w14:textId="77777777" w:rsidR="009F0BDE" w:rsidRPr="009F0BDE" w:rsidRDefault="009F0BDE" w:rsidP="009F0BDE">
            <w:pPr>
              <w:jc w:val="both"/>
              <w:rPr>
                <w:rFonts w:eastAsia="Times New Roman" w:cs="Times New Roman"/>
                <w:szCs w:val="20"/>
              </w:rPr>
            </w:pPr>
            <w:r w:rsidRPr="009F0BDE">
              <w:rPr>
                <w:rFonts w:eastAsia="Times New Roman" w:cs="Times New Roman"/>
                <w:szCs w:val="20"/>
              </w:rPr>
              <w:t xml:space="preserve">This dataset is referred to 1 kg of liquid hydrogen, which is a by-product, of the </w:t>
            </w:r>
            <w:proofErr w:type="spellStart"/>
            <w:r w:rsidRPr="009F0BDE">
              <w:rPr>
                <w:rFonts w:eastAsia="Times New Roman" w:cs="Times New Roman"/>
                <w:szCs w:val="20"/>
              </w:rPr>
              <w:t>chlor</w:t>
            </w:r>
            <w:proofErr w:type="spellEnd"/>
            <w:r w:rsidRPr="009F0BDE">
              <w:rPr>
                <w:rFonts w:eastAsia="Times New Roman" w:cs="Times New Roman"/>
                <w:szCs w:val="20"/>
              </w:rPr>
              <w:t>-alkali process used for production of chlorine and sodium hydroxide (</w:t>
            </w:r>
            <w:proofErr w:type="spellStart"/>
            <w:r w:rsidRPr="009F0BDE">
              <w:rPr>
                <w:rFonts w:eastAsia="Times New Roman" w:cs="Times New Roman"/>
                <w:szCs w:val="20"/>
              </w:rPr>
              <w:t>NaOH</w:t>
            </w:r>
            <w:proofErr w:type="spellEnd"/>
            <w:r w:rsidRPr="009F0BDE">
              <w:rPr>
                <w:rFonts w:eastAsia="Times New Roman" w:cs="Times New Roman"/>
                <w:szCs w:val="20"/>
              </w:rPr>
              <w:t>). Data sources and the allocation rules applied are documented.</w:t>
            </w:r>
          </w:p>
        </w:tc>
        <w:tc>
          <w:tcPr>
            <w:tcW w:w="925" w:type="pct"/>
          </w:tcPr>
          <w:p w14:paraId="54D9F54D" w14:textId="77777777" w:rsidR="009F0BDE" w:rsidRPr="009F0BDE" w:rsidRDefault="009F0BDE" w:rsidP="009F0BDE">
            <w:pPr>
              <w:jc w:val="both"/>
              <w:rPr>
                <w:rFonts w:eastAsia="Times New Roman" w:cs="Times New Roman"/>
                <w:szCs w:val="20"/>
                <w:lang w:val="it-IT"/>
              </w:rPr>
            </w:pPr>
            <w:r w:rsidRPr="009F0BDE">
              <w:rPr>
                <w:rFonts w:eastAsia="Times New Roman" w:cs="Times New Roman"/>
                <w:szCs w:val="20"/>
                <w:lang w:val="it-IT"/>
              </w:rPr>
              <w:t>None.</w:t>
            </w:r>
          </w:p>
        </w:tc>
      </w:tr>
      <w:tr w:rsidR="009F0BDE" w:rsidRPr="009F0BDE" w14:paraId="6DD79A79" w14:textId="77777777" w:rsidTr="25EBFC90">
        <w:trPr>
          <w:cantSplit/>
        </w:trPr>
        <w:tc>
          <w:tcPr>
            <w:tcW w:w="546" w:type="pct"/>
            <w:vMerge/>
          </w:tcPr>
          <w:p w14:paraId="6917CA90" w14:textId="77777777" w:rsidR="009F0BDE" w:rsidRPr="009F0BDE" w:rsidRDefault="009F0BDE" w:rsidP="009F0BDE">
            <w:pPr>
              <w:jc w:val="both"/>
              <w:rPr>
                <w:rFonts w:eastAsia="Calibri" w:cs="Arial"/>
                <w:lang w:val="it-IT"/>
              </w:rPr>
            </w:pPr>
          </w:p>
        </w:tc>
        <w:tc>
          <w:tcPr>
            <w:tcW w:w="1054" w:type="pct"/>
          </w:tcPr>
          <w:p w14:paraId="50C2F17E" w14:textId="77777777" w:rsidR="009F0BDE" w:rsidRPr="009F0BDE" w:rsidRDefault="009F0BDE" w:rsidP="009F0BDE">
            <w:pPr>
              <w:jc w:val="both"/>
              <w:rPr>
                <w:rFonts w:eastAsia="Calibri" w:cs="Arial"/>
                <w:lang w:val="en-GB"/>
              </w:rPr>
            </w:pPr>
            <w:r w:rsidRPr="009F0BDE">
              <w:rPr>
                <w:rFonts w:eastAsia="Calibri" w:cs="Arial"/>
                <w:lang w:val="en-GB"/>
              </w:rPr>
              <w:t>Hydrogen dispensing - for partly aggregation; technology mix; production mix, at dispenser; compressed gaseous hydrogen, up to 700 bar</w:t>
            </w:r>
          </w:p>
        </w:tc>
        <w:tc>
          <w:tcPr>
            <w:tcW w:w="510" w:type="pct"/>
          </w:tcPr>
          <w:p w14:paraId="61B7604A" w14:textId="77777777" w:rsidR="009F0BDE" w:rsidRPr="009F0BDE" w:rsidRDefault="009F0BDE" w:rsidP="009F0BDE">
            <w:pPr>
              <w:jc w:val="both"/>
              <w:rPr>
                <w:rFonts w:eastAsia="Calibri" w:cs="Arial"/>
                <w:lang w:val="it-IT"/>
              </w:rPr>
            </w:pPr>
            <w:r w:rsidRPr="009F0BDE">
              <w:rPr>
                <w:rFonts w:eastAsia="Calibri" w:cs="Arial"/>
                <w:lang w:val="it-IT"/>
              </w:rPr>
              <w:t>Sphera (Gabi 2020 database)</w:t>
            </w:r>
          </w:p>
        </w:tc>
        <w:tc>
          <w:tcPr>
            <w:tcW w:w="582" w:type="pct"/>
          </w:tcPr>
          <w:p w14:paraId="52F5D7D7" w14:textId="77777777" w:rsidR="009F0BDE" w:rsidRPr="009F0BDE" w:rsidRDefault="009F0BDE" w:rsidP="009F0BDE">
            <w:pPr>
              <w:jc w:val="both"/>
              <w:rPr>
                <w:rFonts w:eastAsia="Calibri" w:cs="Arial"/>
                <w:lang w:val="it-IT"/>
              </w:rPr>
            </w:pPr>
            <w:r w:rsidRPr="009F0BDE">
              <w:rPr>
                <w:rFonts w:eastAsia="Calibri" w:cs="Arial"/>
                <w:lang w:val="it-IT"/>
              </w:rPr>
              <w:t>Global</w:t>
            </w:r>
          </w:p>
        </w:tc>
        <w:tc>
          <w:tcPr>
            <w:tcW w:w="1383" w:type="pct"/>
          </w:tcPr>
          <w:p w14:paraId="3C662E98" w14:textId="77777777" w:rsidR="009F0BDE" w:rsidRPr="009F0BDE" w:rsidRDefault="009F0BDE" w:rsidP="009F0BDE">
            <w:pPr>
              <w:jc w:val="both"/>
              <w:rPr>
                <w:rFonts w:eastAsia="Calibri" w:cs="Arial"/>
              </w:rPr>
            </w:pPr>
            <w:r w:rsidRPr="25EBFC90">
              <w:rPr>
                <w:rFonts w:eastAsia="Calibri" w:cs="Arial"/>
                <w:lang w:val="en-GB"/>
              </w:rPr>
              <w:t xml:space="preserve">Operation, manufacture, maintenance and </w:t>
            </w:r>
            <w:proofErr w:type="spellStart"/>
            <w:r w:rsidRPr="25EBFC90">
              <w:rPr>
                <w:rFonts w:eastAsia="Calibri" w:cs="Arial"/>
                <w:lang w:val="en-GB"/>
              </w:rPr>
              <w:t>EoL</w:t>
            </w:r>
            <w:proofErr w:type="spellEnd"/>
            <w:r w:rsidRPr="25EBFC90">
              <w:rPr>
                <w:rFonts w:eastAsia="Calibri" w:cs="Arial"/>
                <w:lang w:val="en-GB"/>
              </w:rPr>
              <w:t xml:space="preserve"> of all necessary equipment of the filling station.</w:t>
            </w:r>
          </w:p>
        </w:tc>
        <w:tc>
          <w:tcPr>
            <w:tcW w:w="925" w:type="pct"/>
          </w:tcPr>
          <w:p w14:paraId="37164EBE" w14:textId="77777777" w:rsidR="009F0BDE" w:rsidRPr="009F0BDE" w:rsidRDefault="009F0BDE" w:rsidP="009F0BDE">
            <w:pPr>
              <w:jc w:val="both"/>
              <w:rPr>
                <w:rFonts w:eastAsia="Calibri" w:cs="Arial"/>
                <w:lang w:val="en-GB"/>
              </w:rPr>
            </w:pPr>
            <w:r w:rsidRPr="009F0BDE">
              <w:rPr>
                <w:rFonts w:eastAsia="Calibri" w:cs="Arial"/>
                <w:lang w:val="en-GB"/>
              </w:rPr>
              <w:t>The dataset is developed from literature data but the specific references are unspecified.</w:t>
            </w:r>
          </w:p>
        </w:tc>
      </w:tr>
      <w:tr w:rsidR="009F0BDE" w:rsidRPr="009F0BDE" w14:paraId="76CC3D5C" w14:textId="77777777" w:rsidTr="25EBFC90">
        <w:trPr>
          <w:cantSplit/>
        </w:trPr>
        <w:tc>
          <w:tcPr>
            <w:tcW w:w="546" w:type="pct"/>
            <w:vMerge/>
          </w:tcPr>
          <w:p w14:paraId="034E10CB" w14:textId="77777777" w:rsidR="009F0BDE" w:rsidRPr="009F0BDE" w:rsidRDefault="009F0BDE" w:rsidP="009F0BDE">
            <w:pPr>
              <w:jc w:val="both"/>
              <w:rPr>
                <w:rFonts w:eastAsia="Calibri" w:cs="Arial"/>
                <w:lang w:val="en-GB"/>
              </w:rPr>
            </w:pPr>
          </w:p>
        </w:tc>
        <w:tc>
          <w:tcPr>
            <w:tcW w:w="1054" w:type="pct"/>
          </w:tcPr>
          <w:p w14:paraId="64E6E089" w14:textId="77777777" w:rsidR="009F0BDE" w:rsidRPr="009F0BDE" w:rsidRDefault="009F0BDE" w:rsidP="009F0BDE">
            <w:pPr>
              <w:jc w:val="both"/>
              <w:rPr>
                <w:rFonts w:eastAsia="Calibri" w:cs="Arial"/>
                <w:lang w:val="en-GB"/>
              </w:rPr>
            </w:pPr>
            <w:r w:rsidRPr="009F0BDE">
              <w:rPr>
                <w:rFonts w:eastAsia="Calibri" w:cs="Arial"/>
                <w:lang w:val="en-GB"/>
              </w:rPr>
              <w:t>Compression of hydrogen; Diaphragm compressor; production mix, at compressor; compressed gaseous hydrogen, up to 700 bar</w:t>
            </w:r>
          </w:p>
        </w:tc>
        <w:tc>
          <w:tcPr>
            <w:tcW w:w="510" w:type="pct"/>
          </w:tcPr>
          <w:p w14:paraId="0840C8BC" w14:textId="77777777" w:rsidR="009F0BDE" w:rsidRPr="009F0BDE" w:rsidRDefault="009F0BDE" w:rsidP="009F0BDE">
            <w:pPr>
              <w:jc w:val="both"/>
              <w:rPr>
                <w:rFonts w:eastAsia="Calibri" w:cs="Arial"/>
                <w:lang w:val="it-IT"/>
              </w:rPr>
            </w:pPr>
            <w:r w:rsidRPr="009F0BDE">
              <w:rPr>
                <w:rFonts w:eastAsia="Calibri" w:cs="Arial"/>
                <w:lang w:val="it-IT"/>
              </w:rPr>
              <w:t>Sphera (Gabi 2020 database)</w:t>
            </w:r>
          </w:p>
        </w:tc>
        <w:tc>
          <w:tcPr>
            <w:tcW w:w="582" w:type="pct"/>
          </w:tcPr>
          <w:p w14:paraId="38617A10" w14:textId="77777777" w:rsidR="009F0BDE" w:rsidRPr="009F0BDE" w:rsidRDefault="009F0BDE" w:rsidP="009F0BDE">
            <w:pPr>
              <w:jc w:val="both"/>
              <w:rPr>
                <w:rFonts w:eastAsia="Calibri" w:cs="Arial"/>
                <w:lang w:val="it-IT"/>
              </w:rPr>
            </w:pPr>
            <w:r w:rsidRPr="009F0BDE">
              <w:rPr>
                <w:rFonts w:eastAsia="Calibri" w:cs="Arial"/>
                <w:lang w:val="it-IT"/>
              </w:rPr>
              <w:t>Global</w:t>
            </w:r>
          </w:p>
        </w:tc>
        <w:tc>
          <w:tcPr>
            <w:tcW w:w="1383" w:type="pct"/>
          </w:tcPr>
          <w:p w14:paraId="0E948046" w14:textId="77777777" w:rsidR="009F0BDE" w:rsidRPr="009F0BDE" w:rsidRDefault="009F0BDE" w:rsidP="009F0BDE">
            <w:pPr>
              <w:jc w:val="both"/>
              <w:rPr>
                <w:rFonts w:eastAsia="Calibri" w:cs="Arial"/>
                <w:lang w:val="en-GB"/>
              </w:rPr>
            </w:pPr>
            <w:r w:rsidRPr="009F0BDE">
              <w:rPr>
                <w:rFonts w:eastAsia="Calibri" w:cs="Arial"/>
                <w:lang w:val="en-GB"/>
              </w:rPr>
              <w:t xml:space="preserve">Use phase of a hydrogen compressor. </w:t>
            </w:r>
          </w:p>
        </w:tc>
        <w:tc>
          <w:tcPr>
            <w:tcW w:w="925" w:type="pct"/>
          </w:tcPr>
          <w:p w14:paraId="7209A357" w14:textId="77777777" w:rsidR="009F0BDE" w:rsidRPr="009F0BDE" w:rsidRDefault="009F0BDE" w:rsidP="009F0BDE">
            <w:pPr>
              <w:jc w:val="both"/>
              <w:rPr>
                <w:rFonts w:eastAsia="Calibri" w:cs="Arial"/>
                <w:lang w:val="en-GB"/>
              </w:rPr>
            </w:pPr>
            <w:r w:rsidRPr="009F0BDE">
              <w:rPr>
                <w:rFonts w:eastAsia="Calibri" w:cs="Arial"/>
                <w:lang w:val="en-GB"/>
              </w:rPr>
              <w:t>It is unspecified if other lifecycle stages such as the manufacturing of the compressor are included.</w:t>
            </w:r>
          </w:p>
        </w:tc>
      </w:tr>
      <w:tr w:rsidR="009F0BDE" w:rsidRPr="009F0BDE" w14:paraId="562804A3" w14:textId="77777777" w:rsidTr="25EBFC90">
        <w:trPr>
          <w:cantSplit/>
        </w:trPr>
        <w:tc>
          <w:tcPr>
            <w:tcW w:w="546" w:type="pct"/>
            <w:vMerge w:val="restart"/>
          </w:tcPr>
          <w:p w14:paraId="145ADCE6" w14:textId="77777777" w:rsidR="009F0BDE" w:rsidRPr="009F0BDE" w:rsidRDefault="009F0BDE" w:rsidP="009F0BDE">
            <w:pPr>
              <w:jc w:val="both"/>
              <w:rPr>
                <w:rFonts w:eastAsia="Calibri" w:cs="Arial"/>
                <w:lang w:val="it-IT"/>
              </w:rPr>
            </w:pPr>
            <w:r w:rsidRPr="25EBFC90">
              <w:rPr>
                <w:rFonts w:eastAsia="Calibri" w:cs="Arial"/>
                <w:lang w:val="it-IT"/>
              </w:rPr>
              <w:t>Fuel Cells</w:t>
            </w:r>
          </w:p>
        </w:tc>
        <w:tc>
          <w:tcPr>
            <w:tcW w:w="1054" w:type="pct"/>
          </w:tcPr>
          <w:p w14:paraId="7CD91B5F" w14:textId="77777777" w:rsidR="009F0BDE" w:rsidRPr="009F0BDE" w:rsidRDefault="009F0BDE" w:rsidP="009F0BDE">
            <w:pPr>
              <w:jc w:val="both"/>
              <w:rPr>
                <w:rFonts w:eastAsia="Calibri" w:cs="Arial"/>
                <w:lang w:val="it-IT"/>
              </w:rPr>
            </w:pPr>
            <w:r w:rsidRPr="009F0BDE">
              <w:rPr>
                <w:rFonts w:eastAsia="Calibri" w:cs="Arial"/>
                <w:lang w:val="it-IT"/>
              </w:rPr>
              <w:t>fuel cell production, polymer electrolyte membrane, 2kW electrical, future</w:t>
            </w:r>
          </w:p>
        </w:tc>
        <w:tc>
          <w:tcPr>
            <w:tcW w:w="510" w:type="pct"/>
          </w:tcPr>
          <w:p w14:paraId="2FFC1814" w14:textId="77777777" w:rsidR="009F0BDE" w:rsidRPr="009F0BDE" w:rsidRDefault="009F0BDE" w:rsidP="009F0BDE">
            <w:pPr>
              <w:jc w:val="both"/>
              <w:rPr>
                <w:rFonts w:eastAsia="Calibri" w:cs="Arial"/>
                <w:lang w:val="it-IT"/>
              </w:rPr>
            </w:pPr>
            <w:r w:rsidRPr="009F0BDE">
              <w:rPr>
                <w:rFonts w:eastAsia="Calibri" w:cs="Arial"/>
                <w:lang w:val="it-IT"/>
              </w:rPr>
              <w:t>ecoinvent 3.6</w:t>
            </w:r>
          </w:p>
        </w:tc>
        <w:tc>
          <w:tcPr>
            <w:tcW w:w="582" w:type="pct"/>
          </w:tcPr>
          <w:p w14:paraId="753487D0" w14:textId="77777777" w:rsidR="009F0BDE" w:rsidRPr="009F0BDE" w:rsidRDefault="009F0BDE" w:rsidP="009F0BDE">
            <w:pPr>
              <w:jc w:val="both"/>
              <w:rPr>
                <w:rFonts w:eastAsia="Calibri" w:cs="Arial"/>
                <w:lang w:val="en-GB"/>
              </w:rPr>
            </w:pPr>
            <w:r w:rsidRPr="009F0BDE">
              <w:rPr>
                <w:rFonts w:eastAsia="Calibri" w:cs="Arial"/>
                <w:lang w:val="en-GB"/>
              </w:rPr>
              <w:t>Switzerland,</w:t>
            </w:r>
          </w:p>
          <w:p w14:paraId="7B4B1A83" w14:textId="77777777" w:rsidR="009F0BDE" w:rsidRPr="009F0BDE" w:rsidRDefault="009F0BDE" w:rsidP="009F0BDE">
            <w:pPr>
              <w:jc w:val="both"/>
              <w:rPr>
                <w:rFonts w:eastAsia="Calibri" w:cs="Arial"/>
                <w:lang w:val="en-GB"/>
              </w:rPr>
            </w:pPr>
            <w:r w:rsidRPr="009F0BDE">
              <w:rPr>
                <w:rFonts w:eastAsia="Calibri" w:cs="Arial"/>
                <w:lang w:val="en-GB"/>
              </w:rPr>
              <w:t>Rest of the World</w:t>
            </w:r>
          </w:p>
        </w:tc>
        <w:tc>
          <w:tcPr>
            <w:tcW w:w="1383" w:type="pct"/>
          </w:tcPr>
          <w:p w14:paraId="0B451FC9" w14:textId="77777777" w:rsidR="009F0BDE" w:rsidRPr="009F0BDE" w:rsidRDefault="009F0BDE" w:rsidP="009F0BDE">
            <w:pPr>
              <w:jc w:val="both"/>
              <w:rPr>
                <w:rFonts w:eastAsia="Calibri" w:cs="Arial"/>
                <w:lang w:val="en-GB"/>
              </w:rPr>
            </w:pPr>
            <w:r w:rsidRPr="009F0BDE">
              <w:rPr>
                <w:rFonts w:eastAsia="Calibri" w:cs="Arial"/>
                <w:lang w:val="en-GB"/>
              </w:rPr>
              <w:t>Manufacturing phase (upstream processes are unspecified</w:t>
            </w:r>
            <w:r w:rsidRPr="009F0BDE">
              <w:rPr>
                <w:rFonts w:eastAsia="Calibri" w:cs="Arial"/>
              </w:rPr>
              <w:t>)</w:t>
            </w:r>
            <w:r w:rsidRPr="009F0BDE">
              <w:rPr>
                <w:rFonts w:eastAsia="Calibri" w:cs="Arial"/>
                <w:lang w:val="en-GB"/>
              </w:rPr>
              <w:t>. Developed based on literature and manufacturer data. Assumptions include the use of “expected future values for a serial product”.</w:t>
            </w:r>
          </w:p>
        </w:tc>
        <w:tc>
          <w:tcPr>
            <w:tcW w:w="925" w:type="pct"/>
          </w:tcPr>
          <w:p w14:paraId="75E10FCC" w14:textId="77777777" w:rsidR="009F0BDE" w:rsidRPr="009F0BDE" w:rsidRDefault="009F0BDE" w:rsidP="009F0BDE">
            <w:pPr>
              <w:jc w:val="both"/>
              <w:rPr>
                <w:rFonts w:eastAsia="Calibri" w:cs="Arial"/>
                <w:lang w:val="en-GB"/>
              </w:rPr>
            </w:pPr>
            <w:r w:rsidRPr="009F0BDE">
              <w:rPr>
                <w:rFonts w:eastAsia="Calibri" w:cs="Arial"/>
                <w:lang w:val="en-GB"/>
              </w:rPr>
              <w:t>Data sources used for estimations are unspecified.</w:t>
            </w:r>
          </w:p>
        </w:tc>
      </w:tr>
      <w:tr w:rsidR="009F0BDE" w:rsidRPr="009F0BDE" w14:paraId="2562A125" w14:textId="77777777" w:rsidTr="25EBFC90">
        <w:trPr>
          <w:cantSplit/>
        </w:trPr>
        <w:tc>
          <w:tcPr>
            <w:tcW w:w="546" w:type="pct"/>
            <w:vMerge/>
          </w:tcPr>
          <w:p w14:paraId="5846C10C" w14:textId="77777777" w:rsidR="009F0BDE" w:rsidRPr="009F0BDE" w:rsidRDefault="009F0BDE" w:rsidP="009F0BDE">
            <w:pPr>
              <w:jc w:val="both"/>
              <w:rPr>
                <w:rFonts w:eastAsia="Calibri" w:cs="Arial"/>
                <w:lang w:val="en-GB"/>
              </w:rPr>
            </w:pPr>
          </w:p>
        </w:tc>
        <w:tc>
          <w:tcPr>
            <w:tcW w:w="1054" w:type="pct"/>
          </w:tcPr>
          <w:p w14:paraId="2D68CF6A" w14:textId="77777777" w:rsidR="009F0BDE" w:rsidRPr="009F0BDE" w:rsidRDefault="009F0BDE" w:rsidP="009F0BDE">
            <w:pPr>
              <w:jc w:val="both"/>
              <w:rPr>
                <w:rFonts w:eastAsia="Calibri" w:cs="Arial"/>
                <w:lang w:val="en-GB"/>
              </w:rPr>
            </w:pPr>
            <w:r w:rsidRPr="009F0BDE">
              <w:rPr>
                <w:rFonts w:eastAsia="Calibri" w:cs="Arial"/>
                <w:lang w:val="en-GB"/>
              </w:rPr>
              <w:t>fuel cell production, solid oxide, 125kW electrical, future</w:t>
            </w:r>
          </w:p>
        </w:tc>
        <w:tc>
          <w:tcPr>
            <w:tcW w:w="510" w:type="pct"/>
          </w:tcPr>
          <w:p w14:paraId="28E9D81F" w14:textId="77777777" w:rsidR="009F0BDE" w:rsidRPr="009F0BDE" w:rsidRDefault="009F0BDE" w:rsidP="009F0BDE">
            <w:pPr>
              <w:jc w:val="both"/>
              <w:rPr>
                <w:rFonts w:eastAsia="Calibri" w:cs="Arial"/>
                <w:lang w:val="it-IT"/>
              </w:rPr>
            </w:pPr>
            <w:r w:rsidRPr="009F0BDE">
              <w:rPr>
                <w:rFonts w:eastAsia="Calibri" w:cs="Arial"/>
                <w:lang w:val="it-IT"/>
              </w:rPr>
              <w:t>ecoinvent 3.6</w:t>
            </w:r>
          </w:p>
        </w:tc>
        <w:tc>
          <w:tcPr>
            <w:tcW w:w="582" w:type="pct"/>
          </w:tcPr>
          <w:p w14:paraId="2E14E319" w14:textId="77777777" w:rsidR="009F0BDE" w:rsidRPr="009F0BDE" w:rsidRDefault="009F0BDE" w:rsidP="009F0BDE">
            <w:pPr>
              <w:jc w:val="both"/>
              <w:rPr>
                <w:rFonts w:eastAsia="Calibri" w:cs="Arial"/>
                <w:lang w:val="en-GB"/>
              </w:rPr>
            </w:pPr>
            <w:r w:rsidRPr="009F0BDE">
              <w:rPr>
                <w:rFonts w:eastAsia="Calibri" w:cs="Arial"/>
                <w:lang w:val="en-GB"/>
              </w:rPr>
              <w:t>Switzerland,</w:t>
            </w:r>
          </w:p>
          <w:p w14:paraId="7258F4A5" w14:textId="77777777" w:rsidR="009F0BDE" w:rsidRPr="009F0BDE" w:rsidRDefault="009F0BDE" w:rsidP="009F0BDE">
            <w:pPr>
              <w:jc w:val="both"/>
              <w:rPr>
                <w:rFonts w:eastAsia="Calibri" w:cs="Arial"/>
                <w:lang w:val="en-GB"/>
              </w:rPr>
            </w:pPr>
            <w:r w:rsidRPr="009F0BDE">
              <w:rPr>
                <w:rFonts w:eastAsia="Calibri" w:cs="Arial"/>
                <w:lang w:val="en-GB"/>
              </w:rPr>
              <w:t>Rest of the World</w:t>
            </w:r>
          </w:p>
        </w:tc>
        <w:tc>
          <w:tcPr>
            <w:tcW w:w="1383" w:type="pct"/>
          </w:tcPr>
          <w:p w14:paraId="59AE517B" w14:textId="77777777" w:rsidR="009F0BDE" w:rsidRPr="009F0BDE" w:rsidRDefault="009F0BDE" w:rsidP="009F0BDE">
            <w:pPr>
              <w:jc w:val="both"/>
              <w:rPr>
                <w:rFonts w:eastAsia="Calibri" w:cs="Arial"/>
                <w:lang w:val="en-GB"/>
              </w:rPr>
            </w:pPr>
            <w:r w:rsidRPr="009F0BDE">
              <w:rPr>
                <w:rFonts w:eastAsia="Calibri" w:cs="Arial"/>
                <w:lang w:val="en-GB"/>
              </w:rPr>
              <w:t>Manufacturing phase (upstream processes are unspecified</w:t>
            </w:r>
            <w:r w:rsidRPr="009F0BDE">
              <w:rPr>
                <w:rFonts w:eastAsia="Calibri" w:cs="Arial"/>
              </w:rPr>
              <w:t>)</w:t>
            </w:r>
            <w:r w:rsidRPr="009F0BDE">
              <w:rPr>
                <w:rFonts w:eastAsia="Calibri" w:cs="Arial"/>
                <w:lang w:val="en-GB"/>
              </w:rPr>
              <w:t>. Developed based on literature and manufacturer data. Assumptions include the use of “expected future values for a serial product”.</w:t>
            </w:r>
          </w:p>
        </w:tc>
        <w:tc>
          <w:tcPr>
            <w:tcW w:w="925" w:type="pct"/>
          </w:tcPr>
          <w:p w14:paraId="0F78B91F" w14:textId="77777777" w:rsidR="009F0BDE" w:rsidRPr="009F0BDE" w:rsidRDefault="009F0BDE" w:rsidP="009F0BDE">
            <w:pPr>
              <w:jc w:val="both"/>
              <w:rPr>
                <w:rFonts w:eastAsia="Calibri" w:cs="Arial"/>
                <w:lang w:val="en-GB"/>
              </w:rPr>
            </w:pPr>
            <w:r w:rsidRPr="009F0BDE">
              <w:rPr>
                <w:rFonts w:eastAsia="Calibri" w:cs="Arial"/>
                <w:lang w:val="en-GB"/>
              </w:rPr>
              <w:t>Data sources used for estimations are unspecified.</w:t>
            </w:r>
          </w:p>
        </w:tc>
      </w:tr>
      <w:tr w:rsidR="009F0BDE" w:rsidRPr="009F0BDE" w14:paraId="6C6B6445" w14:textId="77777777" w:rsidTr="25EBFC90">
        <w:trPr>
          <w:cantSplit/>
        </w:trPr>
        <w:tc>
          <w:tcPr>
            <w:tcW w:w="546" w:type="pct"/>
            <w:vMerge/>
          </w:tcPr>
          <w:p w14:paraId="53CCDBD6" w14:textId="77777777" w:rsidR="009F0BDE" w:rsidRPr="009F0BDE" w:rsidRDefault="009F0BDE" w:rsidP="009F0BDE">
            <w:pPr>
              <w:jc w:val="both"/>
              <w:rPr>
                <w:rFonts w:eastAsia="Calibri" w:cs="Arial"/>
                <w:lang w:val="en-GB"/>
              </w:rPr>
            </w:pPr>
          </w:p>
        </w:tc>
        <w:tc>
          <w:tcPr>
            <w:tcW w:w="1054" w:type="pct"/>
          </w:tcPr>
          <w:p w14:paraId="751A80F2" w14:textId="77777777" w:rsidR="009F0BDE" w:rsidRPr="009F0BDE" w:rsidRDefault="009F0BDE" w:rsidP="009F0BDE">
            <w:pPr>
              <w:jc w:val="both"/>
              <w:rPr>
                <w:rFonts w:eastAsia="Calibri" w:cs="Arial"/>
                <w:lang w:val="en-GB"/>
              </w:rPr>
            </w:pPr>
            <w:r w:rsidRPr="009F0BDE">
              <w:rPr>
                <w:rFonts w:eastAsia="Calibri" w:cs="Arial"/>
                <w:lang w:val="en-GB"/>
              </w:rPr>
              <w:t xml:space="preserve">Fuel Cell System ; fuel cell manufacturing and disposal; production mix, at plant, inclusive </w:t>
            </w:r>
            <w:proofErr w:type="spellStart"/>
            <w:r w:rsidRPr="009F0BDE">
              <w:rPr>
                <w:rFonts w:eastAsia="Calibri" w:cs="Arial"/>
                <w:lang w:val="en-GB"/>
              </w:rPr>
              <w:t>EoL</w:t>
            </w:r>
            <w:proofErr w:type="spellEnd"/>
            <w:r w:rsidRPr="009F0BDE">
              <w:rPr>
                <w:rFonts w:eastAsia="Calibri" w:cs="Arial"/>
                <w:lang w:val="en-GB"/>
              </w:rPr>
              <w:t xml:space="preserve">; production and disposal of one unit mobile fuel cell system, power (gross) of 100 kW, </w:t>
            </w:r>
            <w:proofErr w:type="spellStart"/>
            <w:r w:rsidRPr="009F0BDE">
              <w:rPr>
                <w:rFonts w:eastAsia="Calibri" w:cs="Arial"/>
                <w:lang w:val="en-GB"/>
              </w:rPr>
              <w:t>Platinium</w:t>
            </w:r>
            <w:proofErr w:type="spellEnd"/>
            <w:r w:rsidRPr="009F0BDE">
              <w:rPr>
                <w:rFonts w:eastAsia="Calibri" w:cs="Arial"/>
                <w:lang w:val="en-GB"/>
              </w:rPr>
              <w:t xml:space="preserve"> load 0.2525 g/kW</w:t>
            </w:r>
          </w:p>
        </w:tc>
        <w:tc>
          <w:tcPr>
            <w:tcW w:w="510" w:type="pct"/>
          </w:tcPr>
          <w:p w14:paraId="14D1CCD0" w14:textId="77777777" w:rsidR="009F0BDE" w:rsidRPr="009F0BDE" w:rsidRDefault="009F0BDE" w:rsidP="009F0BDE">
            <w:pPr>
              <w:jc w:val="both"/>
              <w:rPr>
                <w:rFonts w:eastAsia="Calibri" w:cs="Arial"/>
                <w:lang w:val="it-IT"/>
              </w:rPr>
            </w:pPr>
            <w:r w:rsidRPr="009F0BDE">
              <w:rPr>
                <w:rFonts w:eastAsia="Calibri" w:cs="Arial"/>
                <w:lang w:val="it-IT"/>
              </w:rPr>
              <w:t>MLC Database Premium - Energy 2024</w:t>
            </w:r>
          </w:p>
        </w:tc>
        <w:tc>
          <w:tcPr>
            <w:tcW w:w="582" w:type="pct"/>
          </w:tcPr>
          <w:p w14:paraId="4FAAF5A5" w14:textId="77777777" w:rsidR="009F0BDE" w:rsidRPr="009F0BDE" w:rsidRDefault="009F0BDE" w:rsidP="009F0BDE">
            <w:pPr>
              <w:jc w:val="both"/>
              <w:rPr>
                <w:rFonts w:eastAsia="Calibri" w:cs="Arial"/>
                <w:lang w:val="en-GB"/>
              </w:rPr>
            </w:pPr>
            <w:r w:rsidRPr="009F0BDE">
              <w:rPr>
                <w:rFonts w:eastAsia="Calibri" w:cs="Arial"/>
                <w:lang w:val="en-GB"/>
              </w:rPr>
              <w:t>Europe</w:t>
            </w:r>
          </w:p>
        </w:tc>
        <w:tc>
          <w:tcPr>
            <w:tcW w:w="1383" w:type="pct"/>
          </w:tcPr>
          <w:p w14:paraId="6C9E899D" w14:textId="77777777" w:rsidR="009F0BDE" w:rsidRPr="009F0BDE" w:rsidRDefault="009F0BDE" w:rsidP="009F0BDE">
            <w:pPr>
              <w:jc w:val="both"/>
              <w:rPr>
                <w:rFonts w:eastAsia="Calibri" w:cs="Arial"/>
                <w:lang w:val="en-GB"/>
              </w:rPr>
            </w:pPr>
            <w:r w:rsidRPr="009F0BDE">
              <w:rPr>
                <w:rFonts w:eastAsia="Calibri" w:cs="Arial"/>
                <w:lang w:val="en-GB"/>
              </w:rPr>
              <w:t>The dataset comprehends a Lifecycle Inventory for the production and the disposal of one fuel cell system consisting of the stack and the Balance of Plant (</w:t>
            </w:r>
            <w:proofErr w:type="spellStart"/>
            <w:r w:rsidRPr="009F0BDE">
              <w:rPr>
                <w:rFonts w:eastAsia="Calibri" w:cs="Arial"/>
                <w:lang w:val="en-GB"/>
              </w:rPr>
              <w:t>BoP</w:t>
            </w:r>
            <w:proofErr w:type="spellEnd"/>
            <w:r w:rsidRPr="009F0BDE">
              <w:rPr>
                <w:rFonts w:eastAsia="Calibri" w:cs="Arial"/>
                <w:lang w:val="en-GB"/>
              </w:rPr>
              <w:t>). Its gross power output is 100 kW. The platinum load is fixed to 0.2525 g/kW. The endplate is made of epoxy and glass fibre and the housing consists of aluminium. The inventory is based on public data.</w:t>
            </w:r>
          </w:p>
        </w:tc>
        <w:tc>
          <w:tcPr>
            <w:tcW w:w="925" w:type="pct"/>
          </w:tcPr>
          <w:p w14:paraId="1912419A" w14:textId="77777777" w:rsidR="009F0BDE" w:rsidRPr="009F0BDE" w:rsidRDefault="009F0BDE" w:rsidP="009F0BDE">
            <w:pPr>
              <w:jc w:val="both"/>
              <w:rPr>
                <w:rFonts w:eastAsia="Calibri" w:cs="Arial"/>
                <w:lang w:val="en-GB"/>
              </w:rPr>
            </w:pPr>
            <w:r w:rsidRPr="009F0BDE">
              <w:rPr>
                <w:rFonts w:eastAsia="Calibri" w:cs="Arial"/>
                <w:lang w:val="en-GB"/>
              </w:rPr>
              <w:t>Type of cell is not clearly specified.</w:t>
            </w:r>
          </w:p>
        </w:tc>
      </w:tr>
      <w:tr w:rsidR="009F0BDE" w:rsidRPr="009F0BDE" w14:paraId="588A8BFD" w14:textId="77777777" w:rsidTr="25EBFC90">
        <w:trPr>
          <w:cantSplit/>
        </w:trPr>
        <w:tc>
          <w:tcPr>
            <w:tcW w:w="546" w:type="pct"/>
            <w:vMerge/>
          </w:tcPr>
          <w:p w14:paraId="6EF2952A" w14:textId="77777777" w:rsidR="009F0BDE" w:rsidRPr="009F0BDE" w:rsidRDefault="009F0BDE" w:rsidP="009F0BDE">
            <w:pPr>
              <w:jc w:val="both"/>
              <w:rPr>
                <w:rFonts w:eastAsia="Calibri" w:cs="Arial"/>
                <w:lang w:val="en-GB"/>
              </w:rPr>
            </w:pPr>
          </w:p>
        </w:tc>
        <w:tc>
          <w:tcPr>
            <w:tcW w:w="1054" w:type="pct"/>
          </w:tcPr>
          <w:p w14:paraId="6B514DE3" w14:textId="79E7AC54" w:rsidR="009F0BDE" w:rsidRPr="009F0BDE" w:rsidRDefault="5EB01EFC" w:rsidP="528E8AD9">
            <w:pPr>
              <w:jc w:val="both"/>
              <w:rPr>
                <w:rFonts w:eastAsia="Calibri" w:cs="Arial"/>
                <w:lang w:val="en-GB"/>
              </w:rPr>
            </w:pPr>
            <w:r w:rsidRPr="528E8AD9">
              <w:rPr>
                <w:rFonts w:eastAsia="Calibri" w:cs="Arial"/>
                <w:lang w:val="en-GB"/>
              </w:rPr>
              <w:t xml:space="preserve">Solid Oxide Fuel Cell (SOFC) production, incl. lifetime of stack, excl. </w:t>
            </w:r>
            <w:proofErr w:type="spellStart"/>
            <w:r w:rsidRPr="528E8AD9">
              <w:rPr>
                <w:rFonts w:eastAsia="Calibri" w:cs="Arial"/>
                <w:lang w:val="en-GB"/>
              </w:rPr>
              <w:t>EoL</w:t>
            </w:r>
            <w:proofErr w:type="spellEnd"/>
            <w:r w:rsidRPr="528E8AD9">
              <w:rPr>
                <w:rFonts w:eastAsia="Calibri" w:cs="Arial"/>
                <w:lang w:val="en-GB"/>
              </w:rPr>
              <w:t>; raw material processing, cell assembling; single route, at plant; total mass 23448 kg, 1 stack 3387 kg, 1 balance-of-power 1387 kg, num</w:t>
            </w:r>
            <w:r w:rsidR="0BCA073A" w:rsidRPr="528E8AD9">
              <w:rPr>
                <w:rFonts w:eastAsia="Calibri" w:cs="Arial"/>
                <w:lang w:val="en-GB"/>
              </w:rPr>
              <w:t>b</w:t>
            </w:r>
            <w:r w:rsidRPr="528E8AD9">
              <w:rPr>
                <w:rFonts w:eastAsia="Calibri" w:cs="Arial"/>
                <w:lang w:val="en-GB"/>
              </w:rPr>
              <w:t>er of components: 1 balance- of- power, 4 stacks</w:t>
            </w:r>
          </w:p>
        </w:tc>
        <w:tc>
          <w:tcPr>
            <w:tcW w:w="510" w:type="pct"/>
          </w:tcPr>
          <w:p w14:paraId="2925F161" w14:textId="77777777" w:rsidR="009F0BDE" w:rsidRPr="009F0BDE" w:rsidRDefault="5EB01EFC" w:rsidP="528E8AD9">
            <w:pPr>
              <w:jc w:val="both"/>
              <w:rPr>
                <w:rFonts w:eastAsia="Calibri" w:cs="Arial"/>
                <w:lang w:val="en-GB"/>
              </w:rPr>
            </w:pPr>
            <w:r w:rsidRPr="528E8AD9">
              <w:rPr>
                <w:rFonts w:eastAsia="Calibri" w:cs="Arial"/>
                <w:lang w:val="en-GB"/>
              </w:rPr>
              <w:t>MLC Database Premium - Energy 2024</w:t>
            </w:r>
          </w:p>
        </w:tc>
        <w:tc>
          <w:tcPr>
            <w:tcW w:w="582" w:type="pct"/>
          </w:tcPr>
          <w:p w14:paraId="2FA9F014" w14:textId="77777777" w:rsidR="009F0BDE" w:rsidRPr="009F0BDE" w:rsidRDefault="5EB01EFC" w:rsidP="528E8AD9">
            <w:pPr>
              <w:jc w:val="both"/>
              <w:rPr>
                <w:rFonts w:eastAsia="Calibri" w:cs="Arial"/>
                <w:lang w:val="en-GB"/>
              </w:rPr>
            </w:pPr>
            <w:r w:rsidRPr="528E8AD9">
              <w:rPr>
                <w:rFonts w:eastAsia="Calibri" w:cs="Arial"/>
                <w:lang w:val="en-GB"/>
              </w:rPr>
              <w:t>Europe</w:t>
            </w:r>
          </w:p>
        </w:tc>
        <w:tc>
          <w:tcPr>
            <w:tcW w:w="1383" w:type="pct"/>
          </w:tcPr>
          <w:p w14:paraId="256C00F0" w14:textId="47CB1C9C" w:rsidR="009F0BDE" w:rsidRPr="009F0BDE" w:rsidRDefault="5EB01EFC" w:rsidP="528E8AD9">
            <w:pPr>
              <w:jc w:val="both"/>
              <w:rPr>
                <w:rFonts w:eastAsia="Calibri" w:cs="Arial"/>
                <w:lang w:val="en-GB"/>
              </w:rPr>
            </w:pPr>
            <w:r w:rsidRPr="528E8AD9">
              <w:rPr>
                <w:rFonts w:eastAsia="Calibri" w:cs="Arial"/>
                <w:lang w:val="en-GB"/>
              </w:rPr>
              <w:t xml:space="preserve">The typical material composition of a SOFC is considered, mainly based on the literature source. Typical production steps are raw material preparation (oxide mixing), extrusion, plasma spraying, </w:t>
            </w:r>
            <w:proofErr w:type="gramStart"/>
            <w:r w:rsidRPr="528E8AD9">
              <w:rPr>
                <w:rFonts w:eastAsia="Calibri" w:cs="Arial"/>
                <w:lang w:val="en-GB"/>
              </w:rPr>
              <w:t>electrical</w:t>
            </w:r>
            <w:proofErr w:type="gramEnd"/>
            <w:r w:rsidRPr="528E8AD9">
              <w:rPr>
                <w:rFonts w:eastAsia="Calibri" w:cs="Arial"/>
                <w:lang w:val="en-GB"/>
              </w:rPr>
              <w:t xml:space="preserve"> vapour deposition, drying and sintering.</w:t>
            </w:r>
          </w:p>
        </w:tc>
        <w:tc>
          <w:tcPr>
            <w:tcW w:w="925" w:type="pct"/>
          </w:tcPr>
          <w:p w14:paraId="3B6CD094" w14:textId="77777777" w:rsidR="009F0BDE" w:rsidRPr="009F0BDE" w:rsidRDefault="5EB01EFC" w:rsidP="528E8AD9">
            <w:pPr>
              <w:jc w:val="both"/>
              <w:rPr>
                <w:rFonts w:eastAsia="Calibri" w:cs="Arial"/>
                <w:lang w:val="en-GB"/>
              </w:rPr>
            </w:pPr>
            <w:r w:rsidRPr="528E8AD9">
              <w:rPr>
                <w:rFonts w:eastAsia="Calibri" w:cs="Arial"/>
                <w:lang w:val="en-GB"/>
              </w:rPr>
              <w:t>Power and lifetime of the FC are unspecified.</w:t>
            </w:r>
          </w:p>
        </w:tc>
      </w:tr>
      <w:tr w:rsidR="009F0BDE" w:rsidRPr="009F0BDE" w14:paraId="35092C22" w14:textId="77777777" w:rsidTr="25EBFC90">
        <w:trPr>
          <w:cantSplit/>
        </w:trPr>
        <w:tc>
          <w:tcPr>
            <w:tcW w:w="546" w:type="pct"/>
            <w:vMerge w:val="restart"/>
          </w:tcPr>
          <w:p w14:paraId="56295B06" w14:textId="77777777" w:rsidR="009F0BDE" w:rsidRPr="009F0BDE" w:rsidRDefault="5EB01EFC" w:rsidP="528E8AD9">
            <w:pPr>
              <w:jc w:val="both"/>
              <w:rPr>
                <w:rFonts w:eastAsia="Calibri" w:cs="Arial"/>
                <w:lang w:val="en-GB"/>
              </w:rPr>
            </w:pPr>
            <w:bookmarkStart w:id="0" w:name="_GoBack"/>
            <w:r w:rsidRPr="528E8AD9">
              <w:rPr>
                <w:rFonts w:eastAsia="Calibri" w:cs="Arial"/>
                <w:lang w:val="en-GB"/>
              </w:rPr>
              <w:t>Polymers and Chemicals</w:t>
            </w:r>
          </w:p>
          <w:p w14:paraId="0B95E786" w14:textId="77777777" w:rsidR="009F0BDE" w:rsidRPr="009F0BDE" w:rsidRDefault="009F0BDE" w:rsidP="009F0BDE">
            <w:pPr>
              <w:jc w:val="both"/>
              <w:rPr>
                <w:rFonts w:eastAsia="Calibri" w:cs="Arial"/>
                <w:lang w:val="it-IT"/>
              </w:rPr>
            </w:pPr>
          </w:p>
        </w:tc>
        <w:tc>
          <w:tcPr>
            <w:tcW w:w="1054" w:type="pct"/>
          </w:tcPr>
          <w:p w14:paraId="10DFBA34" w14:textId="77777777" w:rsidR="009F0BDE" w:rsidRPr="009F0BDE" w:rsidRDefault="5EB01EFC" w:rsidP="528E8AD9">
            <w:pPr>
              <w:jc w:val="both"/>
              <w:rPr>
                <w:rFonts w:eastAsia="Calibri" w:cs="Arial"/>
                <w:lang w:val="en-GB"/>
              </w:rPr>
            </w:pPr>
            <w:proofErr w:type="spellStart"/>
            <w:r w:rsidRPr="528E8AD9">
              <w:rPr>
                <w:rFonts w:eastAsia="Calibri" w:cs="Arial"/>
                <w:lang w:val="en-GB"/>
              </w:rPr>
              <w:t>Nafion</w:t>
            </w:r>
            <w:proofErr w:type="spellEnd"/>
            <w:r w:rsidRPr="528E8AD9">
              <w:rPr>
                <w:rFonts w:eastAsia="Calibri" w:cs="Arial"/>
                <w:lang w:val="en-GB"/>
              </w:rPr>
              <w:t xml:space="preserve"> (estimation); production from TFE and a sulfonyl fluoride; production mix, at plant; 1.98 g/cm3</w:t>
            </w:r>
          </w:p>
        </w:tc>
        <w:tc>
          <w:tcPr>
            <w:tcW w:w="510" w:type="pct"/>
          </w:tcPr>
          <w:p w14:paraId="71F70B0B" w14:textId="77777777" w:rsidR="009F0BDE" w:rsidRPr="009F0BDE" w:rsidRDefault="5EB01EFC" w:rsidP="528E8AD9">
            <w:pPr>
              <w:jc w:val="both"/>
              <w:rPr>
                <w:rFonts w:eastAsia="Calibri" w:cs="Arial"/>
                <w:lang w:val="en-GB"/>
              </w:rPr>
            </w:pPr>
            <w:proofErr w:type="spellStart"/>
            <w:r w:rsidRPr="528E8AD9">
              <w:rPr>
                <w:rFonts w:eastAsia="Calibri" w:cs="Arial"/>
                <w:lang w:val="en-GB"/>
              </w:rPr>
              <w:t>Sphera</w:t>
            </w:r>
            <w:proofErr w:type="spellEnd"/>
            <w:r w:rsidRPr="528E8AD9">
              <w:rPr>
                <w:rFonts w:eastAsia="Calibri" w:cs="Arial"/>
                <w:lang w:val="en-GB"/>
              </w:rPr>
              <w:t xml:space="preserve"> (Gabi 2020 database)</w:t>
            </w:r>
          </w:p>
        </w:tc>
        <w:tc>
          <w:tcPr>
            <w:tcW w:w="582" w:type="pct"/>
          </w:tcPr>
          <w:p w14:paraId="2D6FA101" w14:textId="77777777" w:rsidR="009F0BDE" w:rsidRPr="009F0BDE" w:rsidRDefault="5EB01EFC" w:rsidP="528E8AD9">
            <w:pPr>
              <w:jc w:val="both"/>
              <w:rPr>
                <w:rFonts w:eastAsia="Calibri" w:cs="Arial"/>
                <w:lang w:val="en-GB"/>
              </w:rPr>
            </w:pPr>
            <w:r w:rsidRPr="528E8AD9">
              <w:rPr>
                <w:rFonts w:eastAsia="Calibri" w:cs="Arial"/>
                <w:lang w:val="en-GB"/>
              </w:rPr>
              <w:t>US</w:t>
            </w:r>
          </w:p>
        </w:tc>
        <w:tc>
          <w:tcPr>
            <w:tcW w:w="1383" w:type="pct"/>
          </w:tcPr>
          <w:p w14:paraId="2E806E85" w14:textId="130C1DDA" w:rsidR="009F0BDE" w:rsidRPr="009F0BDE" w:rsidRDefault="5EB01EFC" w:rsidP="528E8AD9">
            <w:pPr>
              <w:jc w:val="both"/>
              <w:rPr>
                <w:rFonts w:eastAsia="Calibri" w:cs="Arial"/>
                <w:lang w:val="en-GB"/>
              </w:rPr>
            </w:pPr>
            <w:r w:rsidRPr="25EBFC90">
              <w:rPr>
                <w:rFonts w:eastAsia="Calibri" w:cs="Arial"/>
                <w:lang w:val="en-GB"/>
              </w:rPr>
              <w:t>Cradle</w:t>
            </w:r>
            <w:r w:rsidR="5E900C5C" w:rsidRPr="25EBFC90">
              <w:rPr>
                <w:rFonts w:eastAsia="Calibri" w:cs="Arial"/>
                <w:lang w:val="en-GB"/>
              </w:rPr>
              <w:t>-</w:t>
            </w:r>
            <w:r w:rsidRPr="25EBFC90">
              <w:rPr>
                <w:rFonts w:eastAsia="Calibri" w:cs="Arial"/>
                <w:lang w:val="en-GB"/>
              </w:rPr>
              <w:t>to</w:t>
            </w:r>
            <w:r w:rsidR="59BEECF8" w:rsidRPr="25EBFC90">
              <w:rPr>
                <w:rFonts w:eastAsia="Calibri" w:cs="Arial"/>
                <w:lang w:val="en-GB"/>
              </w:rPr>
              <w:t>-</w:t>
            </w:r>
            <w:r w:rsidRPr="25EBFC90">
              <w:rPr>
                <w:rFonts w:eastAsia="Calibri" w:cs="Arial"/>
                <w:lang w:val="en-GB"/>
              </w:rPr>
              <w:t>gate production stage. Based on primary data from internationally preval</w:t>
            </w:r>
            <w:r w:rsidR="6FA8BC68" w:rsidRPr="25EBFC90">
              <w:rPr>
                <w:rFonts w:eastAsia="Calibri" w:cs="Arial"/>
                <w:lang w:val="en-GB"/>
              </w:rPr>
              <w:t>e</w:t>
            </w:r>
            <w:r w:rsidRPr="25EBFC90">
              <w:rPr>
                <w:rFonts w:eastAsia="Calibri" w:cs="Arial"/>
                <w:lang w:val="en-GB"/>
              </w:rPr>
              <w:t>nt production processes, connected with regional precursor chains.</w:t>
            </w:r>
          </w:p>
        </w:tc>
        <w:tc>
          <w:tcPr>
            <w:tcW w:w="925" w:type="pct"/>
          </w:tcPr>
          <w:p w14:paraId="101C9EEA" w14:textId="52E1FBD3" w:rsidR="009F0BDE" w:rsidRPr="009F0BDE" w:rsidRDefault="564EFF95" w:rsidP="528E8AD9">
            <w:pPr>
              <w:jc w:val="both"/>
              <w:rPr>
                <w:rFonts w:eastAsia="Calibri" w:cs="Arial"/>
                <w:lang w:val="en-GB"/>
              </w:rPr>
            </w:pPr>
            <w:r w:rsidRPr="528E8AD9">
              <w:rPr>
                <w:rFonts w:eastAsia="Calibri" w:cs="Arial"/>
                <w:lang w:val="en-GB"/>
              </w:rPr>
              <w:t>“</w:t>
            </w:r>
            <w:proofErr w:type="gramStart"/>
            <w:r w:rsidR="5EB01EFC" w:rsidRPr="528E8AD9">
              <w:rPr>
                <w:rFonts w:eastAsia="Calibri" w:cs="Arial"/>
                <w:lang w:val="en-GB"/>
              </w:rPr>
              <w:t>estimation</w:t>
            </w:r>
            <w:proofErr w:type="gramEnd"/>
            <w:r w:rsidR="5EB01EFC" w:rsidRPr="528E8AD9">
              <w:rPr>
                <w:rFonts w:eastAsia="Calibri" w:cs="Arial"/>
                <w:lang w:val="en-GB"/>
              </w:rPr>
              <w:t>” is mentioned in the name of the dataset, however further information about it are not documented in the metadata.</w:t>
            </w:r>
          </w:p>
        </w:tc>
      </w:tr>
      <w:bookmarkEnd w:id="0"/>
      <w:tr w:rsidR="009F0BDE" w:rsidRPr="009F0BDE" w14:paraId="660945AE" w14:textId="77777777" w:rsidTr="25EBFC90">
        <w:trPr>
          <w:cantSplit/>
        </w:trPr>
        <w:tc>
          <w:tcPr>
            <w:tcW w:w="546" w:type="pct"/>
            <w:vMerge/>
          </w:tcPr>
          <w:p w14:paraId="3BEEE5E0" w14:textId="77777777" w:rsidR="009F0BDE" w:rsidRPr="009F0BDE" w:rsidRDefault="009F0BDE" w:rsidP="009F0BDE">
            <w:pPr>
              <w:jc w:val="both"/>
              <w:rPr>
                <w:rFonts w:eastAsia="Calibri" w:cs="Arial"/>
                <w:lang w:val="en-GB"/>
              </w:rPr>
            </w:pPr>
          </w:p>
        </w:tc>
        <w:tc>
          <w:tcPr>
            <w:tcW w:w="1054" w:type="pct"/>
          </w:tcPr>
          <w:p w14:paraId="56F58DD4" w14:textId="6CE95294" w:rsidR="009F0BDE" w:rsidRPr="009F0BDE" w:rsidRDefault="5EB01EFC" w:rsidP="528E8AD9">
            <w:pPr>
              <w:jc w:val="both"/>
              <w:rPr>
                <w:rFonts w:eastAsia="Calibri" w:cs="Arial"/>
                <w:lang w:val="en-GB"/>
              </w:rPr>
            </w:pPr>
            <w:r w:rsidRPr="528E8AD9">
              <w:rPr>
                <w:rFonts w:eastAsia="Calibri" w:cs="Arial"/>
                <w:lang w:val="en-GB"/>
              </w:rPr>
              <w:t>Polyvinyl alcohol (from vinyl acetate) (PVAL); hydrolysis of polyvinyl acetate; production mix, at plant; 1.19-1.31 g/cm3, 44.05 g/</w:t>
            </w:r>
            <w:proofErr w:type="spellStart"/>
            <w:r w:rsidRPr="528E8AD9">
              <w:rPr>
                <w:rFonts w:eastAsia="Calibri" w:cs="Arial"/>
                <w:lang w:val="en-GB"/>
              </w:rPr>
              <w:t>mol</w:t>
            </w:r>
            <w:proofErr w:type="spellEnd"/>
            <w:r w:rsidRPr="528E8AD9">
              <w:rPr>
                <w:rFonts w:eastAsia="Calibri" w:cs="Arial"/>
                <w:lang w:val="en-GB"/>
              </w:rPr>
              <w:t xml:space="preserve"> per repeating unit, 22.1 MJ/kg net calorific value</w:t>
            </w:r>
          </w:p>
        </w:tc>
        <w:tc>
          <w:tcPr>
            <w:tcW w:w="510" w:type="pct"/>
          </w:tcPr>
          <w:p w14:paraId="254ED47C" w14:textId="77777777" w:rsidR="009F0BDE" w:rsidRPr="009F0BDE" w:rsidRDefault="5EB01EFC" w:rsidP="528E8AD9">
            <w:pPr>
              <w:jc w:val="both"/>
              <w:rPr>
                <w:rFonts w:eastAsia="Calibri" w:cs="Arial"/>
                <w:lang w:val="en-GB"/>
              </w:rPr>
            </w:pPr>
            <w:proofErr w:type="spellStart"/>
            <w:r w:rsidRPr="528E8AD9">
              <w:rPr>
                <w:rFonts w:eastAsia="Calibri" w:cs="Arial"/>
                <w:lang w:val="en-GB"/>
              </w:rPr>
              <w:t>Sphera</w:t>
            </w:r>
            <w:proofErr w:type="spellEnd"/>
            <w:r w:rsidRPr="528E8AD9">
              <w:rPr>
                <w:rFonts w:eastAsia="Calibri" w:cs="Arial"/>
                <w:lang w:val="en-GB"/>
              </w:rPr>
              <w:t xml:space="preserve"> (Gabi 2020 database)</w:t>
            </w:r>
          </w:p>
        </w:tc>
        <w:tc>
          <w:tcPr>
            <w:tcW w:w="582" w:type="pct"/>
          </w:tcPr>
          <w:p w14:paraId="5C3A640C" w14:textId="77777777" w:rsidR="009F0BDE" w:rsidRPr="009F0BDE" w:rsidRDefault="5EB01EFC" w:rsidP="528E8AD9">
            <w:pPr>
              <w:jc w:val="both"/>
              <w:rPr>
                <w:rFonts w:eastAsia="Calibri" w:cs="Arial"/>
                <w:lang w:val="en-GB"/>
              </w:rPr>
            </w:pPr>
            <w:r w:rsidRPr="528E8AD9">
              <w:rPr>
                <w:rFonts w:eastAsia="Calibri" w:cs="Arial"/>
                <w:lang w:val="en-GB"/>
              </w:rPr>
              <w:t>US,</w:t>
            </w:r>
          </w:p>
          <w:p w14:paraId="471D19BE" w14:textId="77777777" w:rsidR="009F0BDE" w:rsidRPr="009F0BDE" w:rsidRDefault="5EB01EFC" w:rsidP="528E8AD9">
            <w:pPr>
              <w:jc w:val="both"/>
              <w:rPr>
                <w:rFonts w:eastAsia="Calibri" w:cs="Arial"/>
                <w:lang w:val="en-GB"/>
              </w:rPr>
            </w:pPr>
            <w:r w:rsidRPr="528E8AD9">
              <w:rPr>
                <w:rFonts w:eastAsia="Calibri" w:cs="Arial"/>
                <w:lang w:val="en-GB"/>
              </w:rPr>
              <w:t>Germany,</w:t>
            </w:r>
          </w:p>
          <w:p w14:paraId="427171C1" w14:textId="77777777" w:rsidR="009F0BDE" w:rsidRPr="009F0BDE" w:rsidRDefault="5EB01EFC" w:rsidP="528E8AD9">
            <w:pPr>
              <w:jc w:val="both"/>
              <w:rPr>
                <w:rFonts w:eastAsia="Calibri" w:cs="Arial"/>
                <w:lang w:val="en-GB"/>
              </w:rPr>
            </w:pPr>
            <w:r w:rsidRPr="528E8AD9">
              <w:rPr>
                <w:rFonts w:eastAsia="Calibri" w:cs="Arial"/>
                <w:lang w:val="en-GB"/>
              </w:rPr>
              <w:t>Netherlands</w:t>
            </w:r>
          </w:p>
        </w:tc>
        <w:tc>
          <w:tcPr>
            <w:tcW w:w="1383" w:type="pct"/>
          </w:tcPr>
          <w:p w14:paraId="1525C9E4" w14:textId="6B896880" w:rsidR="009F0BDE" w:rsidRPr="009F0BDE" w:rsidRDefault="5EB01EFC" w:rsidP="528E8AD9">
            <w:pPr>
              <w:jc w:val="both"/>
              <w:rPr>
                <w:rFonts w:eastAsia="Calibri" w:cs="Arial"/>
                <w:lang w:val="en-GB"/>
              </w:rPr>
            </w:pPr>
            <w:r w:rsidRPr="528E8AD9">
              <w:rPr>
                <w:rFonts w:eastAsia="Calibri" w:cs="Arial"/>
                <w:lang w:val="en-GB"/>
              </w:rPr>
              <w:t>Cradle</w:t>
            </w:r>
            <w:r w:rsidR="04468DFB" w:rsidRPr="528E8AD9">
              <w:rPr>
                <w:rFonts w:eastAsia="Calibri" w:cs="Arial"/>
                <w:lang w:val="en-GB"/>
              </w:rPr>
              <w:t xml:space="preserve"> –</w:t>
            </w:r>
            <w:r w:rsidRPr="528E8AD9">
              <w:rPr>
                <w:rFonts w:eastAsia="Calibri" w:cs="Arial"/>
                <w:lang w:val="en-GB"/>
              </w:rPr>
              <w:t>to</w:t>
            </w:r>
            <w:r w:rsidR="04468DFB" w:rsidRPr="528E8AD9">
              <w:rPr>
                <w:rFonts w:eastAsia="Calibri" w:cs="Arial"/>
                <w:lang w:val="en-GB"/>
              </w:rPr>
              <w:t>-</w:t>
            </w:r>
            <w:r w:rsidRPr="528E8AD9">
              <w:rPr>
                <w:rFonts w:eastAsia="Calibri" w:cs="Arial"/>
                <w:lang w:val="en-GB"/>
              </w:rPr>
              <w:t>gate production stage. Based on primary data from internationally preval</w:t>
            </w:r>
            <w:r w:rsidR="2E2CEB46" w:rsidRPr="528E8AD9">
              <w:rPr>
                <w:rFonts w:eastAsia="Calibri" w:cs="Arial"/>
                <w:lang w:val="en-GB"/>
              </w:rPr>
              <w:t>e</w:t>
            </w:r>
            <w:r w:rsidRPr="528E8AD9">
              <w:rPr>
                <w:rFonts w:eastAsia="Calibri" w:cs="Arial"/>
                <w:lang w:val="en-GB"/>
              </w:rPr>
              <w:t>nt production processes, connected with regional precursor chains.</w:t>
            </w:r>
          </w:p>
        </w:tc>
        <w:tc>
          <w:tcPr>
            <w:tcW w:w="925" w:type="pct"/>
          </w:tcPr>
          <w:p w14:paraId="65BEDBF5" w14:textId="77777777" w:rsidR="009F0BDE" w:rsidRPr="009F0BDE" w:rsidRDefault="5EB01EFC" w:rsidP="528E8AD9">
            <w:pPr>
              <w:jc w:val="both"/>
              <w:rPr>
                <w:rFonts w:eastAsia="Calibri" w:cs="Arial"/>
                <w:lang w:val="en-GB"/>
              </w:rPr>
            </w:pPr>
            <w:r w:rsidRPr="528E8AD9">
              <w:rPr>
                <w:rFonts w:eastAsia="Calibri" w:cs="Arial"/>
                <w:lang w:val="en-GB"/>
              </w:rPr>
              <w:t>None.</w:t>
            </w:r>
          </w:p>
        </w:tc>
      </w:tr>
      <w:tr w:rsidR="009F0BDE" w:rsidRPr="009F0BDE" w14:paraId="1F6F904B" w14:textId="77777777" w:rsidTr="25EBFC90">
        <w:trPr>
          <w:cantSplit/>
        </w:trPr>
        <w:tc>
          <w:tcPr>
            <w:tcW w:w="546" w:type="pct"/>
            <w:vMerge/>
          </w:tcPr>
          <w:p w14:paraId="0CC311D6" w14:textId="77777777" w:rsidR="009F0BDE" w:rsidRPr="009F0BDE" w:rsidRDefault="009F0BDE" w:rsidP="009F0BDE">
            <w:pPr>
              <w:jc w:val="both"/>
              <w:rPr>
                <w:rFonts w:eastAsia="Calibri" w:cs="Arial"/>
                <w:lang w:val="en-GB"/>
              </w:rPr>
            </w:pPr>
          </w:p>
        </w:tc>
        <w:tc>
          <w:tcPr>
            <w:tcW w:w="1054" w:type="pct"/>
          </w:tcPr>
          <w:p w14:paraId="328FE841" w14:textId="77777777" w:rsidR="009F0BDE" w:rsidRPr="003D10B8" w:rsidRDefault="5EB01EFC" w:rsidP="528E8AD9">
            <w:pPr>
              <w:jc w:val="both"/>
              <w:rPr>
                <w:rFonts w:eastAsia="Calibri" w:cs="Arial"/>
                <w:lang w:val="en-GB"/>
              </w:rPr>
            </w:pPr>
            <w:r w:rsidRPr="003D10B8">
              <w:rPr>
                <w:rFonts w:eastAsia="Calibri" w:cs="Arial"/>
                <w:lang w:val="en-GB"/>
              </w:rPr>
              <w:t>polyvinyl alcohol</w:t>
            </w:r>
          </w:p>
        </w:tc>
        <w:tc>
          <w:tcPr>
            <w:tcW w:w="510" w:type="pct"/>
          </w:tcPr>
          <w:p w14:paraId="55CDD137" w14:textId="77777777" w:rsidR="009F0BDE" w:rsidRPr="003D10B8" w:rsidRDefault="5EB01EFC" w:rsidP="528E8AD9">
            <w:pPr>
              <w:jc w:val="both"/>
              <w:rPr>
                <w:rFonts w:eastAsia="Calibri" w:cs="Arial"/>
                <w:lang w:val="en-GB"/>
              </w:rPr>
            </w:pPr>
            <w:r w:rsidRPr="003D10B8">
              <w:rPr>
                <w:rFonts w:eastAsia="Calibri" w:cs="Arial"/>
                <w:lang w:val="en-GB"/>
              </w:rPr>
              <w:t>IDEA</w:t>
            </w:r>
          </w:p>
        </w:tc>
        <w:tc>
          <w:tcPr>
            <w:tcW w:w="582" w:type="pct"/>
          </w:tcPr>
          <w:p w14:paraId="53E00F62" w14:textId="77777777" w:rsidR="009F0BDE" w:rsidRPr="003D10B8" w:rsidRDefault="5EB01EFC" w:rsidP="528E8AD9">
            <w:pPr>
              <w:jc w:val="both"/>
              <w:rPr>
                <w:rFonts w:eastAsia="Calibri" w:cs="Arial"/>
                <w:lang w:val="en-GB"/>
              </w:rPr>
            </w:pPr>
            <w:r w:rsidRPr="003D10B8">
              <w:rPr>
                <w:rFonts w:eastAsia="Calibri" w:cs="Arial"/>
                <w:lang w:val="en-GB"/>
              </w:rPr>
              <w:t>Japan</w:t>
            </w:r>
          </w:p>
        </w:tc>
        <w:tc>
          <w:tcPr>
            <w:tcW w:w="1383" w:type="pct"/>
          </w:tcPr>
          <w:p w14:paraId="55BB0BBA" w14:textId="77777777" w:rsidR="009F0BDE" w:rsidRPr="009F0BDE" w:rsidRDefault="5EB01EFC" w:rsidP="528E8AD9">
            <w:pPr>
              <w:jc w:val="both"/>
              <w:rPr>
                <w:rFonts w:eastAsia="Calibri" w:cs="Arial"/>
                <w:lang w:val="en-GB"/>
              </w:rPr>
            </w:pPr>
            <w:proofErr w:type="gramStart"/>
            <w:r w:rsidRPr="25EBFC90">
              <w:rPr>
                <w:rFonts w:eastAsia="Calibri" w:cs="Arial"/>
                <w:lang w:val="en-GB"/>
              </w:rPr>
              <w:t>production</w:t>
            </w:r>
            <w:proofErr w:type="gramEnd"/>
            <w:r w:rsidRPr="25EBFC90">
              <w:rPr>
                <w:rFonts w:eastAsia="Calibri" w:cs="Arial"/>
                <w:lang w:val="en-GB"/>
              </w:rPr>
              <w:t xml:space="preserve"> of 1 kg of polyvinyl alcohol. Modelling of the production process using vinyl acetate and water as raw materials, by Chemical Process Simulator.</w:t>
            </w:r>
          </w:p>
        </w:tc>
        <w:tc>
          <w:tcPr>
            <w:tcW w:w="925" w:type="pct"/>
          </w:tcPr>
          <w:p w14:paraId="03BDB258" w14:textId="77777777" w:rsidR="009F0BDE" w:rsidRPr="009F0BDE" w:rsidRDefault="5EB01EFC" w:rsidP="528E8AD9">
            <w:pPr>
              <w:jc w:val="both"/>
              <w:rPr>
                <w:rFonts w:eastAsia="Calibri" w:cs="Arial"/>
                <w:lang w:val="en-GB"/>
              </w:rPr>
            </w:pPr>
            <w:r w:rsidRPr="528E8AD9">
              <w:rPr>
                <w:rFonts w:eastAsia="Calibri" w:cs="Arial"/>
                <w:lang w:val="en-GB"/>
              </w:rPr>
              <w:t>Data refers to 2004-2010 and the description of considered technologies is not provided.</w:t>
            </w:r>
          </w:p>
        </w:tc>
      </w:tr>
      <w:tr w:rsidR="009F0BDE" w:rsidRPr="009F0BDE" w14:paraId="1A3419EF" w14:textId="77777777" w:rsidTr="25EBFC90">
        <w:trPr>
          <w:cantSplit/>
        </w:trPr>
        <w:tc>
          <w:tcPr>
            <w:tcW w:w="546" w:type="pct"/>
            <w:vMerge/>
          </w:tcPr>
          <w:p w14:paraId="15FF5B2D" w14:textId="77777777" w:rsidR="009F0BDE" w:rsidRPr="009F0BDE" w:rsidRDefault="009F0BDE" w:rsidP="009F0BDE">
            <w:pPr>
              <w:jc w:val="both"/>
              <w:rPr>
                <w:rFonts w:eastAsia="Calibri" w:cs="Arial"/>
                <w:lang w:val="en-GB"/>
              </w:rPr>
            </w:pPr>
          </w:p>
        </w:tc>
        <w:tc>
          <w:tcPr>
            <w:tcW w:w="1054" w:type="pct"/>
            <w:shd w:val="clear" w:color="auto" w:fill="auto"/>
          </w:tcPr>
          <w:p w14:paraId="00597D3B" w14:textId="77777777" w:rsidR="009F0BDE" w:rsidRPr="009F0BDE" w:rsidRDefault="5EB01EFC" w:rsidP="528E8AD9">
            <w:pPr>
              <w:rPr>
                <w:rFonts w:eastAsia="Calibri" w:cs="Arial"/>
                <w:lang w:val="en-GB"/>
              </w:rPr>
            </w:pPr>
            <w:proofErr w:type="spellStart"/>
            <w:r w:rsidRPr="528E8AD9">
              <w:rPr>
                <w:rFonts w:eastAsia="Calibri" w:cs="Arial"/>
                <w:lang w:val="en-GB"/>
              </w:rPr>
              <w:t>Polyetherether</w:t>
            </w:r>
            <w:proofErr w:type="spellEnd"/>
            <w:r w:rsidRPr="528E8AD9">
              <w:rPr>
                <w:rFonts w:eastAsia="Calibri" w:cs="Arial"/>
                <w:lang w:val="en-GB"/>
              </w:rPr>
              <w:t xml:space="preserve"> ketone granulate (PEEK); technology mix; production mix, at plant; PEEK granulate</w:t>
            </w:r>
          </w:p>
        </w:tc>
        <w:tc>
          <w:tcPr>
            <w:tcW w:w="510" w:type="pct"/>
            <w:shd w:val="clear" w:color="auto" w:fill="auto"/>
          </w:tcPr>
          <w:p w14:paraId="0425F689" w14:textId="77777777" w:rsidR="009F0BDE" w:rsidRPr="009F0BDE" w:rsidRDefault="5EB01EFC" w:rsidP="528E8AD9">
            <w:pPr>
              <w:rPr>
                <w:rFonts w:eastAsia="Calibri" w:cs="Arial"/>
                <w:lang w:val="en-GB"/>
              </w:rPr>
            </w:pPr>
            <w:proofErr w:type="spellStart"/>
            <w:r w:rsidRPr="528E8AD9">
              <w:rPr>
                <w:rFonts w:eastAsia="Calibri" w:cs="Arial"/>
                <w:lang w:val="en-GB"/>
              </w:rPr>
              <w:t>Sphera</w:t>
            </w:r>
            <w:proofErr w:type="spellEnd"/>
            <w:r w:rsidRPr="528E8AD9">
              <w:rPr>
                <w:rFonts w:eastAsia="Calibri" w:cs="Arial"/>
                <w:lang w:val="en-GB"/>
              </w:rPr>
              <w:t xml:space="preserve"> (</w:t>
            </w:r>
            <w:proofErr w:type="spellStart"/>
            <w:r w:rsidRPr="528E8AD9">
              <w:rPr>
                <w:rFonts w:eastAsia="Calibri" w:cs="Arial"/>
                <w:lang w:val="en-GB"/>
              </w:rPr>
              <w:t>GaBi</w:t>
            </w:r>
            <w:proofErr w:type="spellEnd"/>
            <w:r w:rsidRPr="528E8AD9">
              <w:rPr>
                <w:rFonts w:eastAsia="Calibri" w:cs="Arial"/>
                <w:lang w:val="en-GB"/>
              </w:rPr>
              <w:t xml:space="preserve"> 2020 database)</w:t>
            </w:r>
          </w:p>
        </w:tc>
        <w:tc>
          <w:tcPr>
            <w:tcW w:w="582" w:type="pct"/>
            <w:shd w:val="clear" w:color="auto" w:fill="auto"/>
          </w:tcPr>
          <w:p w14:paraId="3F6F9ECB" w14:textId="77777777" w:rsidR="009F0BDE" w:rsidRPr="009F0BDE" w:rsidRDefault="5EB01EFC" w:rsidP="528E8AD9">
            <w:pPr>
              <w:rPr>
                <w:rFonts w:eastAsia="Calibri" w:cs="Arial"/>
                <w:lang w:val="en-GB"/>
              </w:rPr>
            </w:pPr>
            <w:r w:rsidRPr="528E8AD9">
              <w:rPr>
                <w:rFonts w:eastAsia="Calibri" w:cs="Arial"/>
                <w:lang w:val="en-GB"/>
              </w:rPr>
              <w:t>Germany</w:t>
            </w:r>
          </w:p>
        </w:tc>
        <w:tc>
          <w:tcPr>
            <w:tcW w:w="1383" w:type="pct"/>
            <w:shd w:val="clear" w:color="auto" w:fill="auto"/>
          </w:tcPr>
          <w:p w14:paraId="382B9C5D" w14:textId="117AF462" w:rsidR="009F0BDE" w:rsidRPr="009F0BDE" w:rsidRDefault="5EB01EFC" w:rsidP="528E8AD9">
            <w:pPr>
              <w:jc w:val="both"/>
              <w:rPr>
                <w:rFonts w:eastAsia="Calibri" w:cs="Arial"/>
                <w:lang w:val="en-GB"/>
              </w:rPr>
            </w:pPr>
            <w:r w:rsidRPr="528E8AD9">
              <w:rPr>
                <w:rFonts w:eastAsia="Calibri" w:cs="Arial"/>
                <w:lang w:val="en-GB"/>
              </w:rPr>
              <w:t>The data set covers all relevant process steps / technologies over the supply chain of the represented cradle to gate. This dataset is based on primary data from internationally preval</w:t>
            </w:r>
            <w:r w:rsidR="1D3A186A" w:rsidRPr="528E8AD9">
              <w:rPr>
                <w:rFonts w:eastAsia="Calibri" w:cs="Arial"/>
                <w:lang w:val="en-GB"/>
              </w:rPr>
              <w:t>e</w:t>
            </w:r>
            <w:r w:rsidRPr="528E8AD9">
              <w:rPr>
                <w:rFonts w:eastAsia="Calibri" w:cs="Arial"/>
                <w:lang w:val="en-GB"/>
              </w:rPr>
              <w:t>nt production processes, connected with regional precursor chains.</w:t>
            </w:r>
          </w:p>
        </w:tc>
        <w:tc>
          <w:tcPr>
            <w:tcW w:w="925" w:type="pct"/>
          </w:tcPr>
          <w:p w14:paraId="7C1A5B79" w14:textId="77777777" w:rsidR="009F0BDE" w:rsidRPr="009F0BDE" w:rsidRDefault="5EB01EFC" w:rsidP="528E8AD9">
            <w:pPr>
              <w:rPr>
                <w:rFonts w:eastAsia="Calibri" w:cs="Arial"/>
                <w:lang w:val="en-GB"/>
              </w:rPr>
            </w:pPr>
            <w:r w:rsidRPr="528E8AD9">
              <w:rPr>
                <w:rFonts w:eastAsia="Calibri" w:cs="Arial"/>
                <w:lang w:val="en-GB"/>
              </w:rPr>
              <w:t>None.</w:t>
            </w:r>
          </w:p>
        </w:tc>
      </w:tr>
      <w:tr w:rsidR="002441CC" w:rsidRPr="009F0BDE" w14:paraId="6469374E" w14:textId="77777777" w:rsidTr="25EBFC90">
        <w:trPr>
          <w:cantSplit/>
        </w:trPr>
        <w:tc>
          <w:tcPr>
            <w:tcW w:w="546" w:type="pct"/>
            <w:vMerge w:val="restart"/>
          </w:tcPr>
          <w:p w14:paraId="5BD3ABBB" w14:textId="77777777" w:rsidR="002441CC" w:rsidRPr="009F0BDE" w:rsidRDefault="002441CC" w:rsidP="009F0BDE">
            <w:pPr>
              <w:jc w:val="both"/>
              <w:rPr>
                <w:rFonts w:eastAsia="Calibri" w:cs="Arial"/>
                <w:lang w:val="it-IT"/>
              </w:rPr>
            </w:pPr>
            <w:r w:rsidRPr="009F0BDE">
              <w:rPr>
                <w:rFonts w:eastAsia="Calibri" w:cs="Arial"/>
                <w:lang w:val="it-IT"/>
              </w:rPr>
              <w:t>Metals and minerals</w:t>
            </w:r>
          </w:p>
          <w:p w14:paraId="627010D4" w14:textId="76F4FD82" w:rsidR="002441CC" w:rsidRPr="009F0BDE" w:rsidRDefault="002441CC" w:rsidP="009F0BDE">
            <w:pPr>
              <w:jc w:val="both"/>
              <w:rPr>
                <w:rFonts w:eastAsia="Calibri" w:cs="Arial"/>
                <w:lang w:val="it-IT"/>
              </w:rPr>
            </w:pPr>
          </w:p>
        </w:tc>
        <w:tc>
          <w:tcPr>
            <w:tcW w:w="1054" w:type="pct"/>
            <w:shd w:val="clear" w:color="auto" w:fill="auto"/>
          </w:tcPr>
          <w:p w14:paraId="00428470" w14:textId="77777777" w:rsidR="002441CC" w:rsidRPr="009F0BDE" w:rsidRDefault="5AB8A390" w:rsidP="528E8AD9">
            <w:pPr>
              <w:rPr>
                <w:rFonts w:eastAsia="Calibri" w:cs="Arial"/>
                <w:lang w:val="en-GB"/>
              </w:rPr>
            </w:pPr>
            <w:r w:rsidRPr="528E8AD9">
              <w:rPr>
                <w:rFonts w:eastAsia="Calibri" w:cs="Arial"/>
                <w:lang w:val="en-GB"/>
              </w:rPr>
              <w:t>Nickel oxide</w:t>
            </w:r>
          </w:p>
        </w:tc>
        <w:tc>
          <w:tcPr>
            <w:tcW w:w="510" w:type="pct"/>
            <w:shd w:val="clear" w:color="auto" w:fill="auto"/>
          </w:tcPr>
          <w:p w14:paraId="12DF73FD" w14:textId="77777777" w:rsidR="002441CC" w:rsidRPr="009F0BDE" w:rsidRDefault="5AB8A390" w:rsidP="528E8AD9">
            <w:pPr>
              <w:rPr>
                <w:rFonts w:eastAsia="Calibri" w:cs="Arial"/>
                <w:lang w:val="en-GB"/>
              </w:rPr>
            </w:pPr>
            <w:r w:rsidRPr="528E8AD9">
              <w:rPr>
                <w:rFonts w:eastAsia="Calibri" w:cs="Arial"/>
                <w:lang w:val="en-GB"/>
              </w:rPr>
              <w:t>IDEA</w:t>
            </w:r>
          </w:p>
        </w:tc>
        <w:tc>
          <w:tcPr>
            <w:tcW w:w="582" w:type="pct"/>
            <w:shd w:val="clear" w:color="auto" w:fill="auto"/>
          </w:tcPr>
          <w:p w14:paraId="21716656" w14:textId="77777777" w:rsidR="002441CC" w:rsidRPr="009F0BDE" w:rsidRDefault="5AB8A390" w:rsidP="528E8AD9">
            <w:pPr>
              <w:rPr>
                <w:rFonts w:eastAsia="Calibri" w:cs="Arial"/>
                <w:lang w:val="en-GB"/>
              </w:rPr>
            </w:pPr>
            <w:r w:rsidRPr="528E8AD9">
              <w:rPr>
                <w:rFonts w:eastAsia="Calibri" w:cs="Arial"/>
                <w:lang w:val="en-GB"/>
              </w:rPr>
              <w:t>Global</w:t>
            </w:r>
          </w:p>
        </w:tc>
        <w:tc>
          <w:tcPr>
            <w:tcW w:w="1383" w:type="pct"/>
            <w:shd w:val="clear" w:color="auto" w:fill="auto"/>
          </w:tcPr>
          <w:p w14:paraId="166FC6A5" w14:textId="77777777" w:rsidR="002441CC" w:rsidRPr="003D10B8" w:rsidRDefault="5AB8A390" w:rsidP="528E8AD9">
            <w:pPr>
              <w:rPr>
                <w:rFonts w:eastAsia="Calibri" w:cs="Arial"/>
                <w:lang w:val="en-GB"/>
              </w:rPr>
            </w:pPr>
            <w:r w:rsidRPr="528E8AD9">
              <w:rPr>
                <w:rFonts w:eastAsia="Calibri" w:cs="Arial"/>
                <w:lang w:val="en-GB"/>
              </w:rPr>
              <w:t xml:space="preserve">Production of nickel oxide from nickel ore, Ni content remainder of primary smelting, and Ni content extraction remainder from wet process. </w:t>
            </w:r>
          </w:p>
        </w:tc>
        <w:tc>
          <w:tcPr>
            <w:tcW w:w="925" w:type="pct"/>
          </w:tcPr>
          <w:p w14:paraId="592465FB" w14:textId="21209B84" w:rsidR="002441CC" w:rsidRPr="009F0BDE" w:rsidRDefault="5AB8A390" w:rsidP="528E8AD9">
            <w:pPr>
              <w:rPr>
                <w:rFonts w:eastAsia="Calibri" w:cs="Arial"/>
                <w:lang w:val="en-GB"/>
              </w:rPr>
            </w:pPr>
            <w:r w:rsidRPr="003D10B8">
              <w:rPr>
                <w:rFonts w:eastAsia="Calibri" w:cs="Arial"/>
                <w:lang w:val="en-GB"/>
              </w:rPr>
              <w:t>Reference year is 1999 and it is not specified if this is representative of the technology used for nickel oxide nowadays. An update might be necessary</w:t>
            </w:r>
          </w:p>
        </w:tc>
      </w:tr>
      <w:tr w:rsidR="002441CC" w:rsidRPr="009F0BDE" w14:paraId="53681C49" w14:textId="77777777" w:rsidTr="25EBFC90">
        <w:trPr>
          <w:cantSplit/>
        </w:trPr>
        <w:tc>
          <w:tcPr>
            <w:tcW w:w="546" w:type="pct"/>
            <w:vMerge/>
          </w:tcPr>
          <w:p w14:paraId="337BA578" w14:textId="325B0531" w:rsidR="002441CC" w:rsidRPr="009F0BDE" w:rsidRDefault="002441CC" w:rsidP="009F0BDE">
            <w:pPr>
              <w:jc w:val="both"/>
              <w:rPr>
                <w:rFonts w:eastAsia="Calibri" w:cs="Arial"/>
                <w:lang w:val="it-IT"/>
              </w:rPr>
            </w:pPr>
          </w:p>
        </w:tc>
        <w:tc>
          <w:tcPr>
            <w:tcW w:w="1054" w:type="pct"/>
            <w:shd w:val="clear" w:color="auto" w:fill="auto"/>
          </w:tcPr>
          <w:p w14:paraId="2987C948" w14:textId="34FE0D13" w:rsidR="002441CC" w:rsidRPr="009F0BDE" w:rsidRDefault="00376E92" w:rsidP="528E8AD9">
            <w:pPr>
              <w:rPr>
                <w:rFonts w:eastAsia="Calibri" w:cs="Arial"/>
                <w:lang w:val="en-GB"/>
              </w:rPr>
            </w:pPr>
            <w:r w:rsidRPr="25EBFC90">
              <w:rPr>
                <w:rFonts w:eastAsia="Calibri" w:cs="Arial"/>
                <w:lang w:val="en-GB"/>
              </w:rPr>
              <w:t>Yttrium; primary production, ore mining and processing, electrolysis; production mix, at plant; 4.47 g/cm3, 88.9 g/</w:t>
            </w:r>
            <w:proofErr w:type="spellStart"/>
            <w:r w:rsidRPr="25EBFC90">
              <w:rPr>
                <w:rFonts w:eastAsia="Calibri" w:cs="Arial"/>
                <w:lang w:val="en-GB"/>
              </w:rPr>
              <w:t>mol</w:t>
            </w:r>
            <w:proofErr w:type="spellEnd"/>
          </w:p>
        </w:tc>
        <w:tc>
          <w:tcPr>
            <w:tcW w:w="510" w:type="pct"/>
            <w:shd w:val="clear" w:color="auto" w:fill="auto"/>
          </w:tcPr>
          <w:p w14:paraId="59419D15" w14:textId="77777777" w:rsidR="002441CC" w:rsidRPr="003D10B8" w:rsidRDefault="5AB8A390" w:rsidP="528E8AD9">
            <w:pPr>
              <w:rPr>
                <w:rFonts w:eastAsia="Calibri" w:cs="Arial"/>
                <w:lang w:val="en-GB"/>
              </w:rPr>
            </w:pPr>
            <w:proofErr w:type="spellStart"/>
            <w:r w:rsidRPr="003D10B8">
              <w:rPr>
                <w:rFonts w:eastAsia="Calibri" w:cs="Arial"/>
                <w:lang w:val="en-GB"/>
              </w:rPr>
              <w:t>Sphera</w:t>
            </w:r>
            <w:proofErr w:type="spellEnd"/>
            <w:r w:rsidRPr="003D10B8">
              <w:rPr>
                <w:rFonts w:eastAsia="Calibri" w:cs="Arial"/>
                <w:lang w:val="en-GB"/>
              </w:rPr>
              <w:t xml:space="preserve"> (</w:t>
            </w:r>
            <w:proofErr w:type="spellStart"/>
            <w:r w:rsidRPr="003D10B8">
              <w:rPr>
                <w:rFonts w:eastAsia="Calibri" w:cs="Arial"/>
                <w:lang w:val="en-GB"/>
              </w:rPr>
              <w:t>GaBi</w:t>
            </w:r>
            <w:proofErr w:type="spellEnd"/>
            <w:r w:rsidRPr="003D10B8">
              <w:rPr>
                <w:rFonts w:eastAsia="Calibri" w:cs="Arial"/>
                <w:lang w:val="en-GB"/>
              </w:rPr>
              <w:t xml:space="preserve"> 2020 database)</w:t>
            </w:r>
          </w:p>
        </w:tc>
        <w:tc>
          <w:tcPr>
            <w:tcW w:w="582" w:type="pct"/>
            <w:shd w:val="clear" w:color="auto" w:fill="auto"/>
          </w:tcPr>
          <w:p w14:paraId="453404DF" w14:textId="77777777" w:rsidR="002441CC" w:rsidRPr="009F0BDE" w:rsidRDefault="5AB8A390" w:rsidP="528E8AD9">
            <w:pPr>
              <w:rPr>
                <w:rFonts w:eastAsia="Calibri" w:cs="Arial"/>
                <w:lang w:val="en-GB"/>
              </w:rPr>
            </w:pPr>
            <w:r w:rsidRPr="528E8AD9">
              <w:rPr>
                <w:rFonts w:eastAsia="Calibri" w:cs="Arial"/>
                <w:lang w:val="en-GB"/>
              </w:rPr>
              <w:t>China</w:t>
            </w:r>
          </w:p>
        </w:tc>
        <w:tc>
          <w:tcPr>
            <w:tcW w:w="1383" w:type="pct"/>
            <w:shd w:val="clear" w:color="auto" w:fill="auto"/>
          </w:tcPr>
          <w:p w14:paraId="77ABBB78" w14:textId="77777777" w:rsidR="002441CC" w:rsidRPr="009F0BDE" w:rsidRDefault="5AB8A390" w:rsidP="528E8AD9">
            <w:pPr>
              <w:rPr>
                <w:rFonts w:eastAsia="Calibri" w:cs="Arial"/>
                <w:lang w:val="en-GB"/>
              </w:rPr>
            </w:pPr>
            <w:r w:rsidRPr="528E8AD9">
              <w:rPr>
                <w:rFonts w:eastAsia="Calibri" w:cs="Arial"/>
                <w:lang w:val="en-GB"/>
              </w:rPr>
              <w:t>Cradle to gate, from extraction to the final Yttrium separation by fused salt electrolysis. The main data source is the Chinese Rare Earth Industry Report 2009 and additional oral communication with experts.</w:t>
            </w:r>
          </w:p>
        </w:tc>
        <w:tc>
          <w:tcPr>
            <w:tcW w:w="925" w:type="pct"/>
          </w:tcPr>
          <w:p w14:paraId="1243F058" w14:textId="7DBB923F" w:rsidR="002441CC" w:rsidRPr="009F0BDE" w:rsidRDefault="5AB8A390" w:rsidP="528E8AD9">
            <w:pPr>
              <w:rPr>
                <w:rFonts w:eastAsia="Calibri" w:cs="Arial"/>
                <w:lang w:val="en-GB"/>
              </w:rPr>
            </w:pPr>
            <w:r w:rsidRPr="528E8AD9">
              <w:rPr>
                <w:rFonts w:eastAsia="Calibri" w:cs="Arial"/>
                <w:lang w:val="en-GB"/>
              </w:rPr>
              <w:t>Oral communication with experts are challenging to be documented and checked by an external reviewer.</w:t>
            </w:r>
          </w:p>
        </w:tc>
      </w:tr>
      <w:tr w:rsidR="002441CC" w:rsidRPr="009F0BDE" w14:paraId="63B3A8AF" w14:textId="77777777" w:rsidTr="25EBFC90">
        <w:trPr>
          <w:cantSplit/>
        </w:trPr>
        <w:tc>
          <w:tcPr>
            <w:tcW w:w="546" w:type="pct"/>
            <w:vMerge/>
          </w:tcPr>
          <w:p w14:paraId="5C11FED3" w14:textId="48EE8B5A" w:rsidR="002441CC" w:rsidRPr="009F0BDE" w:rsidRDefault="002441CC" w:rsidP="009F0BDE">
            <w:pPr>
              <w:jc w:val="both"/>
              <w:rPr>
                <w:rFonts w:eastAsia="Calibri" w:cs="Arial"/>
                <w:lang w:val="en-GB"/>
              </w:rPr>
            </w:pPr>
          </w:p>
        </w:tc>
        <w:tc>
          <w:tcPr>
            <w:tcW w:w="1054" w:type="pct"/>
            <w:shd w:val="clear" w:color="auto" w:fill="auto"/>
          </w:tcPr>
          <w:p w14:paraId="3969CA7B" w14:textId="77777777" w:rsidR="002441CC" w:rsidRPr="009F0BDE" w:rsidRDefault="002441CC" w:rsidP="009F0BDE">
            <w:pPr>
              <w:rPr>
                <w:rFonts w:eastAsia="Calibri" w:cs="Arial"/>
                <w:lang w:val="en-GB"/>
              </w:rPr>
            </w:pPr>
            <w:r w:rsidRPr="009F0BDE">
              <w:rPr>
                <w:rFonts w:eastAsia="Calibri" w:cs="Arial"/>
                <w:lang w:val="en-GB"/>
              </w:rPr>
              <w:t>Titanium sponge, Raw material of Recycle</w:t>
            </w:r>
          </w:p>
        </w:tc>
        <w:tc>
          <w:tcPr>
            <w:tcW w:w="510" w:type="pct"/>
            <w:shd w:val="clear" w:color="auto" w:fill="auto"/>
          </w:tcPr>
          <w:p w14:paraId="2A89A4C1" w14:textId="77777777" w:rsidR="002441CC" w:rsidRPr="009F0BDE" w:rsidRDefault="002441CC" w:rsidP="009F0BDE">
            <w:pPr>
              <w:rPr>
                <w:rFonts w:eastAsia="Calibri" w:cs="Arial"/>
                <w:lang w:val="it-IT"/>
              </w:rPr>
            </w:pPr>
            <w:r w:rsidRPr="009F0BDE">
              <w:rPr>
                <w:rFonts w:eastAsia="Calibri" w:cs="Arial"/>
                <w:lang w:val="it-IT"/>
              </w:rPr>
              <w:t>KEITI</w:t>
            </w:r>
          </w:p>
        </w:tc>
        <w:tc>
          <w:tcPr>
            <w:tcW w:w="582" w:type="pct"/>
            <w:shd w:val="clear" w:color="auto" w:fill="auto"/>
          </w:tcPr>
          <w:p w14:paraId="7D82524E" w14:textId="77777777" w:rsidR="002441CC" w:rsidRPr="009F0BDE" w:rsidRDefault="002441CC" w:rsidP="009F0BDE">
            <w:pPr>
              <w:rPr>
                <w:rFonts w:eastAsia="Calibri" w:cs="Arial"/>
                <w:lang w:val="it-IT"/>
              </w:rPr>
            </w:pPr>
            <w:r w:rsidRPr="009F0BDE">
              <w:rPr>
                <w:rFonts w:eastAsia="Calibri" w:cs="Arial"/>
                <w:lang w:val="it-IT"/>
              </w:rPr>
              <w:t>Korea</w:t>
            </w:r>
          </w:p>
        </w:tc>
        <w:tc>
          <w:tcPr>
            <w:tcW w:w="1383" w:type="pct"/>
            <w:shd w:val="clear" w:color="auto" w:fill="auto"/>
          </w:tcPr>
          <w:p w14:paraId="0B9C8482" w14:textId="77777777" w:rsidR="002441CC" w:rsidRPr="009F0BDE" w:rsidRDefault="002441CC" w:rsidP="009F0BDE">
            <w:pPr>
              <w:rPr>
                <w:rFonts w:eastAsia="Calibri" w:cs="Arial"/>
                <w:lang w:val="en-GB"/>
              </w:rPr>
            </w:pPr>
            <w:r w:rsidRPr="009F0BDE">
              <w:rPr>
                <w:rFonts w:eastAsia="Calibri" w:cs="Arial"/>
                <w:lang w:val="en-GB"/>
              </w:rPr>
              <w:t>Production of Titanium sponges from mixed titanium scraps</w:t>
            </w:r>
          </w:p>
        </w:tc>
        <w:tc>
          <w:tcPr>
            <w:tcW w:w="925" w:type="pct"/>
          </w:tcPr>
          <w:p w14:paraId="0E94209C" w14:textId="535E4D9B" w:rsidR="002441CC" w:rsidRPr="009F0BDE" w:rsidRDefault="002441CC" w:rsidP="00E05634">
            <w:pPr>
              <w:keepNext/>
              <w:rPr>
                <w:rFonts w:eastAsia="Calibri" w:cs="Arial"/>
                <w:lang w:val="en-GB"/>
              </w:rPr>
            </w:pPr>
            <w:r w:rsidRPr="009F0BDE">
              <w:rPr>
                <w:rFonts w:eastAsia="Calibri" w:cs="Arial"/>
                <w:lang w:val="en-GB"/>
              </w:rPr>
              <w:t>Poor documentation is attached to the dataset</w:t>
            </w:r>
            <w:r w:rsidR="001D6907">
              <w:rPr>
                <w:rFonts w:eastAsia="Calibri" w:cs="Arial"/>
                <w:lang w:val="en-GB"/>
              </w:rPr>
              <w:t>, e.g. lack of information on the LCIA method applied for calculating results, lack of information about machinery used and waste generated, lack of details on the data sources, review and data quality</w:t>
            </w:r>
            <w:r w:rsidR="001D6907">
              <w:rPr>
                <w:rFonts w:eastAsia="Calibri" w:cs="Arial"/>
              </w:rPr>
              <w:t>)</w:t>
            </w:r>
            <w:r w:rsidRPr="009F0BDE">
              <w:rPr>
                <w:rFonts w:eastAsia="Calibri" w:cs="Arial"/>
                <w:lang w:val="en-GB"/>
              </w:rPr>
              <w:t>.</w:t>
            </w:r>
          </w:p>
        </w:tc>
      </w:tr>
      <w:tr w:rsidR="002441CC" w:rsidRPr="009F0BDE" w14:paraId="128F73D4" w14:textId="77777777" w:rsidTr="25EBFC90">
        <w:trPr>
          <w:cantSplit/>
        </w:trPr>
        <w:tc>
          <w:tcPr>
            <w:tcW w:w="546" w:type="pct"/>
            <w:vMerge/>
          </w:tcPr>
          <w:p w14:paraId="6A4D4618" w14:textId="416FED61" w:rsidR="002441CC" w:rsidRPr="009F0BDE" w:rsidRDefault="002441CC" w:rsidP="009F0BDE">
            <w:pPr>
              <w:jc w:val="both"/>
              <w:rPr>
                <w:rFonts w:eastAsia="Calibri" w:cs="Arial"/>
                <w:lang w:val="en-GB"/>
              </w:rPr>
            </w:pPr>
          </w:p>
        </w:tc>
        <w:tc>
          <w:tcPr>
            <w:tcW w:w="1054" w:type="pct"/>
            <w:shd w:val="clear" w:color="auto" w:fill="auto"/>
          </w:tcPr>
          <w:p w14:paraId="3186F83C" w14:textId="22D4854E" w:rsidR="002441CC" w:rsidRPr="009F0BDE" w:rsidRDefault="002441CC" w:rsidP="009F0BDE">
            <w:pPr>
              <w:rPr>
                <w:rFonts w:eastAsia="Calibri" w:cs="Arial"/>
                <w:lang w:val="en-GB"/>
              </w:rPr>
            </w:pPr>
            <w:r w:rsidRPr="002441CC">
              <w:rPr>
                <w:rFonts w:eastAsia="Calibri" w:cs="Arial"/>
                <w:lang w:val="en-GB"/>
              </w:rPr>
              <w:t>Iridium; primary production; production mix, at plant; solid, density. 22,56 g/cm3, molar mass: 192,2 g/</w:t>
            </w:r>
            <w:proofErr w:type="spellStart"/>
            <w:r w:rsidRPr="002441CC">
              <w:rPr>
                <w:rFonts w:eastAsia="Calibri" w:cs="Arial"/>
                <w:lang w:val="en-GB"/>
              </w:rPr>
              <w:t>mol</w:t>
            </w:r>
            <w:proofErr w:type="spellEnd"/>
            <w:r w:rsidRPr="002441CC">
              <w:rPr>
                <w:rFonts w:eastAsia="Calibri" w:cs="Arial"/>
                <w:lang w:val="en-GB"/>
              </w:rPr>
              <w:t>, electrical conductivity: 19,7 E06 A/(V · m)</w:t>
            </w:r>
          </w:p>
        </w:tc>
        <w:tc>
          <w:tcPr>
            <w:tcW w:w="510" w:type="pct"/>
            <w:shd w:val="clear" w:color="auto" w:fill="auto"/>
          </w:tcPr>
          <w:p w14:paraId="21EDF6C2" w14:textId="59B55DA8" w:rsidR="002441CC" w:rsidRPr="009F0BDE" w:rsidRDefault="002441CC" w:rsidP="009F0BDE">
            <w:pPr>
              <w:rPr>
                <w:rFonts w:eastAsia="Calibri" w:cs="Arial"/>
                <w:lang w:val="it-IT"/>
              </w:rPr>
            </w:pPr>
            <w:r w:rsidRPr="002441CC">
              <w:rPr>
                <w:rFonts w:eastAsia="Calibri" w:cs="Arial"/>
                <w:lang w:val="it-IT"/>
              </w:rPr>
              <w:t>MLC Database Premium - Metals 2024</w:t>
            </w:r>
          </w:p>
        </w:tc>
        <w:tc>
          <w:tcPr>
            <w:tcW w:w="582" w:type="pct"/>
            <w:shd w:val="clear" w:color="auto" w:fill="auto"/>
          </w:tcPr>
          <w:p w14:paraId="4120259A" w14:textId="0BFD7401" w:rsidR="002441CC" w:rsidRPr="009F0BDE" w:rsidRDefault="002441CC" w:rsidP="009F0BDE">
            <w:pPr>
              <w:rPr>
                <w:rFonts w:eastAsia="Calibri" w:cs="Arial"/>
                <w:lang w:val="it-IT"/>
              </w:rPr>
            </w:pPr>
            <w:r>
              <w:rPr>
                <w:rFonts w:eastAsia="Calibri" w:cs="Arial"/>
                <w:lang w:val="it-IT"/>
              </w:rPr>
              <w:t>South Africa</w:t>
            </w:r>
          </w:p>
        </w:tc>
        <w:tc>
          <w:tcPr>
            <w:tcW w:w="1383" w:type="pct"/>
            <w:shd w:val="clear" w:color="auto" w:fill="auto"/>
          </w:tcPr>
          <w:p w14:paraId="094F5679" w14:textId="5D343C23" w:rsidR="002441CC" w:rsidRPr="009F0BDE" w:rsidRDefault="002441CC" w:rsidP="009F0BDE">
            <w:pPr>
              <w:rPr>
                <w:rFonts w:eastAsia="Calibri" w:cs="Arial"/>
                <w:lang w:val="en-GB"/>
              </w:rPr>
            </w:pPr>
            <w:r>
              <w:rPr>
                <w:rFonts w:eastAsia="Calibri" w:cs="Arial"/>
                <w:lang w:val="en-GB"/>
              </w:rPr>
              <w:t xml:space="preserve">Cradle to gate production of Iridium from mining to refining, </w:t>
            </w:r>
            <w:r>
              <w:rPr>
                <w:rStyle w:val="dataneutral"/>
              </w:rPr>
              <w:t>considering the South African precious metal production.</w:t>
            </w:r>
          </w:p>
        </w:tc>
        <w:tc>
          <w:tcPr>
            <w:tcW w:w="925" w:type="pct"/>
          </w:tcPr>
          <w:p w14:paraId="43B5050C" w14:textId="4E78DC01" w:rsidR="002441CC" w:rsidRPr="009F0BDE" w:rsidRDefault="002441CC" w:rsidP="009F0BDE">
            <w:pPr>
              <w:keepNext/>
              <w:rPr>
                <w:rFonts w:eastAsia="Calibri" w:cs="Arial"/>
                <w:lang w:val="en-GB"/>
              </w:rPr>
            </w:pPr>
            <w:r>
              <w:rPr>
                <w:rFonts w:eastAsia="Calibri" w:cs="Arial"/>
                <w:lang w:val="en-GB"/>
              </w:rPr>
              <w:t>None.</w:t>
            </w:r>
          </w:p>
        </w:tc>
      </w:tr>
    </w:tbl>
    <w:p w14:paraId="423F306B" w14:textId="17DB33E4" w:rsidR="005C05B6" w:rsidRPr="00E05634" w:rsidRDefault="005C05B6" w:rsidP="00E05634"/>
    <w:p w14:paraId="67ECE54B" w14:textId="0215B2B2" w:rsidR="005C05B6" w:rsidRDefault="004C1A43" w:rsidP="005C05B6">
      <w:pPr>
        <w:rPr>
          <w:b/>
        </w:rPr>
      </w:pPr>
      <w:r>
        <w:rPr>
          <w:b/>
        </w:rPr>
        <w:t>References</w:t>
      </w:r>
    </w:p>
    <w:p w14:paraId="7E1BA1DA" w14:textId="671CEAA4" w:rsidR="004C1A43" w:rsidRPr="004C1A43" w:rsidRDefault="004C1A43" w:rsidP="004C1A43">
      <w:pPr>
        <w:widowControl w:val="0"/>
        <w:autoSpaceDE w:val="0"/>
        <w:autoSpaceDN w:val="0"/>
        <w:adjustRightInd w:val="0"/>
        <w:spacing w:line="240" w:lineRule="auto"/>
        <w:ind w:left="480" w:hanging="480"/>
        <w:rPr>
          <w:rFonts w:cs="Times New Roman"/>
          <w:noProof/>
          <w:szCs w:val="24"/>
        </w:rPr>
      </w:pPr>
      <w:r>
        <w:rPr>
          <w:b/>
        </w:rPr>
        <w:fldChar w:fldCharType="begin" w:fldLock="1"/>
      </w:r>
      <w:r>
        <w:rPr>
          <w:b/>
        </w:rPr>
        <w:instrText xml:space="preserve">ADDIN Mendeley Bibliography CSL_BIBLIOGRAPHY </w:instrText>
      </w:r>
      <w:r>
        <w:rPr>
          <w:b/>
        </w:rPr>
        <w:fldChar w:fldCharType="separate"/>
      </w:r>
      <w:r w:rsidRPr="004C1A43">
        <w:rPr>
          <w:rFonts w:cs="Times New Roman"/>
          <w:noProof/>
          <w:szCs w:val="24"/>
        </w:rPr>
        <w:t xml:space="preserve">Al-Khori, K., Al-Ghamdi, S. G., Boulfrad, S., &amp; Koç, M. (2021). Life cycle assessment for integration of solid oxide fuel cells into gas processing operations. </w:t>
      </w:r>
      <w:r w:rsidRPr="004C1A43">
        <w:rPr>
          <w:rFonts w:cs="Times New Roman"/>
          <w:i/>
          <w:iCs/>
          <w:noProof/>
          <w:szCs w:val="24"/>
        </w:rPr>
        <w:t>Energies</w:t>
      </w:r>
      <w:r w:rsidRPr="004C1A43">
        <w:rPr>
          <w:rFonts w:cs="Times New Roman"/>
          <w:noProof/>
          <w:szCs w:val="24"/>
        </w:rPr>
        <w:t xml:space="preserve">, </w:t>
      </w:r>
      <w:r w:rsidRPr="004C1A43">
        <w:rPr>
          <w:rFonts w:cs="Times New Roman"/>
          <w:i/>
          <w:iCs/>
          <w:noProof/>
          <w:szCs w:val="24"/>
        </w:rPr>
        <w:t>14</w:t>
      </w:r>
      <w:r w:rsidRPr="004C1A43">
        <w:rPr>
          <w:rFonts w:cs="Times New Roman"/>
          <w:noProof/>
          <w:szCs w:val="24"/>
        </w:rPr>
        <w:t>(15). https://doi.org/10.3390/en14154668</w:t>
      </w:r>
    </w:p>
    <w:p w14:paraId="051D2C99" w14:textId="77777777" w:rsidR="004C1A43" w:rsidRPr="004C1A43" w:rsidRDefault="004C1A43" w:rsidP="004C1A43">
      <w:pPr>
        <w:widowControl w:val="0"/>
        <w:autoSpaceDE w:val="0"/>
        <w:autoSpaceDN w:val="0"/>
        <w:adjustRightInd w:val="0"/>
        <w:spacing w:line="240" w:lineRule="auto"/>
        <w:ind w:left="480" w:hanging="480"/>
        <w:rPr>
          <w:rFonts w:cs="Times New Roman"/>
          <w:noProof/>
          <w:szCs w:val="24"/>
        </w:rPr>
      </w:pPr>
      <w:r w:rsidRPr="004C1A43">
        <w:rPr>
          <w:rFonts w:cs="Times New Roman"/>
          <w:noProof/>
          <w:szCs w:val="24"/>
        </w:rPr>
        <w:t xml:space="preserve">Aydin, M. I., &amp; Dincer, I. (2022). A life cycle impact analysis of various hydrogen production methods for public transportation sector. </w:t>
      </w:r>
      <w:r w:rsidRPr="004C1A43">
        <w:rPr>
          <w:rFonts w:cs="Times New Roman"/>
          <w:i/>
          <w:iCs/>
          <w:noProof/>
          <w:szCs w:val="24"/>
        </w:rPr>
        <w:t>International Journal of Hydrogen Energy</w:t>
      </w:r>
      <w:r w:rsidRPr="004C1A43">
        <w:rPr>
          <w:rFonts w:cs="Times New Roman"/>
          <w:noProof/>
          <w:szCs w:val="24"/>
        </w:rPr>
        <w:t xml:space="preserve">, </w:t>
      </w:r>
      <w:r w:rsidRPr="004C1A43">
        <w:rPr>
          <w:rFonts w:cs="Times New Roman"/>
          <w:i/>
          <w:iCs/>
          <w:noProof/>
          <w:szCs w:val="24"/>
        </w:rPr>
        <w:t>47</w:t>
      </w:r>
      <w:r w:rsidRPr="004C1A43">
        <w:rPr>
          <w:rFonts w:cs="Times New Roman"/>
          <w:noProof/>
          <w:szCs w:val="24"/>
        </w:rPr>
        <w:t>(93), 39666–39677. https://doi.org/10.1016/j.ijhydene.2022.09.125</w:t>
      </w:r>
    </w:p>
    <w:p w14:paraId="4B449B8F" w14:textId="77777777" w:rsidR="004C1A43" w:rsidRPr="004C1A43" w:rsidRDefault="004C1A43" w:rsidP="004C1A43">
      <w:pPr>
        <w:widowControl w:val="0"/>
        <w:autoSpaceDE w:val="0"/>
        <w:autoSpaceDN w:val="0"/>
        <w:adjustRightInd w:val="0"/>
        <w:spacing w:line="240" w:lineRule="auto"/>
        <w:ind w:left="480" w:hanging="480"/>
        <w:rPr>
          <w:rFonts w:cs="Times New Roman"/>
          <w:noProof/>
          <w:szCs w:val="24"/>
        </w:rPr>
      </w:pPr>
      <w:r w:rsidRPr="004C1A43">
        <w:rPr>
          <w:rFonts w:cs="Times New Roman"/>
          <w:noProof/>
          <w:szCs w:val="24"/>
        </w:rPr>
        <w:t xml:space="preserve">Bareiß, K., de la Rua, C., Möckl, M., &amp; Hamacher, T. (2019). Life cycle assessment of hydrogen from proton exchange membrane water electrolysis in future energy systems. </w:t>
      </w:r>
      <w:r w:rsidRPr="004C1A43">
        <w:rPr>
          <w:rFonts w:cs="Times New Roman"/>
          <w:i/>
          <w:iCs/>
          <w:noProof/>
          <w:szCs w:val="24"/>
        </w:rPr>
        <w:t>Applied Energy</w:t>
      </w:r>
      <w:r w:rsidRPr="004C1A43">
        <w:rPr>
          <w:rFonts w:cs="Times New Roman"/>
          <w:noProof/>
          <w:szCs w:val="24"/>
        </w:rPr>
        <w:t xml:space="preserve">, </w:t>
      </w:r>
      <w:r w:rsidRPr="004C1A43">
        <w:rPr>
          <w:rFonts w:cs="Times New Roman"/>
          <w:i/>
          <w:iCs/>
          <w:noProof/>
          <w:szCs w:val="24"/>
        </w:rPr>
        <w:t>237</w:t>
      </w:r>
      <w:r w:rsidRPr="004C1A43">
        <w:rPr>
          <w:rFonts w:cs="Times New Roman"/>
          <w:noProof/>
          <w:szCs w:val="24"/>
        </w:rPr>
        <w:t>(January), 862–872. https://doi.org/10.1016/j.apenergy.2019.01.001</w:t>
      </w:r>
    </w:p>
    <w:p w14:paraId="22109CB6" w14:textId="77777777" w:rsidR="004C1A43" w:rsidRPr="004C1A43" w:rsidRDefault="004C1A43" w:rsidP="004C1A43">
      <w:pPr>
        <w:widowControl w:val="0"/>
        <w:autoSpaceDE w:val="0"/>
        <w:autoSpaceDN w:val="0"/>
        <w:adjustRightInd w:val="0"/>
        <w:spacing w:line="240" w:lineRule="auto"/>
        <w:ind w:left="480" w:hanging="480"/>
        <w:rPr>
          <w:rFonts w:cs="Times New Roman"/>
          <w:noProof/>
          <w:szCs w:val="24"/>
        </w:rPr>
      </w:pPr>
      <w:r w:rsidRPr="004C1A43">
        <w:rPr>
          <w:rFonts w:cs="Times New Roman"/>
          <w:noProof/>
          <w:szCs w:val="24"/>
        </w:rPr>
        <w:t xml:space="preserve">Bicer, Y., &amp; Khalid, F. (2020). Life cycle environmental impact comparison of solid oxide fuel cells fueled by natural gas, hydrogen, ammonia and methanol for combined heat and power generation. </w:t>
      </w:r>
      <w:r w:rsidRPr="004C1A43">
        <w:rPr>
          <w:rFonts w:cs="Times New Roman"/>
          <w:i/>
          <w:iCs/>
          <w:noProof/>
          <w:szCs w:val="24"/>
        </w:rPr>
        <w:t>International Journal of Hydrogen Energy</w:t>
      </w:r>
      <w:r w:rsidRPr="004C1A43">
        <w:rPr>
          <w:rFonts w:cs="Times New Roman"/>
          <w:noProof/>
          <w:szCs w:val="24"/>
        </w:rPr>
        <w:t xml:space="preserve">, </w:t>
      </w:r>
      <w:r w:rsidRPr="004C1A43">
        <w:rPr>
          <w:rFonts w:cs="Times New Roman"/>
          <w:i/>
          <w:iCs/>
          <w:noProof/>
          <w:szCs w:val="24"/>
        </w:rPr>
        <w:t>45</w:t>
      </w:r>
      <w:r w:rsidRPr="004C1A43">
        <w:rPr>
          <w:rFonts w:cs="Times New Roman"/>
          <w:noProof/>
          <w:szCs w:val="24"/>
        </w:rPr>
        <w:t>(5), 3670–3685. https://doi.org/10.1016/j.ijhydene.2018.11.122</w:t>
      </w:r>
    </w:p>
    <w:p w14:paraId="7258AAD6" w14:textId="77777777" w:rsidR="004C1A43" w:rsidRPr="004C1A43" w:rsidRDefault="004C1A43" w:rsidP="004C1A43">
      <w:pPr>
        <w:widowControl w:val="0"/>
        <w:autoSpaceDE w:val="0"/>
        <w:autoSpaceDN w:val="0"/>
        <w:adjustRightInd w:val="0"/>
        <w:spacing w:line="240" w:lineRule="auto"/>
        <w:ind w:left="480" w:hanging="480"/>
        <w:rPr>
          <w:rFonts w:cs="Times New Roman"/>
          <w:noProof/>
          <w:szCs w:val="24"/>
        </w:rPr>
      </w:pPr>
      <w:r w:rsidRPr="004C1A43">
        <w:rPr>
          <w:rFonts w:cs="Times New Roman"/>
          <w:noProof/>
          <w:szCs w:val="24"/>
        </w:rPr>
        <w:t xml:space="preserve">Di Florio, G., Macchi, E. G., Mongibello, L., Baratto, M. C., Basosi, R., Busi, E., Caliano, M., Cigolotti, V., Testi, M., &amp; Trini, M. (2021). Comparative life cycle assessment of two different SOFC-based cogeneration systems with thermal energy storage integrated into a single-family house nanogrid. </w:t>
      </w:r>
      <w:r w:rsidRPr="004C1A43">
        <w:rPr>
          <w:rFonts w:cs="Times New Roman"/>
          <w:i/>
          <w:iCs/>
          <w:noProof/>
          <w:szCs w:val="24"/>
        </w:rPr>
        <w:t>Applied Energy</w:t>
      </w:r>
      <w:r w:rsidRPr="004C1A43">
        <w:rPr>
          <w:rFonts w:cs="Times New Roman"/>
          <w:noProof/>
          <w:szCs w:val="24"/>
        </w:rPr>
        <w:t xml:space="preserve">, </w:t>
      </w:r>
      <w:r w:rsidRPr="004C1A43">
        <w:rPr>
          <w:rFonts w:cs="Times New Roman"/>
          <w:i/>
          <w:iCs/>
          <w:noProof/>
          <w:szCs w:val="24"/>
        </w:rPr>
        <w:t>285</w:t>
      </w:r>
      <w:r w:rsidRPr="004C1A43">
        <w:rPr>
          <w:rFonts w:cs="Times New Roman"/>
          <w:noProof/>
          <w:szCs w:val="24"/>
        </w:rPr>
        <w:t>(December 2020). https://doi.org/10.1016/j.apenergy.2020.116378</w:t>
      </w:r>
    </w:p>
    <w:p w14:paraId="4E9EC0D6" w14:textId="77777777" w:rsidR="004C1A43" w:rsidRPr="004C1A43" w:rsidRDefault="004C1A43" w:rsidP="004C1A43">
      <w:pPr>
        <w:widowControl w:val="0"/>
        <w:autoSpaceDE w:val="0"/>
        <w:autoSpaceDN w:val="0"/>
        <w:adjustRightInd w:val="0"/>
        <w:spacing w:line="240" w:lineRule="auto"/>
        <w:ind w:left="480" w:hanging="480"/>
        <w:rPr>
          <w:rFonts w:cs="Times New Roman"/>
          <w:noProof/>
          <w:szCs w:val="24"/>
        </w:rPr>
      </w:pPr>
      <w:r w:rsidRPr="004C1A43">
        <w:rPr>
          <w:rFonts w:cs="Times New Roman"/>
          <w:noProof/>
          <w:szCs w:val="24"/>
        </w:rPr>
        <w:t xml:space="preserve">Duclos, L., Chattot, R., Dubau, L., Thivel, P. X., Mandil, G., Laforest, V., Bolloli, M., Vincent, R., &amp; Svecova, L. (2020). Closing the loop: Life cycle assessment and optimization of a PEMFC platinum-based catalyst recycling process. </w:t>
      </w:r>
      <w:r w:rsidRPr="004C1A43">
        <w:rPr>
          <w:rFonts w:cs="Times New Roman"/>
          <w:i/>
          <w:iCs/>
          <w:noProof/>
          <w:szCs w:val="24"/>
        </w:rPr>
        <w:t>Green Chemistry</w:t>
      </w:r>
      <w:r w:rsidRPr="004C1A43">
        <w:rPr>
          <w:rFonts w:cs="Times New Roman"/>
          <w:noProof/>
          <w:szCs w:val="24"/>
        </w:rPr>
        <w:t xml:space="preserve">, </w:t>
      </w:r>
      <w:r w:rsidRPr="004C1A43">
        <w:rPr>
          <w:rFonts w:cs="Times New Roman"/>
          <w:i/>
          <w:iCs/>
          <w:noProof/>
          <w:szCs w:val="24"/>
        </w:rPr>
        <w:t>22</w:t>
      </w:r>
      <w:r w:rsidRPr="004C1A43">
        <w:rPr>
          <w:rFonts w:cs="Times New Roman"/>
          <w:noProof/>
          <w:szCs w:val="24"/>
        </w:rPr>
        <w:t>(6), 1919–1933. https://doi.org/10.1039/c9gc03630j</w:t>
      </w:r>
    </w:p>
    <w:p w14:paraId="3B58BD91" w14:textId="77777777" w:rsidR="004C1A43" w:rsidRPr="004C1A43" w:rsidRDefault="004C1A43" w:rsidP="004C1A43">
      <w:pPr>
        <w:widowControl w:val="0"/>
        <w:autoSpaceDE w:val="0"/>
        <w:autoSpaceDN w:val="0"/>
        <w:adjustRightInd w:val="0"/>
        <w:spacing w:line="240" w:lineRule="auto"/>
        <w:ind w:left="480" w:hanging="480"/>
        <w:rPr>
          <w:rFonts w:cs="Times New Roman"/>
          <w:noProof/>
          <w:szCs w:val="24"/>
        </w:rPr>
      </w:pPr>
      <w:r w:rsidRPr="004C1A43">
        <w:rPr>
          <w:rFonts w:cs="Times New Roman"/>
          <w:noProof/>
          <w:szCs w:val="24"/>
        </w:rPr>
        <w:lastRenderedPageBreak/>
        <w:t xml:space="preserve">Fernández-Ríos, A., Santos, G., Pinedo, J., Santos, E., Ruiz-Salmón, I., Laso, J., Lyne, A., Ortiz, A., Ortiz, I., Irabien, Á., Aldaco, R., &amp; Margallo, M. (2022). Environmental sustainability of alternative marine propulsion technologies powered by hydrogen - a life cycle assessment approach. </w:t>
      </w:r>
      <w:r w:rsidRPr="004C1A43">
        <w:rPr>
          <w:rFonts w:cs="Times New Roman"/>
          <w:i/>
          <w:iCs/>
          <w:noProof/>
          <w:szCs w:val="24"/>
        </w:rPr>
        <w:t>Science of the Total Environment</w:t>
      </w:r>
      <w:r w:rsidRPr="004C1A43">
        <w:rPr>
          <w:rFonts w:cs="Times New Roman"/>
          <w:noProof/>
          <w:szCs w:val="24"/>
        </w:rPr>
        <w:t xml:space="preserve">, </w:t>
      </w:r>
      <w:r w:rsidRPr="004C1A43">
        <w:rPr>
          <w:rFonts w:cs="Times New Roman"/>
          <w:i/>
          <w:iCs/>
          <w:noProof/>
          <w:szCs w:val="24"/>
        </w:rPr>
        <w:t>820</w:t>
      </w:r>
      <w:r w:rsidRPr="004C1A43">
        <w:rPr>
          <w:rFonts w:cs="Times New Roman"/>
          <w:noProof/>
          <w:szCs w:val="24"/>
        </w:rPr>
        <w:t>. https://doi.org/10.1016/j.scitotenv.2022.153189</w:t>
      </w:r>
    </w:p>
    <w:p w14:paraId="566D25C3" w14:textId="77777777" w:rsidR="004C1A43" w:rsidRPr="004C1A43" w:rsidRDefault="004C1A43" w:rsidP="004C1A43">
      <w:pPr>
        <w:widowControl w:val="0"/>
        <w:autoSpaceDE w:val="0"/>
        <w:autoSpaceDN w:val="0"/>
        <w:adjustRightInd w:val="0"/>
        <w:spacing w:line="240" w:lineRule="auto"/>
        <w:ind w:left="480" w:hanging="480"/>
        <w:rPr>
          <w:rFonts w:cs="Times New Roman"/>
          <w:noProof/>
          <w:szCs w:val="24"/>
        </w:rPr>
      </w:pPr>
      <w:r w:rsidRPr="004C1A43">
        <w:rPr>
          <w:rFonts w:cs="Times New Roman"/>
          <w:noProof/>
          <w:szCs w:val="24"/>
        </w:rPr>
        <w:t xml:space="preserve">Gandiglio, M., Sario, F. De, Lanzini, A., Bobba, S., Santarelli, M., &amp; Blengini, G. A. (2019). Life Cycle Assessment of a Biogas-Fed Solid Oxide Treatment Plant. </w:t>
      </w:r>
      <w:r w:rsidRPr="004C1A43">
        <w:rPr>
          <w:rFonts w:cs="Times New Roman"/>
          <w:i/>
          <w:iCs/>
          <w:noProof/>
          <w:szCs w:val="24"/>
        </w:rPr>
        <w:t>Energies</w:t>
      </w:r>
      <w:r w:rsidRPr="004C1A43">
        <w:rPr>
          <w:rFonts w:cs="Times New Roman"/>
          <w:noProof/>
          <w:szCs w:val="24"/>
        </w:rPr>
        <w:t xml:space="preserve">, </w:t>
      </w:r>
      <w:r w:rsidRPr="004C1A43">
        <w:rPr>
          <w:rFonts w:cs="Times New Roman"/>
          <w:i/>
          <w:iCs/>
          <w:noProof/>
          <w:szCs w:val="24"/>
        </w:rPr>
        <w:t>12</w:t>
      </w:r>
      <w:r w:rsidRPr="004C1A43">
        <w:rPr>
          <w:rFonts w:cs="Times New Roman"/>
          <w:noProof/>
          <w:szCs w:val="24"/>
        </w:rPr>
        <w:t>, 1611.</w:t>
      </w:r>
    </w:p>
    <w:p w14:paraId="344E8B9F" w14:textId="77777777" w:rsidR="004C1A43" w:rsidRPr="004C1A43" w:rsidRDefault="004C1A43" w:rsidP="004C1A43">
      <w:pPr>
        <w:widowControl w:val="0"/>
        <w:autoSpaceDE w:val="0"/>
        <w:autoSpaceDN w:val="0"/>
        <w:adjustRightInd w:val="0"/>
        <w:spacing w:line="240" w:lineRule="auto"/>
        <w:ind w:left="480" w:hanging="480"/>
        <w:rPr>
          <w:rFonts w:cs="Times New Roman"/>
          <w:noProof/>
          <w:szCs w:val="24"/>
        </w:rPr>
      </w:pPr>
      <w:r w:rsidRPr="004C1A43">
        <w:rPr>
          <w:rFonts w:cs="Times New Roman"/>
          <w:noProof/>
          <w:szCs w:val="24"/>
        </w:rPr>
        <w:t xml:space="preserve">Gerloff, N. (2021). Comparative Life-Cycle-Assessment analysis of three major water electrolysis technologies while applying various energy scenarios for a greener hydrogen production. </w:t>
      </w:r>
      <w:r w:rsidRPr="004C1A43">
        <w:rPr>
          <w:rFonts w:cs="Times New Roman"/>
          <w:i/>
          <w:iCs/>
          <w:noProof/>
          <w:szCs w:val="24"/>
        </w:rPr>
        <w:t>Journal of Energy Storage</w:t>
      </w:r>
      <w:r w:rsidRPr="004C1A43">
        <w:rPr>
          <w:rFonts w:cs="Times New Roman"/>
          <w:noProof/>
          <w:szCs w:val="24"/>
        </w:rPr>
        <w:t xml:space="preserve">, </w:t>
      </w:r>
      <w:r w:rsidRPr="004C1A43">
        <w:rPr>
          <w:rFonts w:cs="Times New Roman"/>
          <w:i/>
          <w:iCs/>
          <w:noProof/>
          <w:szCs w:val="24"/>
        </w:rPr>
        <w:t>43</w:t>
      </w:r>
      <w:r w:rsidRPr="004C1A43">
        <w:rPr>
          <w:rFonts w:cs="Times New Roman"/>
          <w:noProof/>
          <w:szCs w:val="24"/>
        </w:rPr>
        <w:t>(May), 102759. https://doi.org/10.1016/j.est.2021.102759</w:t>
      </w:r>
    </w:p>
    <w:p w14:paraId="444F2E2D" w14:textId="77777777" w:rsidR="004C1A43" w:rsidRPr="004C1A43" w:rsidRDefault="004C1A43" w:rsidP="004C1A43">
      <w:pPr>
        <w:widowControl w:val="0"/>
        <w:autoSpaceDE w:val="0"/>
        <w:autoSpaceDN w:val="0"/>
        <w:adjustRightInd w:val="0"/>
        <w:spacing w:line="240" w:lineRule="auto"/>
        <w:ind w:left="480" w:hanging="480"/>
        <w:rPr>
          <w:rFonts w:cs="Times New Roman"/>
          <w:noProof/>
          <w:szCs w:val="24"/>
        </w:rPr>
      </w:pPr>
      <w:r w:rsidRPr="004C1A43">
        <w:rPr>
          <w:rFonts w:cs="Times New Roman"/>
          <w:noProof/>
          <w:szCs w:val="24"/>
        </w:rPr>
        <w:t xml:space="preserve">Gulotta, T. M., Salomone, R., Mondello, G., Saija, G., Lanuzza, F., &amp; Briguglio, N. (2023). Life Cycle Assessment and Environmental Life Cycle costing of a unitised regenerative fuel cell stack. </w:t>
      </w:r>
      <w:r w:rsidRPr="004C1A43">
        <w:rPr>
          <w:rFonts w:cs="Times New Roman"/>
          <w:i/>
          <w:iCs/>
          <w:noProof/>
          <w:szCs w:val="24"/>
        </w:rPr>
        <w:t>Science of the Total Environment</w:t>
      </w:r>
      <w:r w:rsidRPr="004C1A43">
        <w:rPr>
          <w:rFonts w:cs="Times New Roman"/>
          <w:noProof/>
          <w:szCs w:val="24"/>
        </w:rPr>
        <w:t xml:space="preserve">, </w:t>
      </w:r>
      <w:r w:rsidRPr="004C1A43">
        <w:rPr>
          <w:rFonts w:cs="Times New Roman"/>
          <w:i/>
          <w:iCs/>
          <w:noProof/>
          <w:szCs w:val="24"/>
        </w:rPr>
        <w:t>901</w:t>
      </w:r>
      <w:r w:rsidRPr="004C1A43">
        <w:rPr>
          <w:rFonts w:cs="Times New Roman"/>
          <w:noProof/>
          <w:szCs w:val="24"/>
        </w:rPr>
        <w:t>(May), 166007. https://doi.org/10.1016/j.scitotenv.2023.166007</w:t>
      </w:r>
    </w:p>
    <w:p w14:paraId="2CAB3EE7" w14:textId="77777777" w:rsidR="004C1A43" w:rsidRPr="004C1A43" w:rsidRDefault="004C1A43" w:rsidP="004C1A43">
      <w:pPr>
        <w:widowControl w:val="0"/>
        <w:autoSpaceDE w:val="0"/>
        <w:autoSpaceDN w:val="0"/>
        <w:adjustRightInd w:val="0"/>
        <w:spacing w:line="240" w:lineRule="auto"/>
        <w:ind w:left="480" w:hanging="480"/>
        <w:rPr>
          <w:rFonts w:cs="Times New Roman"/>
          <w:noProof/>
          <w:szCs w:val="24"/>
        </w:rPr>
      </w:pPr>
      <w:r w:rsidRPr="004C1A43">
        <w:rPr>
          <w:rFonts w:cs="Times New Roman"/>
          <w:noProof/>
          <w:szCs w:val="24"/>
        </w:rPr>
        <w:t xml:space="preserve">Kerscher, F., Stary, A., Gleis, S., Ulrich, A., Klein, H., &amp; Spliethoff, H. (2021). Low-carbon hydrogen production via electron beam plasma methane pyrolysis: Techno-economic analysis and carbon footprint assessment. </w:t>
      </w:r>
      <w:r w:rsidRPr="004C1A43">
        <w:rPr>
          <w:rFonts w:cs="Times New Roman"/>
          <w:i/>
          <w:iCs/>
          <w:noProof/>
          <w:szCs w:val="24"/>
        </w:rPr>
        <w:t>International Journal of Hydrogen Energy</w:t>
      </w:r>
      <w:r w:rsidRPr="004C1A43">
        <w:rPr>
          <w:rFonts w:cs="Times New Roman"/>
          <w:noProof/>
          <w:szCs w:val="24"/>
        </w:rPr>
        <w:t xml:space="preserve">, </w:t>
      </w:r>
      <w:r w:rsidRPr="004C1A43">
        <w:rPr>
          <w:rFonts w:cs="Times New Roman"/>
          <w:i/>
          <w:iCs/>
          <w:noProof/>
          <w:szCs w:val="24"/>
        </w:rPr>
        <w:t>46</w:t>
      </w:r>
      <w:r w:rsidRPr="004C1A43">
        <w:rPr>
          <w:rFonts w:cs="Times New Roman"/>
          <w:noProof/>
          <w:szCs w:val="24"/>
        </w:rPr>
        <w:t>(38), 19897–19912. https://doi.org/10.1016/j.ijhydene.2021.03.114</w:t>
      </w:r>
    </w:p>
    <w:p w14:paraId="4098F37E" w14:textId="77777777" w:rsidR="004C1A43" w:rsidRPr="004C1A43" w:rsidRDefault="004C1A43" w:rsidP="004C1A43">
      <w:pPr>
        <w:widowControl w:val="0"/>
        <w:autoSpaceDE w:val="0"/>
        <w:autoSpaceDN w:val="0"/>
        <w:adjustRightInd w:val="0"/>
        <w:spacing w:line="240" w:lineRule="auto"/>
        <w:ind w:left="480" w:hanging="480"/>
        <w:rPr>
          <w:rFonts w:cs="Times New Roman"/>
          <w:noProof/>
          <w:szCs w:val="24"/>
        </w:rPr>
      </w:pPr>
      <w:r w:rsidRPr="004C1A43">
        <w:rPr>
          <w:rFonts w:cs="Times New Roman"/>
          <w:noProof/>
          <w:szCs w:val="24"/>
        </w:rPr>
        <w:t xml:space="preserve">Lee, B., Cho, H. S., Kim, H., Lim, D., Cho, W., Kim, C. H., &amp; Lim, H. (2021). Integrative techno-economic and environmental assessment for green H2 production by alkaline water electrolysis based on experimental data. </w:t>
      </w:r>
      <w:r w:rsidRPr="004C1A43">
        <w:rPr>
          <w:rFonts w:cs="Times New Roman"/>
          <w:i/>
          <w:iCs/>
          <w:noProof/>
          <w:szCs w:val="24"/>
        </w:rPr>
        <w:t>Journal of Environmental Chemical Engineering</w:t>
      </w:r>
      <w:r w:rsidRPr="004C1A43">
        <w:rPr>
          <w:rFonts w:cs="Times New Roman"/>
          <w:noProof/>
          <w:szCs w:val="24"/>
        </w:rPr>
        <w:t xml:space="preserve">, </w:t>
      </w:r>
      <w:r w:rsidRPr="004C1A43">
        <w:rPr>
          <w:rFonts w:cs="Times New Roman"/>
          <w:i/>
          <w:iCs/>
          <w:noProof/>
          <w:szCs w:val="24"/>
        </w:rPr>
        <w:t>9</w:t>
      </w:r>
      <w:r w:rsidRPr="004C1A43">
        <w:rPr>
          <w:rFonts w:cs="Times New Roman"/>
          <w:noProof/>
          <w:szCs w:val="24"/>
        </w:rPr>
        <w:t>(6), 106349. https://doi.org/10.1016/j.jece.2021.106349</w:t>
      </w:r>
    </w:p>
    <w:p w14:paraId="46C1FEDE" w14:textId="77777777" w:rsidR="004C1A43" w:rsidRPr="004C1A43" w:rsidRDefault="004C1A43" w:rsidP="004C1A43">
      <w:pPr>
        <w:widowControl w:val="0"/>
        <w:autoSpaceDE w:val="0"/>
        <w:autoSpaceDN w:val="0"/>
        <w:adjustRightInd w:val="0"/>
        <w:spacing w:line="240" w:lineRule="auto"/>
        <w:ind w:left="480" w:hanging="480"/>
        <w:rPr>
          <w:rFonts w:cs="Times New Roman"/>
          <w:noProof/>
          <w:szCs w:val="24"/>
        </w:rPr>
      </w:pPr>
      <w:r w:rsidRPr="004C1A43">
        <w:rPr>
          <w:rFonts w:cs="Times New Roman"/>
          <w:noProof/>
          <w:szCs w:val="24"/>
        </w:rPr>
        <w:t xml:space="preserve">Longo, S., Cellura, M., Guarino, F., Brunaccini, G., &amp; Ferraro, M. (2019). Life cycle energy and environmental impacts of a solid oxide fuel cell micro-CHP system for residential application. </w:t>
      </w:r>
      <w:r w:rsidRPr="004C1A43">
        <w:rPr>
          <w:rFonts w:cs="Times New Roman"/>
          <w:i/>
          <w:iCs/>
          <w:noProof/>
          <w:szCs w:val="24"/>
        </w:rPr>
        <w:t>Science of the Total Environment</w:t>
      </w:r>
      <w:r w:rsidRPr="004C1A43">
        <w:rPr>
          <w:rFonts w:cs="Times New Roman"/>
          <w:noProof/>
          <w:szCs w:val="24"/>
        </w:rPr>
        <w:t xml:space="preserve">, </w:t>
      </w:r>
      <w:r w:rsidRPr="004C1A43">
        <w:rPr>
          <w:rFonts w:cs="Times New Roman"/>
          <w:i/>
          <w:iCs/>
          <w:noProof/>
          <w:szCs w:val="24"/>
        </w:rPr>
        <w:t>685</w:t>
      </w:r>
      <w:r w:rsidRPr="004C1A43">
        <w:rPr>
          <w:rFonts w:cs="Times New Roman"/>
          <w:noProof/>
          <w:szCs w:val="24"/>
        </w:rPr>
        <w:t>, 59–73. https://doi.org/10.1016/j.scitotenv.2019.05.368</w:t>
      </w:r>
    </w:p>
    <w:p w14:paraId="1B5B592D" w14:textId="77777777" w:rsidR="004C1A43" w:rsidRPr="004C1A43" w:rsidRDefault="004C1A43" w:rsidP="004C1A43">
      <w:pPr>
        <w:widowControl w:val="0"/>
        <w:autoSpaceDE w:val="0"/>
        <w:autoSpaceDN w:val="0"/>
        <w:adjustRightInd w:val="0"/>
        <w:spacing w:line="240" w:lineRule="auto"/>
        <w:ind w:left="480" w:hanging="480"/>
        <w:rPr>
          <w:rFonts w:cs="Times New Roman"/>
          <w:noProof/>
          <w:szCs w:val="24"/>
        </w:rPr>
      </w:pPr>
      <w:r w:rsidRPr="004C1A43">
        <w:rPr>
          <w:rFonts w:cs="Times New Roman"/>
          <w:noProof/>
          <w:szCs w:val="24"/>
        </w:rPr>
        <w:t xml:space="preserve">Lotrič, A., Sekavčnik, M., Kuštrin, I., &amp; Mori, M. (2021). Life-cycle assessment of hydrogen technologies with the focus on EU critical raw materials and end-of-life strategies. </w:t>
      </w:r>
      <w:r w:rsidRPr="004C1A43">
        <w:rPr>
          <w:rFonts w:cs="Times New Roman"/>
          <w:i/>
          <w:iCs/>
          <w:noProof/>
          <w:szCs w:val="24"/>
        </w:rPr>
        <w:t>International Journal of Hydrogen Energy</w:t>
      </w:r>
      <w:r w:rsidRPr="004C1A43">
        <w:rPr>
          <w:rFonts w:cs="Times New Roman"/>
          <w:noProof/>
          <w:szCs w:val="24"/>
        </w:rPr>
        <w:t xml:space="preserve">, </w:t>
      </w:r>
      <w:r w:rsidRPr="004C1A43">
        <w:rPr>
          <w:rFonts w:cs="Times New Roman"/>
          <w:i/>
          <w:iCs/>
          <w:noProof/>
          <w:szCs w:val="24"/>
        </w:rPr>
        <w:t>46</w:t>
      </w:r>
      <w:r w:rsidRPr="004C1A43">
        <w:rPr>
          <w:rFonts w:cs="Times New Roman"/>
          <w:noProof/>
          <w:szCs w:val="24"/>
        </w:rPr>
        <w:t>(16), 10143–10160. https://doi.org/10.1016/j.ijhydene.2020.06.190</w:t>
      </w:r>
    </w:p>
    <w:p w14:paraId="1A78D49D" w14:textId="77777777" w:rsidR="004C1A43" w:rsidRPr="004C1A43" w:rsidRDefault="004C1A43" w:rsidP="004C1A43">
      <w:pPr>
        <w:widowControl w:val="0"/>
        <w:autoSpaceDE w:val="0"/>
        <w:autoSpaceDN w:val="0"/>
        <w:adjustRightInd w:val="0"/>
        <w:spacing w:line="240" w:lineRule="auto"/>
        <w:ind w:left="480" w:hanging="480"/>
        <w:rPr>
          <w:rFonts w:cs="Times New Roman"/>
          <w:noProof/>
          <w:szCs w:val="24"/>
        </w:rPr>
      </w:pPr>
      <w:r w:rsidRPr="004C1A43">
        <w:rPr>
          <w:rFonts w:cs="Times New Roman"/>
          <w:noProof/>
          <w:szCs w:val="24"/>
        </w:rPr>
        <w:t xml:space="preserve">Lubecki, A., Szczurowski, J., &amp; Zarębska, K. (2023). A comparative environmental Life Cycle Assessment study of hydrogen fuel, electricity and diesel fuel for public buses. </w:t>
      </w:r>
      <w:r w:rsidRPr="004C1A43">
        <w:rPr>
          <w:rFonts w:cs="Times New Roman"/>
          <w:i/>
          <w:iCs/>
          <w:noProof/>
          <w:szCs w:val="24"/>
        </w:rPr>
        <w:t>Applied Energy</w:t>
      </w:r>
      <w:r w:rsidRPr="004C1A43">
        <w:rPr>
          <w:rFonts w:cs="Times New Roman"/>
          <w:noProof/>
          <w:szCs w:val="24"/>
        </w:rPr>
        <w:t xml:space="preserve">, </w:t>
      </w:r>
      <w:r w:rsidRPr="004C1A43">
        <w:rPr>
          <w:rFonts w:cs="Times New Roman"/>
          <w:i/>
          <w:iCs/>
          <w:noProof/>
          <w:szCs w:val="24"/>
        </w:rPr>
        <w:t>350</w:t>
      </w:r>
      <w:r w:rsidRPr="004C1A43">
        <w:rPr>
          <w:rFonts w:cs="Times New Roman"/>
          <w:noProof/>
          <w:szCs w:val="24"/>
        </w:rPr>
        <w:t>(June). https://doi.org/10.1016/j.apenergy.2023.121766</w:t>
      </w:r>
    </w:p>
    <w:p w14:paraId="28814688" w14:textId="77777777" w:rsidR="004C1A43" w:rsidRPr="004C1A43" w:rsidRDefault="004C1A43" w:rsidP="004C1A43">
      <w:pPr>
        <w:widowControl w:val="0"/>
        <w:autoSpaceDE w:val="0"/>
        <w:autoSpaceDN w:val="0"/>
        <w:adjustRightInd w:val="0"/>
        <w:spacing w:line="240" w:lineRule="auto"/>
        <w:ind w:left="480" w:hanging="480"/>
        <w:rPr>
          <w:rFonts w:cs="Times New Roman"/>
          <w:noProof/>
          <w:szCs w:val="24"/>
        </w:rPr>
      </w:pPr>
      <w:r w:rsidRPr="004C1A43">
        <w:rPr>
          <w:rFonts w:cs="Times New Roman"/>
          <w:noProof/>
          <w:szCs w:val="24"/>
        </w:rPr>
        <w:t xml:space="preserve">Mehmeti, A., Angelis-Dimakis, A., Arampatzis, G., McPhail, S. J., &amp; Ulgiati, S. (2018). Life cycle assessment and water footprint of hydrogen production methods: From conventional to emerging technologies. </w:t>
      </w:r>
      <w:r w:rsidRPr="004C1A43">
        <w:rPr>
          <w:rFonts w:cs="Times New Roman"/>
          <w:i/>
          <w:iCs/>
          <w:noProof/>
          <w:szCs w:val="24"/>
        </w:rPr>
        <w:t>Environments - MDPI</w:t>
      </w:r>
      <w:r w:rsidRPr="004C1A43">
        <w:rPr>
          <w:rFonts w:cs="Times New Roman"/>
          <w:noProof/>
          <w:szCs w:val="24"/>
        </w:rPr>
        <w:t xml:space="preserve">, </w:t>
      </w:r>
      <w:r w:rsidRPr="004C1A43">
        <w:rPr>
          <w:rFonts w:cs="Times New Roman"/>
          <w:i/>
          <w:iCs/>
          <w:noProof/>
          <w:szCs w:val="24"/>
        </w:rPr>
        <w:t>5</w:t>
      </w:r>
      <w:r w:rsidRPr="004C1A43">
        <w:rPr>
          <w:rFonts w:cs="Times New Roman"/>
          <w:noProof/>
          <w:szCs w:val="24"/>
        </w:rPr>
        <w:t>(2), 1–19. https://doi.org/10.3390/environments5020024</w:t>
      </w:r>
    </w:p>
    <w:p w14:paraId="027B8B6E" w14:textId="77777777" w:rsidR="004C1A43" w:rsidRPr="004C1A43" w:rsidRDefault="004C1A43" w:rsidP="004C1A43">
      <w:pPr>
        <w:widowControl w:val="0"/>
        <w:autoSpaceDE w:val="0"/>
        <w:autoSpaceDN w:val="0"/>
        <w:adjustRightInd w:val="0"/>
        <w:spacing w:line="240" w:lineRule="auto"/>
        <w:ind w:left="480" w:hanging="480"/>
        <w:rPr>
          <w:rFonts w:cs="Times New Roman"/>
          <w:noProof/>
          <w:szCs w:val="24"/>
        </w:rPr>
      </w:pPr>
      <w:r w:rsidRPr="004C1A43">
        <w:rPr>
          <w:rFonts w:cs="Times New Roman"/>
          <w:noProof/>
          <w:szCs w:val="24"/>
        </w:rPr>
        <w:t xml:space="preserve">Mori, M., Iribarren, D., Cren, J., Cor, E., Lotrič, A., Gramc, J., Drobnič, B., Rey, L., Campos-Carriedo, F., Puig-Samper, G., Bargiacchi, E., Dufour, J., &amp; Stropnik, R. (2023). Life cycle sustainability assessment of a proton exchange membrane fuel cell technology for ecodesign purposes. </w:t>
      </w:r>
      <w:r w:rsidRPr="004C1A43">
        <w:rPr>
          <w:rFonts w:cs="Times New Roman"/>
          <w:i/>
          <w:iCs/>
          <w:noProof/>
          <w:szCs w:val="24"/>
        </w:rPr>
        <w:t>International Journal of Hydrogen Energy</w:t>
      </w:r>
      <w:r w:rsidRPr="004C1A43">
        <w:rPr>
          <w:rFonts w:cs="Times New Roman"/>
          <w:noProof/>
          <w:szCs w:val="24"/>
        </w:rPr>
        <w:t xml:space="preserve">, </w:t>
      </w:r>
      <w:r w:rsidRPr="004C1A43">
        <w:rPr>
          <w:rFonts w:cs="Times New Roman"/>
          <w:i/>
          <w:iCs/>
          <w:noProof/>
          <w:szCs w:val="24"/>
        </w:rPr>
        <w:t>xxxx</w:t>
      </w:r>
      <w:r w:rsidRPr="004C1A43">
        <w:rPr>
          <w:rFonts w:cs="Times New Roman"/>
          <w:noProof/>
          <w:szCs w:val="24"/>
        </w:rPr>
        <w:t>. https://doi.org/10.1016/j.ijhydene.2023.05.255</w:t>
      </w:r>
    </w:p>
    <w:p w14:paraId="58A09B07" w14:textId="77777777" w:rsidR="004C1A43" w:rsidRPr="004C1A43" w:rsidRDefault="004C1A43" w:rsidP="004C1A43">
      <w:pPr>
        <w:widowControl w:val="0"/>
        <w:autoSpaceDE w:val="0"/>
        <w:autoSpaceDN w:val="0"/>
        <w:adjustRightInd w:val="0"/>
        <w:spacing w:line="240" w:lineRule="auto"/>
        <w:ind w:left="480" w:hanging="480"/>
        <w:rPr>
          <w:rFonts w:cs="Times New Roman"/>
          <w:noProof/>
          <w:szCs w:val="24"/>
        </w:rPr>
      </w:pPr>
      <w:r w:rsidRPr="004C1A43">
        <w:rPr>
          <w:rFonts w:cs="Times New Roman"/>
          <w:noProof/>
          <w:szCs w:val="24"/>
        </w:rPr>
        <w:t xml:space="preserve">Sadeghi, S., Ghandehariun, S., &amp; Rosen, M. A. (2020). Comparative economic and life cycle assessment of solar-based hydrogen production for oil and gas industries. </w:t>
      </w:r>
      <w:r w:rsidRPr="004C1A43">
        <w:rPr>
          <w:rFonts w:cs="Times New Roman"/>
          <w:i/>
          <w:iCs/>
          <w:noProof/>
          <w:szCs w:val="24"/>
        </w:rPr>
        <w:t>Energy</w:t>
      </w:r>
      <w:r w:rsidRPr="004C1A43">
        <w:rPr>
          <w:rFonts w:cs="Times New Roman"/>
          <w:noProof/>
          <w:szCs w:val="24"/>
        </w:rPr>
        <w:t xml:space="preserve">, </w:t>
      </w:r>
      <w:r w:rsidRPr="004C1A43">
        <w:rPr>
          <w:rFonts w:cs="Times New Roman"/>
          <w:i/>
          <w:iCs/>
          <w:noProof/>
          <w:szCs w:val="24"/>
        </w:rPr>
        <w:t>208</w:t>
      </w:r>
      <w:r w:rsidRPr="004C1A43">
        <w:rPr>
          <w:rFonts w:cs="Times New Roman"/>
          <w:noProof/>
          <w:szCs w:val="24"/>
        </w:rPr>
        <w:t>, 118347. https://doi.org/10.1016/j.energy.2020.118347</w:t>
      </w:r>
    </w:p>
    <w:p w14:paraId="246851DC" w14:textId="77777777" w:rsidR="004C1A43" w:rsidRPr="004C1A43" w:rsidRDefault="004C1A43" w:rsidP="004C1A43">
      <w:pPr>
        <w:widowControl w:val="0"/>
        <w:autoSpaceDE w:val="0"/>
        <w:autoSpaceDN w:val="0"/>
        <w:adjustRightInd w:val="0"/>
        <w:spacing w:line="240" w:lineRule="auto"/>
        <w:ind w:left="480" w:hanging="480"/>
        <w:rPr>
          <w:rFonts w:cs="Times New Roman"/>
          <w:noProof/>
          <w:szCs w:val="24"/>
        </w:rPr>
      </w:pPr>
      <w:r w:rsidRPr="004C1A43">
        <w:rPr>
          <w:rFonts w:cs="Times New Roman"/>
          <w:noProof/>
          <w:szCs w:val="24"/>
        </w:rPr>
        <w:t xml:space="preserve">Smith, L., Ibn-Mohammed, T., Yang, F., Reaney, I. M., Sinclair, D. C., &amp; Koh, S. C. L. (2019). Comparative environmental profile assessments of commercial and novel material structures for solid oxide fuel cells. </w:t>
      </w:r>
      <w:r w:rsidRPr="004C1A43">
        <w:rPr>
          <w:rFonts w:cs="Times New Roman"/>
          <w:i/>
          <w:iCs/>
          <w:noProof/>
          <w:szCs w:val="24"/>
        </w:rPr>
        <w:t>Applied Energy</w:t>
      </w:r>
      <w:r w:rsidRPr="004C1A43">
        <w:rPr>
          <w:rFonts w:cs="Times New Roman"/>
          <w:noProof/>
          <w:szCs w:val="24"/>
        </w:rPr>
        <w:t xml:space="preserve">, </w:t>
      </w:r>
      <w:r w:rsidRPr="004C1A43">
        <w:rPr>
          <w:rFonts w:cs="Times New Roman"/>
          <w:i/>
          <w:iCs/>
          <w:noProof/>
          <w:szCs w:val="24"/>
        </w:rPr>
        <w:t>235</w:t>
      </w:r>
      <w:r w:rsidRPr="004C1A43">
        <w:rPr>
          <w:rFonts w:cs="Times New Roman"/>
          <w:noProof/>
          <w:szCs w:val="24"/>
        </w:rPr>
        <w:t>(November 2018), 1300–1313. https://doi.org/10.1016/j.apenergy.2018.11.028</w:t>
      </w:r>
    </w:p>
    <w:p w14:paraId="51192822" w14:textId="77777777" w:rsidR="004C1A43" w:rsidRPr="004C1A43" w:rsidRDefault="004C1A43" w:rsidP="004C1A43">
      <w:pPr>
        <w:widowControl w:val="0"/>
        <w:autoSpaceDE w:val="0"/>
        <w:autoSpaceDN w:val="0"/>
        <w:adjustRightInd w:val="0"/>
        <w:spacing w:line="240" w:lineRule="auto"/>
        <w:ind w:left="480" w:hanging="480"/>
        <w:rPr>
          <w:rFonts w:cs="Times New Roman"/>
          <w:noProof/>
          <w:szCs w:val="24"/>
        </w:rPr>
      </w:pPr>
      <w:r w:rsidRPr="004C1A43">
        <w:rPr>
          <w:rFonts w:cs="Times New Roman"/>
          <w:noProof/>
          <w:szCs w:val="24"/>
        </w:rPr>
        <w:t xml:space="preserve">Stropnik, R., Lotrič, A., Bernad Montenegro, A., Sekavčnik, M., &amp; Mori, M. (2019). Critical materials in PEMFC systems and a LCA analysis for the potential </w:t>
      </w:r>
      <w:r w:rsidRPr="004C1A43">
        <w:rPr>
          <w:rFonts w:cs="Times New Roman"/>
          <w:noProof/>
          <w:szCs w:val="24"/>
        </w:rPr>
        <w:lastRenderedPageBreak/>
        <w:t xml:space="preserve">reduction of environmental impacts with EoL strategies. </w:t>
      </w:r>
      <w:r w:rsidRPr="004C1A43">
        <w:rPr>
          <w:rFonts w:cs="Times New Roman"/>
          <w:i/>
          <w:iCs/>
          <w:noProof/>
          <w:szCs w:val="24"/>
        </w:rPr>
        <w:t>Energy Science and Engineering</w:t>
      </w:r>
      <w:r w:rsidRPr="004C1A43">
        <w:rPr>
          <w:rFonts w:cs="Times New Roman"/>
          <w:noProof/>
          <w:szCs w:val="24"/>
        </w:rPr>
        <w:t xml:space="preserve">, </w:t>
      </w:r>
      <w:r w:rsidRPr="004C1A43">
        <w:rPr>
          <w:rFonts w:cs="Times New Roman"/>
          <w:i/>
          <w:iCs/>
          <w:noProof/>
          <w:szCs w:val="24"/>
        </w:rPr>
        <w:t>7</w:t>
      </w:r>
      <w:r w:rsidRPr="004C1A43">
        <w:rPr>
          <w:rFonts w:cs="Times New Roman"/>
          <w:noProof/>
          <w:szCs w:val="24"/>
        </w:rPr>
        <w:t>(6), 2519–2539. https://doi.org/10.1002/ese3.441</w:t>
      </w:r>
    </w:p>
    <w:p w14:paraId="4D257791" w14:textId="77777777" w:rsidR="004C1A43" w:rsidRPr="004C1A43" w:rsidRDefault="004C1A43" w:rsidP="004C1A43">
      <w:pPr>
        <w:widowControl w:val="0"/>
        <w:autoSpaceDE w:val="0"/>
        <w:autoSpaceDN w:val="0"/>
        <w:adjustRightInd w:val="0"/>
        <w:spacing w:line="240" w:lineRule="auto"/>
        <w:ind w:left="480" w:hanging="480"/>
        <w:rPr>
          <w:rFonts w:cs="Times New Roman"/>
          <w:noProof/>
          <w:szCs w:val="24"/>
        </w:rPr>
      </w:pPr>
      <w:r w:rsidRPr="004C1A43">
        <w:rPr>
          <w:rFonts w:cs="Times New Roman"/>
          <w:noProof/>
          <w:szCs w:val="24"/>
        </w:rPr>
        <w:t xml:space="preserve">Teimouri, A., Zayer Kabeh, K., Changizian, S., Ahmadi, P., &amp; Mortazavi, M. (2022). Comparative lifecycle assessment of hydrogen fuel cell, electric, CNG, and gasoline-powered vehicles under real driving conditions. </w:t>
      </w:r>
      <w:r w:rsidRPr="004C1A43">
        <w:rPr>
          <w:rFonts w:cs="Times New Roman"/>
          <w:i/>
          <w:iCs/>
          <w:noProof/>
          <w:szCs w:val="24"/>
        </w:rPr>
        <w:t>International Journal of Hydrogen Energy</w:t>
      </w:r>
      <w:r w:rsidRPr="004C1A43">
        <w:rPr>
          <w:rFonts w:cs="Times New Roman"/>
          <w:noProof/>
          <w:szCs w:val="24"/>
        </w:rPr>
        <w:t xml:space="preserve">, </w:t>
      </w:r>
      <w:r w:rsidRPr="004C1A43">
        <w:rPr>
          <w:rFonts w:cs="Times New Roman"/>
          <w:i/>
          <w:iCs/>
          <w:noProof/>
          <w:szCs w:val="24"/>
        </w:rPr>
        <w:t>47</w:t>
      </w:r>
      <w:r w:rsidRPr="004C1A43">
        <w:rPr>
          <w:rFonts w:cs="Times New Roman"/>
          <w:noProof/>
          <w:szCs w:val="24"/>
        </w:rPr>
        <w:t>(89), 37990–38002. https://doi.org/10.1016/j.ijhydene.2022.08.298</w:t>
      </w:r>
    </w:p>
    <w:p w14:paraId="3168E000" w14:textId="77777777" w:rsidR="004C1A43" w:rsidRPr="004C1A43" w:rsidRDefault="004C1A43" w:rsidP="004C1A43">
      <w:pPr>
        <w:widowControl w:val="0"/>
        <w:autoSpaceDE w:val="0"/>
        <w:autoSpaceDN w:val="0"/>
        <w:adjustRightInd w:val="0"/>
        <w:spacing w:line="240" w:lineRule="auto"/>
        <w:ind w:left="480" w:hanging="480"/>
        <w:rPr>
          <w:rFonts w:cs="Times New Roman"/>
          <w:noProof/>
          <w:szCs w:val="24"/>
        </w:rPr>
      </w:pPr>
      <w:r w:rsidRPr="004C1A43">
        <w:rPr>
          <w:rFonts w:cs="Times New Roman"/>
          <w:noProof/>
          <w:szCs w:val="24"/>
        </w:rPr>
        <w:t xml:space="preserve">Terlouw, T., Bauer, C., McKenna, R., &amp; Mazzotti, M. (2022). Large-scale hydrogen production via water electrolysis: a techno-economic and environmental assessment. </w:t>
      </w:r>
      <w:r w:rsidRPr="004C1A43">
        <w:rPr>
          <w:rFonts w:cs="Times New Roman"/>
          <w:i/>
          <w:iCs/>
          <w:noProof/>
          <w:szCs w:val="24"/>
        </w:rPr>
        <w:t>Energy and Environmental Science</w:t>
      </w:r>
      <w:r w:rsidRPr="004C1A43">
        <w:rPr>
          <w:rFonts w:cs="Times New Roman"/>
          <w:noProof/>
          <w:szCs w:val="24"/>
        </w:rPr>
        <w:t xml:space="preserve">, </w:t>
      </w:r>
      <w:r w:rsidRPr="004C1A43">
        <w:rPr>
          <w:rFonts w:cs="Times New Roman"/>
          <w:i/>
          <w:iCs/>
          <w:noProof/>
          <w:szCs w:val="24"/>
        </w:rPr>
        <w:t>15</w:t>
      </w:r>
      <w:r w:rsidRPr="004C1A43">
        <w:rPr>
          <w:rFonts w:cs="Times New Roman"/>
          <w:noProof/>
          <w:szCs w:val="24"/>
        </w:rPr>
        <w:t>(9), 3583–3602. https://doi.org/10.1039/d2ee01023b</w:t>
      </w:r>
    </w:p>
    <w:p w14:paraId="1F66302D" w14:textId="77777777" w:rsidR="004C1A43" w:rsidRPr="004C1A43" w:rsidRDefault="004C1A43" w:rsidP="004C1A43">
      <w:pPr>
        <w:widowControl w:val="0"/>
        <w:autoSpaceDE w:val="0"/>
        <w:autoSpaceDN w:val="0"/>
        <w:adjustRightInd w:val="0"/>
        <w:spacing w:line="240" w:lineRule="auto"/>
        <w:ind w:left="480" w:hanging="480"/>
        <w:rPr>
          <w:rFonts w:cs="Times New Roman"/>
          <w:noProof/>
          <w:szCs w:val="24"/>
        </w:rPr>
      </w:pPr>
      <w:r w:rsidRPr="004C1A43">
        <w:rPr>
          <w:rFonts w:cs="Times New Roman"/>
          <w:noProof/>
          <w:szCs w:val="24"/>
        </w:rPr>
        <w:t xml:space="preserve">Zhang, J., Wang, Z., He, Y., Li, M., Wang, X., Wang, B., Zhu, Y., &amp; Cen, K. (2023). Comparison of onshore/offshore wind power hydrogen production through water electrolysis by life cycle assessment. </w:t>
      </w:r>
      <w:r w:rsidRPr="004C1A43">
        <w:rPr>
          <w:rFonts w:cs="Times New Roman"/>
          <w:i/>
          <w:iCs/>
          <w:noProof/>
          <w:szCs w:val="24"/>
        </w:rPr>
        <w:t>Sustainable Energy Technologies and Assessments</w:t>
      </w:r>
      <w:r w:rsidRPr="004C1A43">
        <w:rPr>
          <w:rFonts w:cs="Times New Roman"/>
          <w:noProof/>
          <w:szCs w:val="24"/>
        </w:rPr>
        <w:t xml:space="preserve">, </w:t>
      </w:r>
      <w:r w:rsidRPr="004C1A43">
        <w:rPr>
          <w:rFonts w:cs="Times New Roman"/>
          <w:i/>
          <w:iCs/>
          <w:noProof/>
          <w:szCs w:val="24"/>
        </w:rPr>
        <w:t>60</w:t>
      </w:r>
      <w:r w:rsidRPr="004C1A43">
        <w:rPr>
          <w:rFonts w:cs="Times New Roman"/>
          <w:noProof/>
          <w:szCs w:val="24"/>
        </w:rPr>
        <w:t>(October), 103515. https://doi.org/10.1016/j.seta.2023.103515</w:t>
      </w:r>
    </w:p>
    <w:p w14:paraId="2E52EF76" w14:textId="77777777" w:rsidR="004C1A43" w:rsidRPr="004C1A43" w:rsidRDefault="004C1A43" w:rsidP="004C1A43">
      <w:pPr>
        <w:widowControl w:val="0"/>
        <w:autoSpaceDE w:val="0"/>
        <w:autoSpaceDN w:val="0"/>
        <w:adjustRightInd w:val="0"/>
        <w:spacing w:line="240" w:lineRule="auto"/>
        <w:ind w:left="480" w:hanging="480"/>
        <w:rPr>
          <w:rFonts w:cs="Times New Roman"/>
          <w:noProof/>
        </w:rPr>
      </w:pPr>
      <w:r w:rsidRPr="004C1A43">
        <w:rPr>
          <w:rFonts w:cs="Times New Roman"/>
          <w:noProof/>
          <w:szCs w:val="24"/>
        </w:rPr>
        <w:t xml:space="preserve">Zhao, G., Kraglund, M. R., Frandsen, H. L., Wulff, A. C., Jensen, S. H., Chen, M., &amp; Graves, C. R. (2020). Life cycle assessment of H2O electrolysis technologies. </w:t>
      </w:r>
      <w:r w:rsidRPr="004C1A43">
        <w:rPr>
          <w:rFonts w:cs="Times New Roman"/>
          <w:i/>
          <w:iCs/>
          <w:noProof/>
          <w:szCs w:val="24"/>
        </w:rPr>
        <w:t>International Journal of Hydrogen Energy</w:t>
      </w:r>
      <w:r w:rsidRPr="004C1A43">
        <w:rPr>
          <w:rFonts w:cs="Times New Roman"/>
          <w:noProof/>
          <w:szCs w:val="24"/>
        </w:rPr>
        <w:t xml:space="preserve">, </w:t>
      </w:r>
      <w:r w:rsidRPr="004C1A43">
        <w:rPr>
          <w:rFonts w:cs="Times New Roman"/>
          <w:i/>
          <w:iCs/>
          <w:noProof/>
          <w:szCs w:val="24"/>
        </w:rPr>
        <w:t>45</w:t>
      </w:r>
      <w:r w:rsidRPr="004C1A43">
        <w:rPr>
          <w:rFonts w:cs="Times New Roman"/>
          <w:noProof/>
          <w:szCs w:val="24"/>
        </w:rPr>
        <w:t>(43), 23765–23781. https://doi.org/10.1016/j.ijhydene.2020.05.282</w:t>
      </w:r>
    </w:p>
    <w:p w14:paraId="157518C1" w14:textId="3EB955CA" w:rsidR="004C1A43" w:rsidRPr="003D10B8" w:rsidRDefault="004C1A43" w:rsidP="005C05B6">
      <w:pPr>
        <w:rPr>
          <w:b/>
        </w:rPr>
      </w:pPr>
      <w:r>
        <w:rPr>
          <w:b/>
        </w:rPr>
        <w:fldChar w:fldCharType="end"/>
      </w:r>
    </w:p>
    <w:sectPr w:rsidR="004C1A43" w:rsidRPr="003D10B8" w:rsidSect="00DF73DA">
      <w:footerReference w:type="default" r:id="rId10"/>
      <w:pgSz w:w="15840" w:h="12240" w:orient="landscape"/>
      <w:pgMar w:top="1440" w:right="1440" w:bottom="1440" w:left="1440" w:header="720" w:footer="720" w:gutter="0"/>
      <w:cols w:space="72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1ECFEA4" w16cex:dateUtc="2024-05-31T14:29:32.775Z"/>
  <w16cex:commentExtensible w16cex:durableId="45052F6A" w16cex:dateUtc="2024-05-31T14:58:23.629Z"/>
  <w16cex:commentExtensible w16cex:durableId="550E6152" w16cex:dateUtc="2024-07-02T12:31:16.265Z"/>
  <w16cex:commentExtensible w16cex:durableId="26784A8F" w16cex:dateUtc="2024-07-02T12:35:55.445Z"/>
  <w16cex:commentExtensible w16cex:durableId="5A6210CE" w16cex:dateUtc="2024-07-02T12:36:48.896Z"/>
  <w16cex:commentExtensible w16cex:durableId="47E977D2" w16cex:dateUtc="2024-07-02T12:38:14.164Z"/>
  <w16cex:commentExtensible w16cex:durableId="5779F09E" w16cex:dateUtc="2024-07-02T12:39:08.127Z"/>
  <w16cex:commentExtensible w16cex:durableId="2F72278A" w16cex:dateUtc="2024-07-02T12:39:37.939Z"/>
  <w16cex:commentExtensible w16cex:durableId="79CB0A1B" w16cex:dateUtc="2024-07-02T12:40:48.671Z"/>
  <w16cex:commentExtensible w16cex:durableId="300B993C" w16cex:dateUtc="2024-07-02T12:43:19.88Z"/>
</w16cex:commentsExtensible>
</file>

<file path=word/commentsIds.xml><?xml version="1.0" encoding="utf-8"?>
<w16cid:commentsIds xmlns:mc="http://schemas.openxmlformats.org/markup-compatibility/2006" xmlns:w16cid="http://schemas.microsoft.com/office/word/2016/wordml/cid" mc:Ignorable="w16cid">
  <w16cid:commentId w16cid:paraId="64E51BE7" w16cid:durableId="0DC855AE"/>
  <w16cid:commentId w16cid:paraId="092D9AD8" w16cid:durableId="71ECFEA4"/>
  <w16cid:commentId w16cid:paraId="222C4326" w16cid:durableId="45052F6A"/>
  <w16cid:commentId w16cid:paraId="7E7D9FC6" w16cid:durableId="673FA9CA"/>
  <w16cid:commentId w16cid:paraId="1A77FD7E" w16cid:durableId="550E6152"/>
  <w16cid:commentId w16cid:paraId="13DA604D" w16cid:durableId="26784A8F"/>
  <w16cid:commentId w16cid:paraId="45E61840" w16cid:durableId="5A6210CE"/>
  <w16cid:commentId w16cid:paraId="70339D6F" w16cid:durableId="47E977D2"/>
  <w16cid:commentId w16cid:paraId="6FB08024" w16cid:durableId="5779F09E"/>
  <w16cid:commentId w16cid:paraId="37C0DA3B" w16cid:durableId="2F72278A"/>
  <w16cid:commentId w16cid:paraId="3CBE8F33" w16cid:durableId="79CB0A1B"/>
  <w16cid:commentId w16cid:paraId="1D3C3885" w16cid:durableId="300B993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255674" w14:textId="77777777" w:rsidR="00A97991" w:rsidRDefault="00A97991" w:rsidP="000F78EB">
      <w:pPr>
        <w:spacing w:after="0" w:line="240" w:lineRule="auto"/>
      </w:pPr>
      <w:r>
        <w:separator/>
      </w:r>
    </w:p>
  </w:endnote>
  <w:endnote w:type="continuationSeparator" w:id="0">
    <w:p w14:paraId="437A6C05" w14:textId="77777777" w:rsidR="00A97991" w:rsidRDefault="00A97991" w:rsidP="000F78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0714565"/>
      <w:docPartObj>
        <w:docPartGallery w:val="Page Numbers (Bottom of Page)"/>
        <w:docPartUnique/>
      </w:docPartObj>
    </w:sdtPr>
    <w:sdtEndPr>
      <w:rPr>
        <w:noProof/>
      </w:rPr>
    </w:sdtEndPr>
    <w:sdtContent>
      <w:p w14:paraId="7A82005F" w14:textId="581007FB" w:rsidR="000F78EB" w:rsidRDefault="000F78EB">
        <w:pPr>
          <w:pStyle w:val="Footer"/>
          <w:jc w:val="center"/>
        </w:pPr>
        <w:r>
          <w:fldChar w:fldCharType="begin"/>
        </w:r>
        <w:r>
          <w:instrText xml:space="preserve"> PAGE   \* MERGEFORMAT </w:instrText>
        </w:r>
        <w:r>
          <w:fldChar w:fldCharType="separate"/>
        </w:r>
        <w:r w:rsidR="00A67578">
          <w:rPr>
            <w:noProof/>
          </w:rPr>
          <w:t>12</w:t>
        </w:r>
        <w:r>
          <w:rPr>
            <w:noProof/>
          </w:rPr>
          <w:fldChar w:fldCharType="end"/>
        </w:r>
      </w:p>
    </w:sdtContent>
  </w:sdt>
  <w:p w14:paraId="0169943E" w14:textId="14386BF7" w:rsidR="000F78EB" w:rsidRDefault="000F78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B5875F" w14:textId="77777777" w:rsidR="00A97991" w:rsidRDefault="00A97991" w:rsidP="000F78EB">
      <w:pPr>
        <w:spacing w:after="0" w:line="240" w:lineRule="auto"/>
      </w:pPr>
      <w:r>
        <w:separator/>
      </w:r>
    </w:p>
  </w:footnote>
  <w:footnote w:type="continuationSeparator" w:id="0">
    <w:p w14:paraId="1A5405D3" w14:textId="77777777" w:rsidR="00A97991" w:rsidRDefault="00A97991" w:rsidP="000F78E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3DA"/>
    <w:rsid w:val="00033A4C"/>
    <w:rsid w:val="000836FD"/>
    <w:rsid w:val="0009167F"/>
    <w:rsid w:val="000C5400"/>
    <w:rsid w:val="000C6786"/>
    <w:rsid w:val="000E7D87"/>
    <w:rsid w:val="000F78EB"/>
    <w:rsid w:val="00150216"/>
    <w:rsid w:val="00170A92"/>
    <w:rsid w:val="001B3DF3"/>
    <w:rsid w:val="001D6907"/>
    <w:rsid w:val="001E1860"/>
    <w:rsid w:val="001F5FE9"/>
    <w:rsid w:val="002441CC"/>
    <w:rsid w:val="00262681"/>
    <w:rsid w:val="00265191"/>
    <w:rsid w:val="00267B04"/>
    <w:rsid w:val="00285DA6"/>
    <w:rsid w:val="002989B8"/>
    <w:rsid w:val="002C31F9"/>
    <w:rsid w:val="002E1A33"/>
    <w:rsid w:val="002E21E5"/>
    <w:rsid w:val="0033269E"/>
    <w:rsid w:val="00374982"/>
    <w:rsid w:val="00375DB0"/>
    <w:rsid w:val="00376E92"/>
    <w:rsid w:val="003805F6"/>
    <w:rsid w:val="003A09A7"/>
    <w:rsid w:val="003A4F7F"/>
    <w:rsid w:val="003D10B8"/>
    <w:rsid w:val="004742E6"/>
    <w:rsid w:val="00474F40"/>
    <w:rsid w:val="004C1A43"/>
    <w:rsid w:val="004E7788"/>
    <w:rsid w:val="00510E19"/>
    <w:rsid w:val="00514D00"/>
    <w:rsid w:val="00564B3E"/>
    <w:rsid w:val="00574B9D"/>
    <w:rsid w:val="005C05B6"/>
    <w:rsid w:val="0061474F"/>
    <w:rsid w:val="00615B11"/>
    <w:rsid w:val="00670E63"/>
    <w:rsid w:val="006D03DA"/>
    <w:rsid w:val="006E2BDB"/>
    <w:rsid w:val="006FBC00"/>
    <w:rsid w:val="00736ACE"/>
    <w:rsid w:val="00770D67"/>
    <w:rsid w:val="00771D32"/>
    <w:rsid w:val="007A0B5B"/>
    <w:rsid w:val="007A4453"/>
    <w:rsid w:val="007A450E"/>
    <w:rsid w:val="007A7973"/>
    <w:rsid w:val="00803271"/>
    <w:rsid w:val="00864FF1"/>
    <w:rsid w:val="00870986"/>
    <w:rsid w:val="00882222"/>
    <w:rsid w:val="008926E8"/>
    <w:rsid w:val="008A26CF"/>
    <w:rsid w:val="008C1119"/>
    <w:rsid w:val="00914487"/>
    <w:rsid w:val="00986930"/>
    <w:rsid w:val="009F0593"/>
    <w:rsid w:val="009F0BDE"/>
    <w:rsid w:val="009F41CA"/>
    <w:rsid w:val="00A04D97"/>
    <w:rsid w:val="00A37626"/>
    <w:rsid w:val="00A5288F"/>
    <w:rsid w:val="00A67578"/>
    <w:rsid w:val="00A97991"/>
    <w:rsid w:val="00AB2668"/>
    <w:rsid w:val="00B1251B"/>
    <w:rsid w:val="00B45826"/>
    <w:rsid w:val="00B47EAE"/>
    <w:rsid w:val="00B5167B"/>
    <w:rsid w:val="00B76C11"/>
    <w:rsid w:val="00BA0688"/>
    <w:rsid w:val="00BC0330"/>
    <w:rsid w:val="00BC43EA"/>
    <w:rsid w:val="00BD5BA6"/>
    <w:rsid w:val="00BF570B"/>
    <w:rsid w:val="00C14ACC"/>
    <w:rsid w:val="00C21499"/>
    <w:rsid w:val="00C32174"/>
    <w:rsid w:val="00C42400"/>
    <w:rsid w:val="00C84317"/>
    <w:rsid w:val="00CA69B0"/>
    <w:rsid w:val="00CC5435"/>
    <w:rsid w:val="00D22A70"/>
    <w:rsid w:val="00D3158E"/>
    <w:rsid w:val="00D73331"/>
    <w:rsid w:val="00D83E43"/>
    <w:rsid w:val="00D91469"/>
    <w:rsid w:val="00D91D70"/>
    <w:rsid w:val="00DC63CF"/>
    <w:rsid w:val="00DC6B01"/>
    <w:rsid w:val="00DD7C4F"/>
    <w:rsid w:val="00DF73DA"/>
    <w:rsid w:val="00DF7B0A"/>
    <w:rsid w:val="00E05634"/>
    <w:rsid w:val="00E13595"/>
    <w:rsid w:val="00F0492E"/>
    <w:rsid w:val="00F53E33"/>
    <w:rsid w:val="00F953D1"/>
    <w:rsid w:val="00FC25F3"/>
    <w:rsid w:val="00FC7A3F"/>
    <w:rsid w:val="00FD661D"/>
    <w:rsid w:val="00FE43EE"/>
    <w:rsid w:val="00FE60FF"/>
    <w:rsid w:val="02139DEE"/>
    <w:rsid w:val="02E05C2D"/>
    <w:rsid w:val="030E5262"/>
    <w:rsid w:val="0417F0BB"/>
    <w:rsid w:val="04468DFB"/>
    <w:rsid w:val="05135B6E"/>
    <w:rsid w:val="06521F03"/>
    <w:rsid w:val="07950BCB"/>
    <w:rsid w:val="09E5DB70"/>
    <w:rsid w:val="0A0D0B39"/>
    <w:rsid w:val="0A580665"/>
    <w:rsid w:val="0AC070CE"/>
    <w:rsid w:val="0BCA073A"/>
    <w:rsid w:val="0BF27009"/>
    <w:rsid w:val="0D863B13"/>
    <w:rsid w:val="0D9897DD"/>
    <w:rsid w:val="0DAF4B59"/>
    <w:rsid w:val="0DD90313"/>
    <w:rsid w:val="0E6CFA2E"/>
    <w:rsid w:val="0E942EDB"/>
    <w:rsid w:val="0EFF0642"/>
    <w:rsid w:val="11E00C62"/>
    <w:rsid w:val="146B0EFB"/>
    <w:rsid w:val="19456B4E"/>
    <w:rsid w:val="199E7827"/>
    <w:rsid w:val="1A4E0932"/>
    <w:rsid w:val="1AC97AC9"/>
    <w:rsid w:val="1AE29464"/>
    <w:rsid w:val="1BE012D7"/>
    <w:rsid w:val="1CE86B3F"/>
    <w:rsid w:val="1D385BF9"/>
    <w:rsid w:val="1D3A186A"/>
    <w:rsid w:val="1E233ACD"/>
    <w:rsid w:val="1FEA5AA9"/>
    <w:rsid w:val="20256DC8"/>
    <w:rsid w:val="20B70495"/>
    <w:rsid w:val="21173E3A"/>
    <w:rsid w:val="2156E831"/>
    <w:rsid w:val="242359D8"/>
    <w:rsid w:val="25EBFC90"/>
    <w:rsid w:val="26B108A0"/>
    <w:rsid w:val="27AA4730"/>
    <w:rsid w:val="28D09B8D"/>
    <w:rsid w:val="29CAEC32"/>
    <w:rsid w:val="2A0C114A"/>
    <w:rsid w:val="2A79930C"/>
    <w:rsid w:val="2B7A149D"/>
    <w:rsid w:val="2BE23983"/>
    <w:rsid w:val="2BEDFA58"/>
    <w:rsid w:val="2C1B87A2"/>
    <w:rsid w:val="2DF8AB74"/>
    <w:rsid w:val="2E2CEB46"/>
    <w:rsid w:val="32D9C0AF"/>
    <w:rsid w:val="34B29917"/>
    <w:rsid w:val="34E7911E"/>
    <w:rsid w:val="3C9888FD"/>
    <w:rsid w:val="3D735242"/>
    <w:rsid w:val="3DC564EA"/>
    <w:rsid w:val="400EE15C"/>
    <w:rsid w:val="4088BA85"/>
    <w:rsid w:val="41C9BDE2"/>
    <w:rsid w:val="43E8D9D1"/>
    <w:rsid w:val="446C88C9"/>
    <w:rsid w:val="452A51F6"/>
    <w:rsid w:val="4607A0A3"/>
    <w:rsid w:val="47A9CE30"/>
    <w:rsid w:val="488CF2AD"/>
    <w:rsid w:val="4A33F994"/>
    <w:rsid w:val="4AC51AD6"/>
    <w:rsid w:val="4B03239F"/>
    <w:rsid w:val="4B35C986"/>
    <w:rsid w:val="4BE6122C"/>
    <w:rsid w:val="4BE96780"/>
    <w:rsid w:val="4C025346"/>
    <w:rsid w:val="50144C8B"/>
    <w:rsid w:val="5100F320"/>
    <w:rsid w:val="51514B56"/>
    <w:rsid w:val="523BA623"/>
    <w:rsid w:val="528E8AD9"/>
    <w:rsid w:val="53A9029E"/>
    <w:rsid w:val="545029D8"/>
    <w:rsid w:val="5566725F"/>
    <w:rsid w:val="55816D9F"/>
    <w:rsid w:val="564EFF95"/>
    <w:rsid w:val="57F9A37B"/>
    <w:rsid w:val="58876FE0"/>
    <w:rsid w:val="58DF1E3C"/>
    <w:rsid w:val="5979E2EE"/>
    <w:rsid w:val="59BEECF8"/>
    <w:rsid w:val="5A017A93"/>
    <w:rsid w:val="5AB8A390"/>
    <w:rsid w:val="5BD9C3C3"/>
    <w:rsid w:val="5CD2409E"/>
    <w:rsid w:val="5D3090BC"/>
    <w:rsid w:val="5E05C047"/>
    <w:rsid w:val="5E43020F"/>
    <w:rsid w:val="5E900C5C"/>
    <w:rsid w:val="5EB01EFC"/>
    <w:rsid w:val="5EFEC032"/>
    <w:rsid w:val="60A511CE"/>
    <w:rsid w:val="60F8D224"/>
    <w:rsid w:val="61A7F276"/>
    <w:rsid w:val="61AE0398"/>
    <w:rsid w:val="6200AF92"/>
    <w:rsid w:val="627FAA77"/>
    <w:rsid w:val="62BCAF09"/>
    <w:rsid w:val="655BE9B1"/>
    <w:rsid w:val="65AD61CC"/>
    <w:rsid w:val="68194961"/>
    <w:rsid w:val="69012410"/>
    <w:rsid w:val="6915C712"/>
    <w:rsid w:val="6996CEA2"/>
    <w:rsid w:val="6A497A6E"/>
    <w:rsid w:val="6A865095"/>
    <w:rsid w:val="6ADE18FC"/>
    <w:rsid w:val="6B83D0AC"/>
    <w:rsid w:val="6C2B895B"/>
    <w:rsid w:val="6C66F049"/>
    <w:rsid w:val="6D6423FA"/>
    <w:rsid w:val="6D9EBA69"/>
    <w:rsid w:val="6FA8BC68"/>
    <w:rsid w:val="704EB33C"/>
    <w:rsid w:val="724B2338"/>
    <w:rsid w:val="734823B0"/>
    <w:rsid w:val="73E4658C"/>
    <w:rsid w:val="75716E5C"/>
    <w:rsid w:val="757F875B"/>
    <w:rsid w:val="77E81F4B"/>
    <w:rsid w:val="7AA3EE80"/>
    <w:rsid w:val="7AC45FB3"/>
    <w:rsid w:val="7DC180E1"/>
    <w:rsid w:val="7DF0E12C"/>
    <w:rsid w:val="7E014645"/>
    <w:rsid w:val="7F59C4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17138"/>
  <w15:chartTrackingRefBased/>
  <w15:docId w15:val="{458EF4B4-73DA-4C92-9119-B6933E354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73DA"/>
    <w:rPr>
      <w:rFonts w:ascii="Times New Roman" w:hAnsi="Times New Roman"/>
      <w:sz w:val="20"/>
    </w:rPr>
  </w:style>
  <w:style w:type="paragraph" w:styleId="Heading2">
    <w:name w:val="heading 2"/>
    <w:basedOn w:val="Normal"/>
    <w:next w:val="Normal"/>
    <w:link w:val="Heading2Char"/>
    <w:uiPriority w:val="9"/>
    <w:semiHidden/>
    <w:unhideWhenUsed/>
    <w:qFormat/>
    <w:rsid w:val="005C05B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73DA"/>
    <w:pPr>
      <w:spacing w:after="0" w:line="240" w:lineRule="auto"/>
    </w:pPr>
    <w:rPr>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F73DA"/>
    <w:rPr>
      <w:sz w:val="16"/>
      <w:szCs w:val="16"/>
    </w:rPr>
  </w:style>
  <w:style w:type="paragraph" w:styleId="CommentText">
    <w:name w:val="annotation text"/>
    <w:basedOn w:val="Normal"/>
    <w:link w:val="CommentTextChar"/>
    <w:uiPriority w:val="99"/>
    <w:unhideWhenUsed/>
    <w:rsid w:val="00DF73DA"/>
    <w:pPr>
      <w:spacing w:line="240" w:lineRule="auto"/>
    </w:pPr>
    <w:rPr>
      <w:szCs w:val="20"/>
    </w:rPr>
  </w:style>
  <w:style w:type="character" w:customStyle="1" w:styleId="CommentTextChar">
    <w:name w:val="Comment Text Char"/>
    <w:basedOn w:val="DefaultParagraphFont"/>
    <w:link w:val="CommentText"/>
    <w:uiPriority w:val="99"/>
    <w:rsid w:val="00DF73DA"/>
    <w:rPr>
      <w:rFonts w:ascii="Times New Roman" w:hAnsi="Times New Roman"/>
      <w:sz w:val="20"/>
      <w:szCs w:val="20"/>
    </w:rPr>
  </w:style>
  <w:style w:type="paragraph" w:styleId="BalloonText">
    <w:name w:val="Balloon Text"/>
    <w:basedOn w:val="Normal"/>
    <w:link w:val="BalloonTextChar"/>
    <w:uiPriority w:val="99"/>
    <w:semiHidden/>
    <w:unhideWhenUsed/>
    <w:rsid w:val="00DF73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73DA"/>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4E7788"/>
    <w:rPr>
      <w:b/>
      <w:bCs/>
    </w:rPr>
  </w:style>
  <w:style w:type="character" w:customStyle="1" w:styleId="CommentSubjectChar">
    <w:name w:val="Comment Subject Char"/>
    <w:basedOn w:val="CommentTextChar"/>
    <w:link w:val="CommentSubject"/>
    <w:uiPriority w:val="99"/>
    <w:semiHidden/>
    <w:rsid w:val="004E7788"/>
    <w:rPr>
      <w:rFonts w:ascii="Times New Roman" w:hAnsi="Times New Roman"/>
      <w:b/>
      <w:bCs/>
      <w:sz w:val="20"/>
      <w:szCs w:val="20"/>
    </w:rPr>
  </w:style>
  <w:style w:type="paragraph" w:styleId="Caption">
    <w:name w:val="caption"/>
    <w:basedOn w:val="Normal"/>
    <w:next w:val="Normal"/>
    <w:uiPriority w:val="35"/>
    <w:unhideWhenUsed/>
    <w:qFormat/>
    <w:rsid w:val="00C84317"/>
    <w:pPr>
      <w:spacing w:after="200" w:line="240" w:lineRule="auto"/>
    </w:pPr>
    <w:rPr>
      <w:i/>
      <w:iCs/>
      <w:color w:val="44546A" w:themeColor="text2"/>
      <w:sz w:val="18"/>
      <w:szCs w:val="18"/>
    </w:rPr>
  </w:style>
  <w:style w:type="character" w:customStyle="1" w:styleId="Heading2Char">
    <w:name w:val="Heading 2 Char"/>
    <w:basedOn w:val="DefaultParagraphFont"/>
    <w:link w:val="Heading2"/>
    <w:uiPriority w:val="9"/>
    <w:semiHidden/>
    <w:rsid w:val="005C05B6"/>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5C05B6"/>
    <w:rPr>
      <w:color w:val="0000FF"/>
      <w:u w:val="single"/>
    </w:rPr>
  </w:style>
  <w:style w:type="character" w:customStyle="1" w:styleId="preformatted">
    <w:name w:val="preformatted"/>
    <w:basedOn w:val="DefaultParagraphFont"/>
    <w:rsid w:val="005C05B6"/>
  </w:style>
  <w:style w:type="character" w:customStyle="1" w:styleId="ui-panel-title">
    <w:name w:val="ui-panel-title"/>
    <w:basedOn w:val="DefaultParagraphFont"/>
    <w:rsid w:val="005C05B6"/>
  </w:style>
  <w:style w:type="character" w:customStyle="1" w:styleId="field-content">
    <w:name w:val="field-content"/>
    <w:basedOn w:val="DefaultParagraphFont"/>
    <w:rsid w:val="005C05B6"/>
  </w:style>
  <w:style w:type="character" w:customStyle="1" w:styleId="dataneutral">
    <w:name w:val="data_neutral"/>
    <w:basedOn w:val="DefaultParagraphFont"/>
    <w:rsid w:val="005C05B6"/>
  </w:style>
  <w:style w:type="paragraph" w:styleId="Header">
    <w:name w:val="header"/>
    <w:basedOn w:val="Normal"/>
    <w:link w:val="HeaderChar"/>
    <w:uiPriority w:val="99"/>
    <w:unhideWhenUsed/>
    <w:rsid w:val="000F78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78EB"/>
    <w:rPr>
      <w:rFonts w:ascii="Times New Roman" w:hAnsi="Times New Roman"/>
      <w:sz w:val="20"/>
    </w:rPr>
  </w:style>
  <w:style w:type="paragraph" w:styleId="Footer">
    <w:name w:val="footer"/>
    <w:basedOn w:val="Normal"/>
    <w:link w:val="FooterChar"/>
    <w:uiPriority w:val="99"/>
    <w:unhideWhenUsed/>
    <w:rsid w:val="000F78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78EB"/>
    <w:rPr>
      <w:rFonts w:ascii="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22afee06c04c49c4" Type="http://schemas.microsoft.com/office/2016/09/relationships/commentsIds" Target="commentsIds.xml"/><Relationship Id="rId2" Type="http://schemas.openxmlformats.org/officeDocument/2006/relationships/customXml" Target="../customXml/item2.xml"/><Relationship Id="Ra9230a833f7d42f3"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3693DC8ADCF44D806C190B5B169FD5" ma:contentTypeVersion="13" ma:contentTypeDescription="Create a new document." ma:contentTypeScope="" ma:versionID="087af7b615272c541f59e86a864d27fc">
  <xsd:schema xmlns:xsd="http://www.w3.org/2001/XMLSchema" xmlns:xs="http://www.w3.org/2001/XMLSchema" xmlns:p="http://schemas.microsoft.com/office/2006/metadata/properties" xmlns:ns2="65e7e06b-2967-45a3-8296-3e0b01d7a66a" xmlns:ns3="19e20e0e-cf6a-4864-bbaf-9990ea00ffa1" targetNamespace="http://schemas.microsoft.com/office/2006/metadata/properties" ma:root="true" ma:fieldsID="1f3693fd8a174b77d5df6da696ddac2d" ns2:_="" ns3:_="">
    <xsd:import namespace="65e7e06b-2967-45a3-8296-3e0b01d7a66a"/>
    <xsd:import namespace="19e20e0e-cf6a-4864-bbaf-9990ea00ffa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e7e06b-2967-45a3-8296-3e0b01d7a6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e20e0e-cf6a-4864-bbaf-9990ea00ffa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85bf3fc0-8939-41e0-801b-5e878305b85c}" ma:internalName="TaxCatchAll" ma:showField="CatchAllData" ma:web="19e20e0e-cf6a-4864-bbaf-9990ea00ff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9e20e0e-cf6a-4864-bbaf-9990ea00ffa1" xsi:nil="true"/>
    <lcf76f155ced4ddcb4097134ff3c332f xmlns="65e7e06b-2967-45a3-8296-3e0b01d7a66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1AF17F-3E90-4C4D-B168-36D01D5EBC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e7e06b-2967-45a3-8296-3e0b01d7a66a"/>
    <ds:schemaRef ds:uri="19e20e0e-cf6a-4864-bbaf-9990ea00ff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53B817-2B5B-434F-BE4E-EB0EDAB8EB9F}">
  <ds:schemaRefs>
    <ds:schemaRef ds:uri="http://schemas.microsoft.com/office/2006/metadata/properties"/>
    <ds:schemaRef ds:uri="http://schemas.microsoft.com/office/infopath/2007/PartnerControls"/>
    <ds:schemaRef ds:uri="19e20e0e-cf6a-4864-bbaf-9990ea00ffa1"/>
    <ds:schemaRef ds:uri="65e7e06b-2967-45a3-8296-3e0b01d7a66a"/>
  </ds:schemaRefs>
</ds:datastoreItem>
</file>

<file path=customXml/itemProps3.xml><?xml version="1.0" encoding="utf-8"?>
<ds:datastoreItem xmlns:ds="http://schemas.openxmlformats.org/officeDocument/2006/customXml" ds:itemID="{A1CB5442-3882-4B0B-90D4-FE16D6DA0F5F}">
  <ds:schemaRefs>
    <ds:schemaRef ds:uri="http://schemas.microsoft.com/sharepoint/v3/contenttype/forms"/>
  </ds:schemaRefs>
</ds:datastoreItem>
</file>

<file path=customXml/itemProps4.xml><?xml version="1.0" encoding="utf-8"?>
<ds:datastoreItem xmlns:ds="http://schemas.openxmlformats.org/officeDocument/2006/customXml" ds:itemID="{1CCC1D86-7E7F-4E2C-9D53-B4DE6FA79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12</Pages>
  <Words>14966</Words>
  <Characters>85308</Characters>
  <Application>Microsoft Office Word</Application>
  <DocSecurity>0</DocSecurity>
  <Lines>710</Lines>
  <Paragraphs>200</Paragraphs>
  <ScaleCrop>false</ScaleCrop>
  <HeadingPairs>
    <vt:vector size="2" baseType="variant">
      <vt:variant>
        <vt:lpstr>Title</vt:lpstr>
      </vt:variant>
      <vt:variant>
        <vt:i4>1</vt:i4>
      </vt:variant>
    </vt:vector>
  </HeadingPairs>
  <TitlesOfParts>
    <vt:vector size="1" baseType="lpstr">
      <vt:lpstr/>
    </vt:vector>
  </TitlesOfParts>
  <Company>IES - JRC</Company>
  <LinksUpToDate>false</LinksUpToDate>
  <CharactersWithSpaces>100074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Vincenzo Santucci</dc:creator>
  <cp:keywords/>
  <dc:description/>
  <cp:lastModifiedBy>Vincenzo Santucci</cp:lastModifiedBy>
  <cp:revision>23</cp:revision>
  <dcterms:created xsi:type="dcterms:W3CDTF">2024-05-06T09:36:00Z</dcterms:created>
  <dcterms:modified xsi:type="dcterms:W3CDTF">2025-03-27T15:44:00Z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0x010100B43693DC8ADCF44D806C190B5B169FD5</vt:lpwstr>
  </property>
  <property fmtid="{D5CDD505-2E9C-101B-9397-08002B2CF9AE}" pid="3" name="MediaServiceImageTags">
    <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11th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Document_1">
    <vt:lpwstr>True</vt:lpwstr>
  </property>
  <property fmtid="{D5CDD505-2E9C-101B-9397-08002B2CF9AE}" pid="25" name="Mendeley Unique User Id_1">
    <vt:lpwstr>f3fe4f11-a94c-3e20-a872-672380b60e55</vt:lpwstr>
  </property>
  <property fmtid="{D5CDD505-2E9C-101B-9397-08002B2CF9AE}" pid="26" name="Mendeley Citation Style_1">
    <vt:lpwstr>http://www.zotero.org/styles/apa</vt:lpwstr>
  </property>
</Properties>
</file>