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numPr>
          <w:ilvl w:val="0"/>
          <w:numId w:val="0"/>
        </w:numPr>
        <w:spacing w:lineRule="auto" w:line="360" w:before="240" w:after="240"/>
        <w:ind w:hanging="284" w:left="284"/>
        <w:outlineLvl w:val="0"/>
        <w:rPr>
          <w:rFonts w:eastAsia="Yu Gothic Light"/>
          <w:b/>
          <w:bCs/>
          <w:color w:val="000000"/>
          <w:szCs w:val="22"/>
          <w:lang w:bidi="en-US"/>
        </w:rPr>
      </w:pPr>
      <w:r>
        <w:rPr>
          <w:rFonts w:eastAsia="Yu Gothic Light"/>
          <w:b/>
          <w:bCs/>
          <w:color w:val="000000"/>
          <w:szCs w:val="22"/>
          <w:lang w:bidi="en-US"/>
        </w:rPr>
        <w:t>Supplemental information for:</w:t>
      </w:r>
    </w:p>
    <w:p>
      <w:pPr>
        <w:pStyle w:val="Normal"/>
        <w:keepNext w:val="true"/>
        <w:keepLines/>
        <w:numPr>
          <w:ilvl w:val="0"/>
          <w:numId w:val="0"/>
        </w:numPr>
        <w:spacing w:lineRule="auto" w:line="276" w:before="0" w:after="240"/>
        <w:outlineLvl w:val="0"/>
        <w:rPr>
          <w:rFonts w:eastAsia="Yu Gothic Light"/>
          <w:b/>
          <w:bCs/>
          <w:color w:val="000000"/>
          <w:sz w:val="32"/>
          <w:szCs w:val="32"/>
          <w:lang w:bidi="en-US"/>
        </w:rPr>
      </w:pPr>
      <w:r>
        <w:rPr>
          <w:rFonts w:eastAsia="Yu Gothic Light"/>
          <w:b/>
          <w:bCs/>
          <w:color w:val="000000"/>
          <w:sz w:val="32"/>
          <w:szCs w:val="32"/>
          <w:lang w:bidi="en-US"/>
        </w:rPr>
        <w:t>Life cycle assessment of an uncrewed military aircraft: a methodological approach for confidentiality-constrained analyses</w:t>
      </w:r>
    </w:p>
    <w:p>
      <w:pPr>
        <w:pStyle w:val="Normal"/>
        <w:keepNext w:val="true"/>
        <w:keepLines/>
        <w:numPr>
          <w:ilvl w:val="0"/>
          <w:numId w:val="0"/>
        </w:numPr>
        <w:spacing w:lineRule="auto" w:line="360" w:before="360" w:after="120"/>
        <w:ind w:hanging="284" w:left="284"/>
        <w:outlineLvl w:val="0"/>
        <w:rPr>
          <w:rFonts w:eastAsia="Yu Gothic Light"/>
          <w:b/>
          <w:bCs/>
          <w:color w:val="000000"/>
          <w:sz w:val="20"/>
          <w:szCs w:val="20"/>
          <w:lang w:bidi="en-US"/>
        </w:rPr>
      </w:pPr>
      <w:r>
        <w:rPr>
          <w:rFonts w:eastAsia="Yu Gothic Light"/>
          <w:b/>
          <w:bCs/>
          <w:color w:val="000000"/>
          <w:sz w:val="20"/>
          <w:szCs w:val="20"/>
          <w:lang w:bidi="en-US"/>
        </w:rPr>
        <w:t>Authors &amp; Affiliations:</w:t>
      </w:r>
    </w:p>
    <w:p>
      <w:pPr>
        <w:pStyle w:val="Normal"/>
        <w:spacing w:lineRule="auto" w:line="360" w:before="120" w:after="120"/>
        <w:rPr>
          <w:rFonts w:eastAsia="Yu Mincho" w:cs="Calibri Light"/>
          <w:sz w:val="20"/>
          <w:szCs w:val="20"/>
          <w:lang w:bidi="en-US"/>
        </w:rPr>
      </w:pPr>
      <w:r>
        <w:rPr>
          <w:rFonts w:eastAsia="Yu Mincho" w:cs="Calibri Light"/>
          <w:sz w:val="20"/>
          <w:szCs w:val="20"/>
        </w:rPr>
        <w:t xml:space="preserve">Newsham, R. P. </w:t>
      </w:r>
      <w:r>
        <w:rPr>
          <w:rFonts w:eastAsia="Yu Mincho" w:cs="Calibri Light"/>
          <w:sz w:val="20"/>
          <w:szCs w:val="20"/>
          <w:vertAlign w:val="superscript"/>
        </w:rPr>
        <w:t xml:space="preserve">a </w:t>
      </w:r>
      <w:r>
        <w:rPr>
          <w:rFonts w:eastAsia="Yu Mincho" w:cs="Calibri Light"/>
          <w:sz w:val="20"/>
          <w:szCs w:val="20"/>
        </w:rPr>
        <w:tab/>
        <w:tab/>
        <w:t>ORCID 0000-0002-4066-1562</w:t>
      </w:r>
    </w:p>
    <w:p>
      <w:pPr>
        <w:pStyle w:val="Normal"/>
        <w:spacing w:lineRule="auto" w:line="360" w:before="120" w:after="120"/>
        <w:rPr>
          <w:rFonts w:eastAsia="Yu Mincho" w:cs="Calibri Light"/>
          <w:sz w:val="20"/>
          <w:szCs w:val="20"/>
          <w:lang w:bidi="en-US"/>
        </w:rPr>
      </w:pPr>
      <w:r>
        <w:rPr>
          <w:rFonts w:eastAsia="Yu Mincho" w:cs="Calibri Light"/>
          <w:sz w:val="20"/>
          <w:szCs w:val="20"/>
        </w:rPr>
        <w:t xml:space="preserve">Rekker, S. </w:t>
      </w:r>
      <w:r>
        <w:rPr>
          <w:rFonts w:eastAsia="Yu Mincho" w:cs="Calibri Light"/>
          <w:sz w:val="20"/>
          <w:szCs w:val="20"/>
          <w:vertAlign w:val="superscript"/>
        </w:rPr>
        <w:t>a</w:t>
      </w:r>
      <w:r>
        <w:rPr>
          <w:rFonts w:eastAsia="Yu Mincho" w:cs="Calibri Light"/>
          <w:sz w:val="20"/>
          <w:szCs w:val="20"/>
        </w:rPr>
        <w:tab/>
        <w:tab/>
        <w:t>ORCID 0000-0002-6508-5418</w:t>
      </w:r>
    </w:p>
    <w:p>
      <w:pPr>
        <w:pStyle w:val="Normal"/>
        <w:spacing w:lineRule="auto" w:line="360" w:before="120" w:after="120"/>
        <w:rPr>
          <w:rFonts w:eastAsia="Yu Mincho" w:cs="Calibri Light"/>
          <w:sz w:val="20"/>
          <w:szCs w:val="20"/>
          <w:lang w:bidi="en-US"/>
        </w:rPr>
      </w:pPr>
      <w:r>
        <w:rPr>
          <w:rFonts w:eastAsia="Yu Mincho" w:cs="Calibri Light"/>
          <w:sz w:val="20"/>
          <w:szCs w:val="20"/>
        </w:rPr>
        <w:t xml:space="preserve">Crothers, P. J. </w:t>
      </w:r>
      <w:r>
        <w:rPr>
          <w:rFonts w:eastAsia="Yu Mincho" w:cs="Calibri Light"/>
          <w:sz w:val="20"/>
          <w:szCs w:val="20"/>
          <w:vertAlign w:val="superscript"/>
        </w:rPr>
        <w:t>b</w:t>
      </w:r>
      <w:r>
        <w:rPr>
          <w:rFonts w:eastAsia="Yu Mincho" w:cs="Calibri Light"/>
          <w:sz w:val="20"/>
          <w:szCs w:val="20"/>
        </w:rPr>
        <w:tab/>
        <w:tab/>
      </w:r>
    </w:p>
    <w:p>
      <w:pPr>
        <w:pStyle w:val="Normal"/>
        <w:spacing w:lineRule="auto" w:line="600" w:before="120" w:after="120"/>
        <w:rPr>
          <w:rFonts w:eastAsia="Yu Mincho" w:cs="Calibri Light"/>
          <w:sz w:val="20"/>
          <w:szCs w:val="20"/>
        </w:rPr>
      </w:pPr>
      <w:r>
        <w:rPr>
          <w:rFonts w:eastAsia="Yu Mincho" w:cs="Calibri Light"/>
          <w:sz w:val="20"/>
          <w:szCs w:val="20"/>
        </w:rPr>
        <w:t xml:space="preserve">Camrass, K. </w:t>
      </w:r>
      <w:r>
        <w:rPr>
          <w:rFonts w:eastAsia="Yu Mincho" w:cs="Calibri Light"/>
          <w:sz w:val="20"/>
          <w:szCs w:val="20"/>
          <w:vertAlign w:val="superscript"/>
        </w:rPr>
        <w:t>c, d</w:t>
      </w:r>
      <w:r>
        <w:rPr>
          <w:rFonts w:eastAsia="Yu Mincho" w:cs="Calibri Light"/>
          <w:sz w:val="20"/>
          <w:szCs w:val="20"/>
        </w:rPr>
        <w:tab/>
        <w:tab/>
        <w:t>ORCID 0000-0002-7388-0657</w:t>
      </w:r>
    </w:p>
    <w:p>
      <w:pPr>
        <w:pStyle w:val="Normal"/>
        <w:spacing w:lineRule="auto" w:line="360" w:before="120" w:after="120"/>
        <w:rPr>
          <w:rFonts w:eastAsia="Yu Mincho" w:cs="Calibri Light"/>
          <w:color w:val="0563C1"/>
          <w:sz w:val="20"/>
          <w:szCs w:val="20"/>
          <w:u w:val="single"/>
          <w:lang w:bidi="en-US"/>
        </w:rPr>
      </w:pPr>
      <w:r>
        <w:rPr>
          <w:rFonts w:eastAsia="Yu Mincho" w:cs="Calibri Light"/>
          <w:sz w:val="20"/>
          <w:szCs w:val="20"/>
        </w:rPr>
        <w:t>a)  UQ Business School, The University of Queensland, St Lucia, QLD, 4072, Australia</w:t>
      </w:r>
    </w:p>
    <w:p>
      <w:pPr>
        <w:pStyle w:val="Normal"/>
        <w:spacing w:lineRule="auto" w:line="360" w:before="120" w:after="120"/>
        <w:rPr>
          <w:rFonts w:eastAsia="Yu Mincho" w:cs="Calibri Light"/>
          <w:sz w:val="20"/>
          <w:szCs w:val="20"/>
        </w:rPr>
      </w:pPr>
      <w:r>
        <w:rPr>
          <w:rFonts w:eastAsia="Yu Mincho" w:cs="Calibri Light"/>
          <w:sz w:val="20"/>
          <w:szCs w:val="20"/>
        </w:rPr>
        <w:t>b)  Boeing Aerostructures Australia, 226 Lorimer St, Port Melbourne, VIC, 3207, Australia</w:t>
      </w:r>
    </w:p>
    <w:p>
      <w:pPr>
        <w:pStyle w:val="Normal"/>
        <w:spacing w:lineRule="auto" w:line="360" w:before="120" w:after="120"/>
        <w:rPr>
          <w:rFonts w:eastAsia="Yu Mincho" w:cs="Calibri Light"/>
          <w:sz w:val="20"/>
          <w:szCs w:val="20"/>
        </w:rPr>
      </w:pPr>
      <w:r>
        <w:rPr>
          <w:rFonts w:eastAsia="Yu Mincho" w:cs="Calibri Light"/>
          <w:sz w:val="20"/>
          <w:szCs w:val="20"/>
        </w:rPr>
        <w:t>c)  Boeing Global Sustainability Engagement and Partnerships, 123 Albert St, Brisbane City, QLD, 4000, Australia</w:t>
      </w:r>
    </w:p>
    <w:p>
      <w:pPr>
        <w:pStyle w:val="Normal"/>
        <w:spacing w:lineRule="auto" w:line="360" w:before="120" w:after="120"/>
        <w:rPr>
          <w:rFonts w:eastAsia="Yu Mincho" w:cs="Calibri Light"/>
          <w:sz w:val="20"/>
          <w:szCs w:val="20"/>
          <w:lang w:bidi="en-US"/>
        </w:rPr>
      </w:pPr>
      <w:r>
        <w:rPr>
          <w:rFonts w:eastAsia="Yu Mincho" w:cs="Calibri Light"/>
          <w:sz w:val="20"/>
          <w:szCs w:val="20"/>
        </w:rPr>
        <w:t>d)  School of Law and Society, The University of the Sunshine Coast, Sippy Downs, QLD, 4558, Australia</w:t>
      </w:r>
    </w:p>
    <w:p>
      <w:pPr>
        <w:pStyle w:val="Normal"/>
        <w:spacing w:lineRule="auto" w:line="360" w:before="360" w:after="120"/>
        <w:rPr>
          <w:rFonts w:eastAsia="Yu Mincho" w:cs="Calibri Light"/>
          <w:sz w:val="20"/>
          <w:szCs w:val="20"/>
        </w:rPr>
      </w:pPr>
      <w:r>
        <w:rPr>
          <w:rFonts w:eastAsia="Yu Mincho" w:cs="Calibri Light"/>
          <w:sz w:val="20"/>
          <w:szCs w:val="20"/>
        </w:rPr>
        <w:t xml:space="preserve">Correspondence: </w:t>
      </w:r>
      <w:hyperlink r:id="rId2">
        <w:r>
          <w:rPr>
            <w:rStyle w:val="Style"/>
            <w:rFonts w:eastAsia="Yu Mincho" w:cs="Calibri Light"/>
            <w:color w:val="0563C1"/>
            <w:sz w:val="20"/>
            <w:szCs w:val="20"/>
            <w:u w:val="single"/>
          </w:rPr>
          <w:t>paul.newsham@uq.edu.au</w:t>
        </w:r>
      </w:hyperlink>
    </w:p>
    <w:p>
      <w:pPr>
        <w:pStyle w:val="Normal"/>
        <w:rPr>
          <w:b/>
          <w:bCs/>
          <w:sz w:val="20"/>
          <w:szCs w:val="20"/>
        </w:rPr>
      </w:pPr>
      <w:r>
        <w:rPr>
          <w:b/>
          <w:bCs/>
          <w:sz w:val="20"/>
          <w:szCs w:val="20"/>
        </w:rPr>
      </w:r>
      <w:r>
        <w:br w:type="page"/>
      </w:r>
    </w:p>
    <w:p>
      <w:pPr>
        <w:pStyle w:val="Normal"/>
        <w:spacing w:beforeAutospacing="1" w:afterAutospacing="1"/>
        <w:rPr/>
      </w:pPr>
      <w:r>
        <w:rPr>
          <w:b/>
          <w:bCs/>
        </w:rPr>
        <w:t>Table S1. Database sources and inventory data for LCA models</w:t>
      </w:r>
    </w:p>
    <w:p>
      <w:pPr>
        <w:pStyle w:val="Normal"/>
        <w:spacing w:beforeAutospacing="1" w:afterAutospacing="1"/>
        <w:rPr>
          <w:i/>
          <w:i/>
          <w:iCs/>
          <w:sz w:val="20"/>
          <w:szCs w:val="20"/>
        </w:rPr>
      </w:pPr>
      <w:r>
        <w:rPr>
          <w:i/>
          <w:iCs/>
          <w:sz w:val="20"/>
          <w:szCs w:val="20"/>
        </w:rPr>
        <w:t>Table S1. Process-based LCA models for the UAS were developed using Sphera Managed LCA Content (MLC) database (version 2024.2), primary measurements, and published literature. Geographic datasets (North America, Europe, or Global where regional data unavailable) were selected based on dominant supplier regions without disclosing specific facility locations to protect commercial confidentiality.</w:t>
      </w:r>
    </w:p>
    <w:tbl>
      <w:tblPr>
        <w:tblStyle w:val="ListTable6Colourful1"/>
        <w:tblW w:w="13958" w:type="dxa"/>
        <w:jc w:val="left"/>
        <w:tblInd w:w="0" w:type="dxa"/>
        <w:tblLayout w:type="fixed"/>
        <w:tblCellMar>
          <w:top w:w="0" w:type="dxa"/>
          <w:left w:w="108" w:type="dxa"/>
          <w:bottom w:w="0" w:type="dxa"/>
          <w:right w:w="108" w:type="dxa"/>
        </w:tblCellMar>
        <w:tblLook w:firstRow="1" w:noVBand="1" w:lastRow="0" w:firstColumn="0" w:lastColumn="0" w:noHBand="1" w:val="0620"/>
      </w:tblPr>
      <w:tblGrid>
        <w:gridCol w:w="1842"/>
        <w:gridCol w:w="1418"/>
        <w:gridCol w:w="3118"/>
        <w:gridCol w:w="3790"/>
        <w:gridCol w:w="3790"/>
      </w:tblGrid>
      <w:tr>
        <w:trPr>
          <w:tblHeader w:val="true"/>
          <w:cantSplit w:val="true"/>
          <w:cnfStyle w:val="100000000000" w:firstRow="1" w:lastRow="0" w:firstColumn="0" w:lastColumn="0" w:oddVBand="0" w:evenVBand="0" w:oddHBand="0" w:evenHBand="0" w:firstRowFirstColumn="0" w:firstRowLastColumn="0" w:lastRowFirstColumn="0" w:lastRowLastColumn="0"/>
        </w:trPr>
        <w:tc>
          <w:tcPr>
            <w:tcW w:w="1842" w:type="dxa"/>
            <w:tcBorders/>
          </w:tcPr>
          <w:p>
            <w:pPr>
              <w:pStyle w:val="Normal"/>
              <w:widowControl/>
              <w:spacing w:before="120" w:after="120"/>
              <w:jc w:val="left"/>
              <w:rPr>
                <w:sz w:val="20"/>
                <w:szCs w:val="20"/>
                <w:lang w:val="en-AU"/>
              </w:rPr>
            </w:pPr>
            <w:r>
              <w:rPr>
                <w:b/>
                <w:bCs/>
                <w:color w:val="000000"/>
                <w:kern w:val="0"/>
                <w:sz w:val="20"/>
                <w:szCs w:val="20"/>
                <w:lang w:val="en-AU" w:bidi="ar-SA"/>
              </w:rPr>
              <w:t>Material-Process Category</w:t>
            </w:r>
          </w:p>
        </w:tc>
        <w:tc>
          <w:tcPr>
            <w:tcW w:w="1418" w:type="dxa"/>
            <w:tcBorders/>
          </w:tcPr>
          <w:p>
            <w:pPr>
              <w:pStyle w:val="Normal"/>
              <w:widowControl/>
              <w:spacing w:before="120" w:after="120"/>
              <w:ind w:left="28"/>
              <w:jc w:val="center"/>
              <w:rPr>
                <w:sz w:val="20"/>
                <w:szCs w:val="20"/>
                <w:lang w:val="en-AU"/>
              </w:rPr>
            </w:pPr>
            <w:r>
              <w:rPr>
                <w:b/>
                <w:bCs/>
                <w:color w:val="000000"/>
                <w:kern w:val="0"/>
                <w:sz w:val="20"/>
                <w:szCs w:val="20"/>
                <w:lang w:val="en-AU" w:bidi="ar-SA"/>
              </w:rPr>
              <w:t>Models</w:t>
            </w:r>
          </w:p>
        </w:tc>
        <w:tc>
          <w:tcPr>
            <w:tcW w:w="3118" w:type="dxa"/>
            <w:tcBorders/>
          </w:tcPr>
          <w:p>
            <w:pPr>
              <w:pStyle w:val="Normal"/>
              <w:widowControl/>
              <w:spacing w:before="120" w:after="120"/>
              <w:jc w:val="left"/>
              <w:rPr>
                <w:sz w:val="20"/>
                <w:szCs w:val="20"/>
                <w:lang w:val="en-AU"/>
              </w:rPr>
            </w:pPr>
            <w:r>
              <w:rPr>
                <w:b/>
                <w:bCs/>
                <w:color w:val="000000"/>
                <w:kern w:val="0"/>
                <w:sz w:val="20"/>
                <w:szCs w:val="20"/>
                <w:lang w:val="en-AU" w:bidi="ar-SA"/>
              </w:rPr>
              <w:t>Primary Data Sources</w:t>
            </w:r>
          </w:p>
        </w:tc>
        <w:tc>
          <w:tcPr>
            <w:tcW w:w="3790" w:type="dxa"/>
            <w:tcBorders/>
          </w:tcPr>
          <w:p>
            <w:pPr>
              <w:pStyle w:val="Normal"/>
              <w:widowControl/>
              <w:spacing w:before="120" w:after="120"/>
              <w:jc w:val="left"/>
              <w:rPr>
                <w:sz w:val="20"/>
                <w:szCs w:val="20"/>
                <w:lang w:val="en-AU"/>
              </w:rPr>
            </w:pPr>
            <w:r>
              <w:rPr>
                <w:b/>
                <w:bCs/>
                <w:color w:val="000000"/>
                <w:kern w:val="0"/>
                <w:sz w:val="20"/>
                <w:szCs w:val="20"/>
                <w:lang w:val="en-AU" w:bidi="ar-SA"/>
              </w:rPr>
              <w:t>Secondary data sources (Sphera MLC LCI database)</w:t>
            </w:r>
          </w:p>
        </w:tc>
        <w:tc>
          <w:tcPr>
            <w:tcW w:w="3790" w:type="dxa"/>
            <w:tcBorders/>
          </w:tcPr>
          <w:p>
            <w:pPr>
              <w:pStyle w:val="Normal"/>
              <w:widowControl/>
              <w:spacing w:before="120" w:after="120"/>
              <w:jc w:val="left"/>
              <w:rPr>
                <w:sz w:val="20"/>
                <w:szCs w:val="20"/>
                <w:lang w:val="en-AU"/>
              </w:rPr>
            </w:pPr>
            <w:r>
              <w:rPr>
                <w:b/>
                <w:bCs/>
                <w:color w:val="000000"/>
                <w:kern w:val="0"/>
                <w:sz w:val="20"/>
                <w:szCs w:val="20"/>
                <w:lang w:val="en-AU" w:bidi="ar-SA"/>
              </w:rPr>
              <w:t>Literature sources and notes</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Composites</w:t>
            </w:r>
          </w:p>
        </w:tc>
        <w:tc>
          <w:tcPr>
            <w:tcW w:w="1418" w:type="dxa"/>
            <w:tcBorders>
              <w:top w:val="nil"/>
              <w:bottom w:val="nil"/>
            </w:tcBorders>
          </w:tcPr>
          <w:p>
            <w:pPr>
              <w:pStyle w:val="Normal"/>
              <w:widowControl/>
              <w:spacing w:before="120" w:after="120"/>
              <w:ind w:left="28"/>
              <w:jc w:val="center"/>
              <w:rPr>
                <w:color w:val="auto"/>
                <w:sz w:val="20"/>
                <w:szCs w:val="20"/>
                <w:lang w:val="en-AU"/>
              </w:rPr>
            </w:pPr>
            <w:r>
              <w:rPr>
                <w:color w:val="auto"/>
                <w:kern w:val="0"/>
                <w:sz w:val="20"/>
                <w:szCs w:val="20"/>
                <w:lang w:val="en-AU" w:bidi="ar-SA"/>
              </w:rPr>
              <w:t>4</w:t>
            </w:r>
          </w:p>
        </w:tc>
        <w:tc>
          <w:tcPr>
            <w:tcW w:w="3118" w:type="dxa"/>
            <w:tcBorders>
              <w:top w:val="nil"/>
              <w:bottom w:val="nil"/>
            </w:tcBorders>
          </w:tcPr>
          <w:p>
            <w:pPr>
              <w:pStyle w:val="Normal"/>
              <w:widowControl/>
              <w:spacing w:before="120" w:after="120"/>
              <w:jc w:val="left"/>
              <w:rPr>
                <w:color w:val="auto"/>
                <w:sz w:val="20"/>
                <w:szCs w:val="20"/>
                <w:lang w:val="en-AU"/>
              </w:rPr>
            </w:pPr>
            <w:r>
              <w:rPr>
                <w:color w:val="auto"/>
                <w:kern w:val="0"/>
                <w:sz w:val="20"/>
                <w:szCs w:val="20"/>
                <w:lang w:val="en-AU" w:bidi="ar-SA"/>
              </w:rPr>
              <w:t>Measured autoclave curing energy</w:t>
            </w:r>
          </w:p>
          <w:p>
            <w:pPr>
              <w:pStyle w:val="Normal"/>
              <w:widowControl/>
              <w:spacing w:before="120" w:after="120"/>
              <w:jc w:val="left"/>
              <w:rPr>
                <w:color w:val="auto"/>
                <w:sz w:val="20"/>
                <w:szCs w:val="20"/>
                <w:lang w:val="en-AU"/>
              </w:rPr>
            </w:pPr>
            <w:r>
              <w:rPr>
                <w:color w:val="auto"/>
                <w:kern w:val="0"/>
                <w:sz w:val="20"/>
                <w:szCs w:val="20"/>
                <w:lang w:val="en-AU" w:bidi="ar-SA"/>
              </w:rPr>
              <w:t>Facility-level energy metered and allocated to oven curing, layup, and trimming processes based on location in facility, floor space, and process timing</w:t>
            </w:r>
          </w:p>
        </w:tc>
        <w:tc>
          <w:tcPr>
            <w:tcW w:w="3790" w:type="dxa"/>
            <w:tcBorders>
              <w:top w:val="nil"/>
              <w:bottom w:val="nil"/>
            </w:tcBorders>
          </w:tcPr>
          <w:p>
            <w:pPr>
              <w:pStyle w:val="Normal"/>
              <w:widowControl/>
              <w:spacing w:before="120" w:after="120"/>
              <w:jc w:val="left"/>
              <w:rPr>
                <w:color w:val="auto"/>
                <w:sz w:val="20"/>
                <w:szCs w:val="20"/>
                <w:lang w:val="en-AU"/>
              </w:rPr>
            </w:pPr>
            <w:r>
              <w:rPr>
                <w:color w:val="auto"/>
                <w:kern w:val="0"/>
                <w:sz w:val="20"/>
                <w:szCs w:val="20"/>
                <w:lang w:val="en-AU" w:bidi="ar-SA"/>
              </w:rPr>
              <w:t>Carbon fibre (CF, PAN-based)</w:t>
            </w:r>
          </w:p>
          <w:p>
            <w:pPr>
              <w:pStyle w:val="Normal"/>
              <w:widowControl/>
              <w:spacing w:before="120" w:after="120"/>
              <w:jc w:val="left"/>
              <w:rPr>
                <w:color w:val="auto"/>
                <w:sz w:val="20"/>
                <w:szCs w:val="20"/>
                <w:lang w:val="en-AU"/>
              </w:rPr>
            </w:pPr>
            <w:r>
              <w:rPr>
                <w:color w:val="auto"/>
                <w:kern w:val="0"/>
                <w:sz w:val="20"/>
                <w:szCs w:val="20"/>
                <w:lang w:val="en-AU" w:bidi="ar-SA"/>
              </w:rPr>
              <w:t>Glass fibre</w:t>
            </w:r>
          </w:p>
          <w:p>
            <w:pPr>
              <w:pStyle w:val="Normal"/>
              <w:widowControl/>
              <w:spacing w:before="120" w:after="120"/>
              <w:jc w:val="left"/>
              <w:rPr>
                <w:color w:val="auto"/>
                <w:sz w:val="20"/>
                <w:szCs w:val="20"/>
                <w:lang w:val="en-AU"/>
              </w:rPr>
            </w:pPr>
            <w:r>
              <w:rPr>
                <w:color w:val="auto"/>
                <w:kern w:val="0"/>
                <w:sz w:val="20"/>
                <w:szCs w:val="20"/>
                <w:lang w:val="en-AU" w:bidi="ar-SA"/>
              </w:rPr>
              <w:t>Epoxy resin</w:t>
            </w:r>
          </w:p>
          <w:p>
            <w:pPr>
              <w:pStyle w:val="Normal"/>
              <w:widowControl/>
              <w:spacing w:before="120" w:after="120"/>
              <w:jc w:val="left"/>
              <w:rPr>
                <w:color w:val="auto"/>
                <w:sz w:val="20"/>
                <w:szCs w:val="20"/>
                <w:lang w:val="en-AU"/>
              </w:rPr>
            </w:pPr>
            <w:r>
              <w:rPr>
                <w:color w:val="auto"/>
                <w:kern w:val="0"/>
                <w:sz w:val="20"/>
                <w:szCs w:val="20"/>
                <w:lang w:val="en-AU" w:bidi="ar-SA"/>
              </w:rPr>
              <w:t>PTFE (polytetrafluoroethylene)</w:t>
            </w:r>
          </w:p>
          <w:p>
            <w:pPr>
              <w:pStyle w:val="Normal"/>
              <w:widowControl/>
              <w:spacing w:before="120" w:after="120"/>
              <w:jc w:val="left"/>
              <w:rPr>
                <w:color w:val="auto"/>
                <w:sz w:val="20"/>
                <w:szCs w:val="20"/>
                <w:lang w:val="en-AU"/>
              </w:rPr>
            </w:pPr>
            <w:r>
              <w:rPr>
                <w:color w:val="auto"/>
                <w:kern w:val="0"/>
                <w:sz w:val="20"/>
                <w:szCs w:val="20"/>
                <w:lang w:val="en-AU" w:bidi="ar-SA"/>
              </w:rPr>
              <w:t>Adhesives (epoxy-based)</w:t>
            </w:r>
          </w:p>
          <w:p>
            <w:pPr>
              <w:pStyle w:val="Normal"/>
              <w:widowControl/>
              <w:spacing w:before="120" w:after="120"/>
              <w:jc w:val="left"/>
              <w:rPr>
                <w:color w:val="auto"/>
                <w:sz w:val="20"/>
                <w:szCs w:val="20"/>
                <w:lang w:val="en-AU"/>
              </w:rPr>
            </w:pPr>
            <w:r>
              <w:rPr>
                <w:color w:val="auto"/>
                <w:kern w:val="0"/>
                <w:sz w:val="20"/>
                <w:szCs w:val="20"/>
                <w:lang w:val="en-AU" w:bidi="ar-SA"/>
              </w:rPr>
              <w:t>Solvent paint white (EN15804 A1-A3)</w:t>
            </w:r>
          </w:p>
          <w:p>
            <w:pPr>
              <w:pStyle w:val="Normal"/>
              <w:widowControl/>
              <w:spacing w:before="120" w:after="120"/>
              <w:jc w:val="left"/>
              <w:rPr>
                <w:color w:val="auto"/>
                <w:sz w:val="20"/>
                <w:szCs w:val="20"/>
                <w:lang w:val="en-AU"/>
              </w:rPr>
            </w:pPr>
            <w:r>
              <w:rPr>
                <w:color w:val="auto"/>
                <w:kern w:val="0"/>
                <w:sz w:val="20"/>
                <w:szCs w:val="20"/>
                <w:lang w:val="en-AU" w:bidi="ar-SA"/>
              </w:rPr>
              <w:t>Transportation (air freight with kerosene/Jet A1)</w:t>
            </w:r>
          </w:p>
        </w:tc>
        <w:tc>
          <w:tcPr>
            <w:tcW w:w="3790" w:type="dxa"/>
            <w:tcBorders>
              <w:top w:val="nil"/>
              <w:bottom w:val="nil"/>
            </w:tcBorders>
          </w:tcPr>
          <w:p>
            <w:pPr>
              <w:pStyle w:val="Normal"/>
              <w:widowControl/>
              <w:spacing w:before="120" w:after="120"/>
              <w:jc w:val="left"/>
              <w:rPr>
                <w:color w:val="auto"/>
                <w:sz w:val="20"/>
                <w:szCs w:val="20"/>
                <w:lang w:val="en-AU"/>
              </w:rPr>
            </w:pPr>
            <w:r>
              <w:rPr>
                <w:color w:val="auto"/>
                <w:kern w:val="0"/>
                <w:sz w:val="20"/>
                <w:szCs w:val="20"/>
                <w:lang w:val="en-AU" w:bidi="ar-SA"/>
              </w:rPr>
              <w:t xml:space="preserve">Prepreg fabrication from Das (2011), Song </w:t>
            </w:r>
            <w:r>
              <w:rPr>
                <w:i/>
                <w:color w:val="auto"/>
                <w:kern w:val="0"/>
                <w:sz w:val="20"/>
                <w:szCs w:val="20"/>
                <w:lang w:val="en-AU" w:bidi="ar-SA"/>
              </w:rPr>
              <w:t>et al.</w:t>
            </w:r>
            <w:r>
              <w:rPr>
                <w:color w:val="auto"/>
                <w:kern w:val="0"/>
                <w:sz w:val="20"/>
                <w:szCs w:val="20"/>
                <w:lang w:val="en-AU" w:bidi="ar-SA"/>
              </w:rPr>
              <w:t xml:space="preserve"> (2009), and Suzuki &amp; Takahashi (2005)</w:t>
            </w:r>
          </w:p>
          <w:p>
            <w:pPr>
              <w:pStyle w:val="Normal"/>
              <w:widowControl/>
              <w:spacing w:before="120" w:after="120"/>
              <w:jc w:val="left"/>
              <w:rPr>
                <w:color w:val="auto"/>
                <w:sz w:val="20"/>
                <w:szCs w:val="20"/>
                <w:lang w:val="en-AU"/>
              </w:rPr>
            </w:pPr>
            <w:r>
              <w:rPr>
                <w:color w:val="auto"/>
                <w:kern w:val="0"/>
                <w:sz w:val="20"/>
                <w:szCs w:val="20"/>
                <w:lang w:val="en-AU" w:bidi="ar-SA"/>
              </w:rPr>
              <w:t xml:space="preserve">Auxiliary bagging materials (PA 6.6, PET films) from Calado </w:t>
            </w:r>
            <w:r>
              <w:rPr>
                <w:i/>
                <w:color w:val="auto"/>
                <w:kern w:val="0"/>
                <w:sz w:val="20"/>
                <w:szCs w:val="20"/>
                <w:lang w:val="en-AU" w:bidi="ar-SA"/>
              </w:rPr>
              <w:t>et al.</w:t>
            </w:r>
            <w:r>
              <w:rPr>
                <w:color w:val="auto"/>
                <w:kern w:val="0"/>
                <w:sz w:val="20"/>
                <w:szCs w:val="20"/>
                <w:lang w:val="en-AU" w:bidi="ar-SA"/>
              </w:rPr>
              <w:t xml:space="preserve"> (2019)</w:t>
            </w:r>
          </w:p>
          <w:p>
            <w:pPr>
              <w:pStyle w:val="Normal"/>
              <w:widowControl/>
              <w:spacing w:before="120" w:after="120"/>
              <w:jc w:val="left"/>
              <w:rPr>
                <w:color w:val="auto"/>
                <w:sz w:val="20"/>
                <w:szCs w:val="20"/>
                <w:lang w:val="en-AU"/>
              </w:rPr>
            </w:pPr>
            <w:r>
              <w:rPr>
                <w:color w:val="auto"/>
                <w:kern w:val="0"/>
                <w:sz w:val="20"/>
                <w:szCs w:val="20"/>
                <w:lang w:val="en-AU" w:bidi="ar-SA"/>
              </w:rPr>
              <w:t>PTFE used as proxy for honeycomb core materials</w:t>
            </w:r>
          </w:p>
          <w:p>
            <w:pPr>
              <w:pStyle w:val="Normal"/>
              <w:widowControl/>
              <w:spacing w:before="120" w:after="120"/>
              <w:jc w:val="left"/>
              <w:rPr>
                <w:color w:val="auto"/>
                <w:sz w:val="20"/>
                <w:szCs w:val="20"/>
                <w:lang w:val="en-AU"/>
              </w:rPr>
            </w:pPr>
            <w:r>
              <w:rPr>
                <w:color w:val="auto"/>
                <w:kern w:val="0"/>
                <w:sz w:val="20"/>
                <w:szCs w:val="20"/>
                <w:lang w:val="en-AU" w:bidi="ar-SA"/>
              </w:rPr>
              <w:t>Manufacturing scrap sent to landfill included</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Aluminium</w:t>
            </w:r>
          </w:p>
        </w:tc>
        <w:tc>
          <w:tcPr>
            <w:tcW w:w="1418" w:type="dxa"/>
            <w:tcBorders>
              <w:top w:val="nil"/>
              <w:bottom w:val="nil"/>
            </w:tcBorders>
          </w:tcPr>
          <w:p>
            <w:pPr>
              <w:pStyle w:val="Normal"/>
              <w:widowControl/>
              <w:spacing w:before="120" w:after="120"/>
              <w:ind w:left="28"/>
              <w:jc w:val="center"/>
              <w:rPr>
                <w:color w:val="auto"/>
                <w:sz w:val="20"/>
                <w:szCs w:val="20"/>
                <w:lang w:val="en-AU"/>
              </w:rPr>
            </w:pPr>
            <w:r>
              <w:rPr>
                <w:color w:val="auto"/>
                <w:kern w:val="0"/>
                <w:sz w:val="20"/>
                <w:szCs w:val="20"/>
                <w:lang w:val="en-AU" w:bidi="ar-SA"/>
              </w:rPr>
              <w:t>4</w:t>
            </w:r>
          </w:p>
        </w:tc>
        <w:tc>
          <w:tcPr>
            <w:tcW w:w="3118" w:type="dxa"/>
            <w:tcBorders>
              <w:top w:val="nil"/>
              <w:bottom w:val="nil"/>
            </w:tcBorders>
          </w:tcPr>
          <w:p>
            <w:pPr>
              <w:pStyle w:val="Normal"/>
              <w:widowControl/>
              <w:spacing w:before="120" w:after="120"/>
              <w:jc w:val="left"/>
              <w:rPr>
                <w:color w:val="auto"/>
                <w:sz w:val="20"/>
                <w:szCs w:val="20"/>
                <w:lang w:val="en-AU"/>
              </w:rPr>
            </w:pPr>
            <w:r>
              <w:rPr>
                <w:color w:val="auto"/>
                <w:kern w:val="0"/>
                <w:sz w:val="20"/>
                <w:szCs w:val="20"/>
                <w:lang w:val="en-AU" w:bidi="ar-SA"/>
              </w:rPr>
              <w:t>—</w:t>
            </w:r>
          </w:p>
        </w:tc>
        <w:tc>
          <w:tcPr>
            <w:tcW w:w="3790" w:type="dxa"/>
            <w:tcBorders>
              <w:top w:val="nil"/>
              <w:bottom w:val="nil"/>
            </w:tcBorders>
          </w:tcPr>
          <w:p>
            <w:pPr>
              <w:pStyle w:val="Normal"/>
              <w:widowControl/>
              <w:spacing w:before="120" w:after="120"/>
              <w:jc w:val="left"/>
              <w:rPr>
                <w:color w:val="auto"/>
                <w:sz w:val="20"/>
                <w:szCs w:val="20"/>
                <w:lang w:val="en-AU"/>
              </w:rPr>
            </w:pPr>
            <w:r>
              <w:rPr>
                <w:color w:val="auto"/>
                <w:kern w:val="0"/>
                <w:sz w:val="20"/>
                <w:szCs w:val="20"/>
                <w:lang w:val="en-AU" w:bidi="ar-SA"/>
              </w:rPr>
              <w:t>Aluminium alloy sheet production</w:t>
            </w:r>
          </w:p>
          <w:p>
            <w:pPr>
              <w:pStyle w:val="Normal"/>
              <w:widowControl/>
              <w:spacing w:before="120" w:after="120"/>
              <w:jc w:val="left"/>
              <w:rPr>
                <w:color w:val="auto"/>
                <w:sz w:val="20"/>
                <w:szCs w:val="20"/>
                <w:lang w:val="en-AU"/>
              </w:rPr>
            </w:pPr>
            <w:r>
              <w:rPr>
                <w:color w:val="auto"/>
                <w:kern w:val="0"/>
                <w:sz w:val="20"/>
                <w:szCs w:val="20"/>
                <w:lang w:val="en-AU" w:bidi="ar-SA"/>
              </w:rPr>
              <w:t>Aluminium extrusion profile</w:t>
            </w:r>
          </w:p>
          <w:p>
            <w:pPr>
              <w:pStyle w:val="Normal"/>
              <w:widowControl/>
              <w:spacing w:before="120" w:after="120"/>
              <w:jc w:val="left"/>
              <w:rPr>
                <w:color w:val="auto"/>
                <w:sz w:val="20"/>
                <w:szCs w:val="20"/>
                <w:lang w:val="en-AU"/>
              </w:rPr>
            </w:pPr>
            <w:r>
              <w:rPr>
                <w:color w:val="auto"/>
                <w:kern w:val="0"/>
                <w:sz w:val="20"/>
                <w:szCs w:val="20"/>
                <w:lang w:val="en-AU" w:bidi="ar-SA"/>
              </w:rPr>
              <w:t>Aluminium casting part machining (complex)</w:t>
            </w:r>
          </w:p>
          <w:p>
            <w:pPr>
              <w:pStyle w:val="Normal"/>
              <w:widowControl/>
              <w:spacing w:before="120" w:after="120"/>
              <w:jc w:val="left"/>
              <w:rPr>
                <w:color w:val="auto"/>
                <w:sz w:val="20"/>
                <w:szCs w:val="20"/>
                <w:lang w:val="en-AU"/>
              </w:rPr>
            </w:pPr>
            <w:r>
              <w:rPr>
                <w:color w:val="auto"/>
                <w:kern w:val="0"/>
                <w:sz w:val="20"/>
                <w:szCs w:val="20"/>
                <w:lang w:val="en-AU" w:bidi="ar-SA"/>
              </w:rPr>
              <w:t>Aluminium sheet trim and bending</w:t>
            </w:r>
          </w:p>
          <w:p>
            <w:pPr>
              <w:pStyle w:val="Normal"/>
              <w:widowControl/>
              <w:spacing w:before="120" w:after="120"/>
              <w:jc w:val="left"/>
              <w:rPr>
                <w:color w:val="auto"/>
                <w:sz w:val="20"/>
                <w:szCs w:val="20"/>
                <w:lang w:val="en-AU"/>
              </w:rPr>
            </w:pPr>
            <w:r>
              <w:rPr>
                <w:color w:val="auto"/>
                <w:kern w:val="0"/>
                <w:sz w:val="20"/>
                <w:szCs w:val="20"/>
                <w:lang w:val="en-AU" w:bidi="ar-SA"/>
              </w:rPr>
              <w:t>Metal roll forming</w:t>
            </w:r>
          </w:p>
          <w:p>
            <w:pPr>
              <w:pStyle w:val="Normal"/>
              <w:widowControl/>
              <w:spacing w:before="120" w:after="120"/>
              <w:jc w:val="left"/>
              <w:rPr>
                <w:color w:val="auto"/>
                <w:sz w:val="20"/>
                <w:szCs w:val="20"/>
                <w:lang w:val="en-AU"/>
              </w:rPr>
            </w:pPr>
            <w:r>
              <w:rPr>
                <w:color w:val="auto"/>
                <w:kern w:val="0"/>
                <w:sz w:val="20"/>
                <w:szCs w:val="20"/>
                <w:lang w:val="en-AU" w:bidi="ar-SA"/>
              </w:rPr>
              <w:t>Drop forging</w:t>
            </w:r>
          </w:p>
          <w:p>
            <w:pPr>
              <w:pStyle w:val="Normal"/>
              <w:widowControl/>
              <w:spacing w:before="120" w:after="120"/>
              <w:jc w:val="left"/>
              <w:rPr>
                <w:color w:val="auto"/>
                <w:sz w:val="20"/>
                <w:szCs w:val="20"/>
                <w:lang w:val="en-AU"/>
              </w:rPr>
            </w:pPr>
            <w:r>
              <w:rPr>
                <w:color w:val="auto"/>
                <w:kern w:val="0"/>
                <w:sz w:val="20"/>
                <w:szCs w:val="20"/>
                <w:lang w:val="en-AU" w:bidi="ar-SA"/>
              </w:rPr>
              <w:t>Surface preparation (primers, sealants)</w:t>
            </w:r>
          </w:p>
          <w:p>
            <w:pPr>
              <w:pStyle w:val="Normal"/>
              <w:widowControl/>
              <w:spacing w:before="120" w:after="120"/>
              <w:jc w:val="left"/>
              <w:rPr>
                <w:color w:val="auto"/>
                <w:sz w:val="20"/>
                <w:szCs w:val="20"/>
                <w:lang w:val="en-AU"/>
              </w:rPr>
            </w:pPr>
            <w:r>
              <w:rPr>
                <w:color w:val="auto"/>
                <w:kern w:val="0"/>
                <w:sz w:val="20"/>
                <w:szCs w:val="20"/>
                <w:lang w:val="en-AU" w:bidi="ar-SA"/>
              </w:rPr>
              <w:t>Transportation (truck freight with diesel air freight with kerosene/Jet A1)</w:t>
            </w:r>
          </w:p>
        </w:tc>
        <w:tc>
          <w:tcPr>
            <w:tcW w:w="3790" w:type="dxa"/>
            <w:tcBorders>
              <w:top w:val="nil"/>
              <w:bottom w:val="nil"/>
            </w:tcBorders>
          </w:tcPr>
          <w:p>
            <w:pPr>
              <w:pStyle w:val="Normal"/>
              <w:widowControl/>
              <w:spacing w:before="120" w:after="120"/>
              <w:jc w:val="left"/>
              <w:rPr>
                <w:color w:val="auto"/>
                <w:sz w:val="20"/>
                <w:szCs w:val="20"/>
                <w:lang w:val="en-AU"/>
              </w:rPr>
            </w:pPr>
            <w:r>
              <w:rPr>
                <w:color w:val="000000"/>
                <w:kern w:val="0"/>
                <w:sz w:val="20"/>
                <w:szCs w:val="20"/>
                <w:lang w:val="en-AU" w:bidi="ar-SA"/>
              </w:rPr>
              <w:t>Parts fabricated at external suppliers</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Titanium</w:t>
            </w:r>
          </w:p>
        </w:tc>
        <w:tc>
          <w:tcPr>
            <w:tcW w:w="1418" w:type="dxa"/>
            <w:tcBorders>
              <w:top w:val="nil"/>
              <w:bottom w:val="nil"/>
            </w:tcBorders>
          </w:tcPr>
          <w:p>
            <w:pPr>
              <w:pStyle w:val="Normal"/>
              <w:widowControl/>
              <w:spacing w:before="120" w:after="120"/>
              <w:ind w:left="28"/>
              <w:jc w:val="center"/>
              <w:rPr>
                <w:sz w:val="20"/>
                <w:szCs w:val="20"/>
                <w:lang w:val="en-AU"/>
              </w:rPr>
            </w:pPr>
            <w:r>
              <w:rPr>
                <w:color w:val="000000"/>
                <w:kern w:val="0"/>
                <w:sz w:val="20"/>
                <w:szCs w:val="20"/>
                <w:lang w:val="en-AU" w:bidi="ar-SA"/>
              </w:rPr>
              <w:t>1</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bottom w:val="nil"/>
            </w:tcBorders>
          </w:tcPr>
          <w:p>
            <w:pPr>
              <w:pStyle w:val="Normal"/>
              <w:widowControl/>
              <w:spacing w:before="120" w:after="120"/>
              <w:jc w:val="left"/>
              <w:rPr>
                <w:sz w:val="20"/>
                <w:szCs w:val="20"/>
              </w:rPr>
            </w:pPr>
            <w:r>
              <w:rPr>
                <w:color w:val="000000"/>
                <w:kern w:val="0"/>
                <w:sz w:val="20"/>
                <w:szCs w:val="20"/>
                <w:lang w:val="en-GB" w:bidi="ar-SA"/>
              </w:rPr>
              <w:t>Magnesium ingot (see notes)</w:t>
            </w:r>
          </w:p>
          <w:p>
            <w:pPr>
              <w:pStyle w:val="Normal"/>
              <w:widowControl/>
              <w:spacing w:before="120" w:after="120"/>
              <w:jc w:val="left"/>
              <w:rPr>
                <w:sz w:val="20"/>
                <w:szCs w:val="20"/>
              </w:rPr>
            </w:pPr>
            <w:r>
              <w:rPr>
                <w:color w:val="000000"/>
                <w:kern w:val="0"/>
                <w:sz w:val="20"/>
                <w:szCs w:val="20"/>
                <w:lang w:val="en-GB" w:bidi="ar-SA"/>
              </w:rPr>
              <w:t>Drop-forging</w:t>
            </w:r>
          </w:p>
          <w:p>
            <w:pPr>
              <w:pStyle w:val="Normal"/>
              <w:widowControl/>
              <w:spacing w:before="120" w:after="120"/>
              <w:jc w:val="left"/>
              <w:rPr>
                <w:sz w:val="20"/>
                <w:szCs w:val="20"/>
              </w:rPr>
            </w:pPr>
            <w:r>
              <w:rPr>
                <w:color w:val="000000"/>
                <w:kern w:val="0"/>
                <w:sz w:val="20"/>
                <w:szCs w:val="20"/>
                <w:lang w:val="en-GB" w:bidi="ar-SA"/>
              </w:rPr>
              <w:t>Titanium machining</w:t>
            </w:r>
          </w:p>
          <w:p>
            <w:pPr>
              <w:pStyle w:val="Normal"/>
              <w:widowControl/>
              <w:spacing w:before="120" w:after="120"/>
              <w:jc w:val="left"/>
              <w:rPr>
                <w:sz w:val="20"/>
                <w:szCs w:val="20"/>
                <w:lang w:val="en-AU"/>
              </w:rPr>
            </w:pPr>
            <w:r>
              <w:rPr>
                <w:color w:val="000000"/>
                <w:kern w:val="0"/>
                <w:sz w:val="20"/>
                <w:szCs w:val="20"/>
                <w:lang w:val="en-GB" w:bidi="ar-SA"/>
              </w:rPr>
              <w:t>Transportation (air freight with kerosene/Jet A1)</w:t>
            </w:r>
          </w:p>
        </w:tc>
        <w:tc>
          <w:tcPr>
            <w:tcW w:w="3790" w:type="dxa"/>
            <w:tcBorders>
              <w:top w:val="nil"/>
              <w:bottom w:val="nil"/>
            </w:tcBorders>
          </w:tcPr>
          <w:p>
            <w:pPr>
              <w:pStyle w:val="Normal"/>
              <w:widowControl/>
              <w:spacing w:before="120" w:after="120"/>
              <w:jc w:val="left"/>
              <w:rPr>
                <w:sz w:val="20"/>
                <w:szCs w:val="20"/>
              </w:rPr>
            </w:pPr>
            <w:r>
              <w:rPr>
                <w:color w:val="000000"/>
                <w:kern w:val="0"/>
                <w:sz w:val="20"/>
                <w:szCs w:val="20"/>
                <w:lang w:val="en-GB" w:bidi="ar-SA"/>
              </w:rPr>
              <w:t>Magnesium used as proxy for titanium production due to database limitations</w:t>
            </w:r>
          </w:p>
          <w:p>
            <w:pPr>
              <w:pStyle w:val="Normal"/>
              <w:widowControl/>
              <w:spacing w:before="120" w:after="120"/>
              <w:jc w:val="left"/>
              <w:rPr>
                <w:sz w:val="20"/>
                <w:szCs w:val="20"/>
              </w:rPr>
            </w:pPr>
            <w:r>
              <w:rPr>
                <w:color w:val="000000"/>
                <w:kern w:val="0"/>
                <w:sz w:val="20"/>
                <w:szCs w:val="20"/>
                <w:lang w:val="en-GB" w:bidi="ar-SA"/>
              </w:rPr>
              <w:t xml:space="preserve">Similar extraction and processing footprint validated by Torrubia </w:t>
            </w:r>
            <w:r>
              <w:rPr>
                <w:i/>
                <w:color w:val="000000"/>
                <w:kern w:val="0"/>
                <w:sz w:val="20"/>
                <w:szCs w:val="20"/>
                <w:lang w:val="en-GB" w:bidi="ar-SA"/>
              </w:rPr>
              <w:t>et al.</w:t>
            </w:r>
            <w:r>
              <w:rPr>
                <w:color w:val="000000"/>
                <w:kern w:val="0"/>
                <w:sz w:val="20"/>
                <w:szCs w:val="20"/>
                <w:lang w:val="en-GB" w:bidi="ar-SA"/>
              </w:rPr>
              <w:t xml:space="preserve"> (2023)</w:t>
            </w:r>
          </w:p>
          <w:p>
            <w:pPr>
              <w:pStyle w:val="Normal"/>
              <w:widowControl/>
              <w:spacing w:before="120" w:after="120"/>
              <w:jc w:val="left"/>
              <w:rPr>
                <w:rFonts w:eastAsia="" w:cs="Aptos Display" w:cstheme="majorHAnsi" w:eastAsiaTheme="minorEastAsia"/>
                <w:sz w:val="20"/>
                <w:szCs w:val="20"/>
                <w:lang w:eastAsia="en-US"/>
              </w:rPr>
            </w:pPr>
            <w:r>
              <w:rPr>
                <w:color w:val="000000"/>
                <w:kern w:val="0"/>
                <w:sz w:val="20"/>
                <w:szCs w:val="20"/>
                <w:lang w:val="en-AU" w:bidi="ar-SA"/>
              </w:rPr>
              <w:t>Parts fabricated at external suppliers</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Superalloys</w:t>
            </w:r>
          </w:p>
        </w:tc>
        <w:tc>
          <w:tcPr>
            <w:tcW w:w="1418" w:type="dxa"/>
            <w:tcBorders>
              <w:top w:val="nil"/>
              <w:bottom w:val="nil"/>
            </w:tcBorders>
          </w:tcPr>
          <w:p>
            <w:pPr>
              <w:pStyle w:val="Normal"/>
              <w:widowControl/>
              <w:spacing w:before="120" w:after="120"/>
              <w:ind w:left="28"/>
              <w:jc w:val="center"/>
              <w:rPr>
                <w:sz w:val="20"/>
                <w:szCs w:val="20"/>
                <w:lang w:val="en-AU"/>
              </w:rPr>
            </w:pPr>
            <w:r>
              <w:rPr>
                <w:color w:val="000000"/>
                <w:kern w:val="0"/>
                <w:sz w:val="20"/>
                <w:szCs w:val="20"/>
                <w:lang w:val="en-AU" w:bidi="ar-SA"/>
              </w:rPr>
              <w:t>2</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Nickel (Class 1, &gt;99.8%)</w:t>
            </w:r>
          </w:p>
          <w:p>
            <w:pPr>
              <w:pStyle w:val="Normal"/>
              <w:widowControl/>
              <w:spacing w:before="120" w:after="120"/>
              <w:jc w:val="left"/>
              <w:rPr>
                <w:sz w:val="20"/>
                <w:szCs w:val="20"/>
                <w:lang w:val="en-AU"/>
              </w:rPr>
            </w:pPr>
            <w:r>
              <w:rPr>
                <w:color w:val="000000"/>
                <w:kern w:val="0"/>
                <w:sz w:val="20"/>
                <w:szCs w:val="20"/>
                <w:lang w:val="en-AU" w:bidi="ar-SA"/>
              </w:rPr>
              <w:t>Ferronickel (27% Nickel)</w:t>
            </w:r>
          </w:p>
          <w:p>
            <w:pPr>
              <w:pStyle w:val="Normal"/>
              <w:widowControl/>
              <w:spacing w:before="120" w:after="120"/>
              <w:jc w:val="left"/>
              <w:rPr>
                <w:sz w:val="20"/>
                <w:szCs w:val="20"/>
                <w:lang w:val="en-AU"/>
              </w:rPr>
            </w:pPr>
            <w:r>
              <w:rPr>
                <w:color w:val="000000"/>
                <w:kern w:val="0"/>
                <w:sz w:val="20"/>
                <w:szCs w:val="20"/>
                <w:lang w:val="en-AU" w:bidi="ar-SA"/>
              </w:rPr>
              <w:t>Ferro chrome high carbon</w:t>
            </w:r>
          </w:p>
          <w:p>
            <w:pPr>
              <w:pStyle w:val="Normal"/>
              <w:widowControl/>
              <w:spacing w:before="120" w:after="120"/>
              <w:jc w:val="left"/>
              <w:rPr>
                <w:sz w:val="20"/>
                <w:szCs w:val="20"/>
                <w:lang w:val="en-AU"/>
              </w:rPr>
            </w:pPr>
            <w:r>
              <w:rPr>
                <w:color w:val="000000"/>
                <w:kern w:val="0"/>
                <w:sz w:val="20"/>
                <w:szCs w:val="20"/>
                <w:lang w:val="en-AU" w:bidi="ar-SA"/>
              </w:rPr>
              <w:t>Ferro chrome (60%)</w:t>
            </w:r>
          </w:p>
          <w:p>
            <w:pPr>
              <w:pStyle w:val="Normal"/>
              <w:widowControl/>
              <w:spacing w:before="120" w:after="120"/>
              <w:jc w:val="left"/>
              <w:rPr>
                <w:sz w:val="20"/>
                <w:szCs w:val="20"/>
                <w:lang w:val="en-AU"/>
              </w:rPr>
            </w:pPr>
            <w:r>
              <w:rPr>
                <w:color w:val="000000"/>
                <w:kern w:val="0"/>
                <w:sz w:val="20"/>
                <w:szCs w:val="20"/>
                <w:lang w:val="en-AU" w:bidi="ar-SA"/>
              </w:rPr>
              <w:t>Molybdenite concentrate (cobalt source)</w:t>
            </w:r>
          </w:p>
          <w:p>
            <w:pPr>
              <w:pStyle w:val="Normal"/>
              <w:widowControl/>
              <w:spacing w:before="120" w:after="120"/>
              <w:jc w:val="left"/>
              <w:rPr>
                <w:sz w:val="20"/>
                <w:szCs w:val="20"/>
                <w:lang w:val="en-AU"/>
              </w:rPr>
            </w:pPr>
            <w:r>
              <w:rPr>
                <w:color w:val="000000"/>
                <w:kern w:val="0"/>
                <w:sz w:val="20"/>
                <w:szCs w:val="20"/>
                <w:lang w:val="en-AU" w:bidi="ar-SA"/>
              </w:rPr>
              <w:t>Drop-forging</w:t>
            </w:r>
          </w:p>
          <w:p>
            <w:pPr>
              <w:pStyle w:val="Normal"/>
              <w:widowControl/>
              <w:spacing w:before="120" w:after="120"/>
              <w:jc w:val="left"/>
              <w:rPr>
                <w:sz w:val="20"/>
                <w:szCs w:val="20"/>
                <w:lang w:val="en-AU"/>
              </w:rPr>
            </w:pPr>
            <w:r>
              <w:rPr>
                <w:color w:val="000000"/>
                <w:kern w:val="0"/>
                <w:sz w:val="20"/>
                <w:szCs w:val="20"/>
                <w:lang w:val="en-AU" w:bidi="ar-SA"/>
              </w:rPr>
              <w:t>High-alloyed machining</w:t>
            </w:r>
          </w:p>
          <w:p>
            <w:pPr>
              <w:pStyle w:val="Normal"/>
              <w:widowControl/>
              <w:spacing w:before="120" w:after="120"/>
              <w:jc w:val="left"/>
              <w:rPr>
                <w:sz w:val="20"/>
                <w:szCs w:val="20"/>
                <w:lang w:val="en-AU"/>
              </w:rPr>
            </w:pPr>
            <w:r>
              <w:rPr>
                <w:color w:val="000000"/>
                <w:kern w:val="0"/>
                <w:sz w:val="20"/>
                <w:szCs w:val="20"/>
                <w:lang w:val="en-AU" w:bidi="ar-SA"/>
              </w:rPr>
              <w:t>Transportation (air freight with kerosene/Jet A1)</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Inconel 718 selected as representative Fe-Ni base superalloy (estimated as 55% Ni, 20% Cr, 25% Fe)</w:t>
            </w:r>
          </w:p>
          <w:p>
            <w:pPr>
              <w:pStyle w:val="Normal"/>
              <w:widowControl/>
              <w:spacing w:before="120" w:after="120"/>
              <w:jc w:val="left"/>
              <w:rPr>
                <w:sz w:val="20"/>
                <w:szCs w:val="20"/>
                <w:lang w:val="en-AU"/>
              </w:rPr>
            </w:pPr>
            <w:r>
              <w:rPr>
                <w:color w:val="000000"/>
                <w:kern w:val="0"/>
                <w:sz w:val="20"/>
                <w:szCs w:val="20"/>
                <w:lang w:val="en-AU" w:bidi="ar-SA"/>
              </w:rPr>
              <w:t>Waspaloy selected as representative Ni-base superalloy (estimated as 58% Ni, 20% Cr, 14% Co, 4% Mo, 4% Fe/Ti)</w:t>
            </w:r>
          </w:p>
          <w:p>
            <w:pPr>
              <w:pStyle w:val="Normal"/>
              <w:widowControl/>
              <w:spacing w:before="120" w:after="120"/>
              <w:jc w:val="left"/>
              <w:rPr>
                <w:sz w:val="20"/>
                <w:szCs w:val="20"/>
                <w:lang w:val="en-AU"/>
              </w:rPr>
            </w:pPr>
            <w:r>
              <w:rPr>
                <w:color w:val="000000"/>
                <w:kern w:val="0"/>
                <w:sz w:val="20"/>
                <w:szCs w:val="20"/>
                <w:lang w:val="en-AU" w:bidi="ar-SA"/>
              </w:rPr>
              <w:t>Alloy compositions estimated from constituent metals due to database limitations</w:t>
            </w:r>
          </w:p>
          <w:p>
            <w:pPr>
              <w:pStyle w:val="Normal"/>
              <w:widowControl/>
              <w:spacing w:before="120" w:after="120"/>
              <w:jc w:val="left"/>
              <w:rPr>
                <w:sz w:val="20"/>
                <w:szCs w:val="20"/>
                <w:lang w:val="en-AU"/>
              </w:rPr>
            </w:pPr>
            <w:r>
              <w:rPr>
                <w:color w:val="000000"/>
                <w:kern w:val="0"/>
                <w:sz w:val="20"/>
                <w:szCs w:val="20"/>
                <w:lang w:val="en-AU" w:bidi="ar-SA"/>
              </w:rPr>
              <w:t>Parts fabricated at external suppliers</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CRES (Stainless steel)</w:t>
            </w:r>
          </w:p>
        </w:tc>
        <w:tc>
          <w:tcPr>
            <w:tcW w:w="1418" w:type="dxa"/>
            <w:tcBorders>
              <w:top w:val="nil"/>
              <w:bottom w:val="nil"/>
            </w:tcBorders>
          </w:tcPr>
          <w:p>
            <w:pPr>
              <w:pStyle w:val="Normal"/>
              <w:widowControl/>
              <w:spacing w:before="120" w:after="120"/>
              <w:ind w:left="28"/>
              <w:jc w:val="center"/>
              <w:rPr>
                <w:sz w:val="20"/>
                <w:szCs w:val="20"/>
                <w:lang w:val="en-AU"/>
              </w:rPr>
            </w:pPr>
            <w:r>
              <w:rPr>
                <w:color w:val="000000"/>
                <w:kern w:val="0"/>
                <w:sz w:val="20"/>
                <w:szCs w:val="20"/>
                <w:lang w:val="en-AU" w:bidi="ar-SA"/>
              </w:rPr>
              <w:t>6</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bottom w:val="nil"/>
            </w:tcBorders>
          </w:tcPr>
          <w:p>
            <w:pPr>
              <w:pStyle w:val="Normal"/>
              <w:widowControl/>
              <w:spacing w:before="120" w:after="120"/>
              <w:jc w:val="left"/>
              <w:rPr>
                <w:sz w:val="20"/>
                <w:szCs w:val="20"/>
              </w:rPr>
            </w:pPr>
            <w:r>
              <w:rPr>
                <w:color w:val="000000"/>
                <w:kern w:val="0"/>
                <w:sz w:val="20"/>
                <w:szCs w:val="20"/>
                <w:lang w:val="en-GB" w:bidi="ar-SA"/>
              </w:rPr>
              <w:t>Steel seamless pipe</w:t>
            </w:r>
          </w:p>
          <w:p>
            <w:pPr>
              <w:pStyle w:val="Normal"/>
              <w:widowControl/>
              <w:spacing w:before="120" w:after="120"/>
              <w:jc w:val="left"/>
              <w:rPr>
                <w:sz w:val="20"/>
                <w:szCs w:val="20"/>
              </w:rPr>
            </w:pPr>
            <w:r>
              <w:rPr>
                <w:color w:val="000000"/>
                <w:kern w:val="0"/>
                <w:sz w:val="20"/>
                <w:szCs w:val="20"/>
                <w:lang w:val="en-GB" w:bidi="ar-SA"/>
              </w:rPr>
              <w:t>Stainless steel slab</w:t>
            </w:r>
          </w:p>
          <w:p>
            <w:pPr>
              <w:pStyle w:val="Normal"/>
              <w:widowControl/>
              <w:spacing w:before="120" w:after="120"/>
              <w:jc w:val="left"/>
              <w:rPr>
                <w:sz w:val="20"/>
                <w:szCs w:val="20"/>
              </w:rPr>
            </w:pPr>
            <w:r>
              <w:rPr>
                <w:color w:val="000000"/>
                <w:kern w:val="0"/>
                <w:sz w:val="20"/>
                <w:szCs w:val="20"/>
                <w:lang w:val="en-GB" w:bidi="ar-SA"/>
              </w:rPr>
              <w:t>Stainless steel sheet (cold rolled)</w:t>
            </w:r>
          </w:p>
          <w:p>
            <w:pPr>
              <w:pStyle w:val="Normal"/>
              <w:widowControl/>
              <w:spacing w:before="120" w:after="120"/>
              <w:jc w:val="left"/>
              <w:rPr>
                <w:sz w:val="20"/>
                <w:szCs w:val="20"/>
              </w:rPr>
            </w:pPr>
            <w:r>
              <w:rPr>
                <w:color w:val="000000"/>
                <w:kern w:val="0"/>
                <w:sz w:val="20"/>
                <w:szCs w:val="20"/>
                <w:lang w:val="en-GB" w:bidi="ar-SA"/>
              </w:rPr>
              <w:t>High-alloyed machining</w:t>
            </w:r>
          </w:p>
          <w:p>
            <w:pPr>
              <w:pStyle w:val="Normal"/>
              <w:widowControl/>
              <w:spacing w:before="120" w:after="120"/>
              <w:jc w:val="left"/>
              <w:rPr>
                <w:sz w:val="20"/>
                <w:szCs w:val="20"/>
              </w:rPr>
            </w:pPr>
            <w:r>
              <w:rPr>
                <w:color w:val="000000"/>
                <w:kern w:val="0"/>
                <w:sz w:val="20"/>
                <w:szCs w:val="20"/>
                <w:lang w:val="en-GB" w:bidi="ar-SA"/>
              </w:rPr>
              <w:t>Drop-forging</w:t>
            </w:r>
          </w:p>
          <w:p>
            <w:pPr>
              <w:pStyle w:val="Normal"/>
              <w:widowControl/>
              <w:spacing w:before="120" w:after="120"/>
              <w:jc w:val="left"/>
              <w:rPr>
                <w:sz w:val="20"/>
                <w:szCs w:val="20"/>
              </w:rPr>
            </w:pPr>
            <w:r>
              <w:rPr>
                <w:color w:val="000000"/>
                <w:kern w:val="0"/>
                <w:sz w:val="20"/>
                <w:szCs w:val="20"/>
                <w:lang w:val="en-GB" w:bidi="ar-SA"/>
              </w:rPr>
              <w:t>Steel sheet stamping and bending</w:t>
            </w:r>
          </w:p>
          <w:p>
            <w:pPr>
              <w:pStyle w:val="Normal"/>
              <w:widowControl/>
              <w:spacing w:before="120" w:after="120"/>
              <w:jc w:val="left"/>
              <w:rPr>
                <w:rFonts w:eastAsia="" w:cs="Aptos Display" w:cstheme="majorHAnsi" w:eastAsiaTheme="minorEastAsia"/>
                <w:sz w:val="20"/>
                <w:szCs w:val="20"/>
                <w:lang w:eastAsia="en-US"/>
              </w:rPr>
            </w:pPr>
            <w:r>
              <w:rPr>
                <w:color w:val="000000"/>
                <w:kern w:val="0"/>
                <w:sz w:val="20"/>
                <w:szCs w:val="20"/>
                <w:lang w:val="en-GB" w:bidi="ar-SA"/>
              </w:rPr>
              <w:t>Transportation (truck freight with diesel; air freight with kerosene/Jet A1)</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Multiple grades of stainless steel represented</w:t>
            </w:r>
          </w:p>
          <w:p>
            <w:pPr>
              <w:pStyle w:val="Normal"/>
              <w:widowControl/>
              <w:spacing w:before="120" w:after="120"/>
              <w:jc w:val="left"/>
              <w:rPr>
                <w:sz w:val="20"/>
                <w:szCs w:val="20"/>
                <w:lang w:val="en-AU"/>
              </w:rPr>
            </w:pPr>
            <w:r>
              <w:rPr>
                <w:color w:val="000000"/>
                <w:kern w:val="0"/>
                <w:sz w:val="20"/>
                <w:szCs w:val="20"/>
                <w:lang w:val="en-AU" w:bidi="ar-SA"/>
              </w:rPr>
              <w:t>Parts fabricated at external suppliers</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Electronics</w:t>
            </w:r>
          </w:p>
        </w:tc>
        <w:tc>
          <w:tcPr>
            <w:tcW w:w="1418" w:type="dxa"/>
            <w:tcBorders>
              <w:top w:val="nil"/>
              <w:bottom w:val="nil"/>
            </w:tcBorders>
          </w:tcPr>
          <w:p>
            <w:pPr>
              <w:pStyle w:val="Normal"/>
              <w:widowControl/>
              <w:spacing w:before="120" w:after="120"/>
              <w:ind w:left="28"/>
              <w:jc w:val="center"/>
              <w:rPr>
                <w:sz w:val="20"/>
                <w:szCs w:val="20"/>
                <w:lang w:val="en-AU"/>
              </w:rPr>
            </w:pPr>
            <w:r>
              <w:rPr>
                <w:color w:val="000000"/>
                <w:kern w:val="0"/>
                <w:sz w:val="20"/>
                <w:szCs w:val="20"/>
                <w:lang w:val="en-AU" w:bidi="ar-SA"/>
              </w:rPr>
              <w:t>1</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Average Printed Wiring Board PWB</w:t>
            </w:r>
          </w:p>
          <w:p>
            <w:pPr>
              <w:pStyle w:val="Normal"/>
              <w:widowControl/>
              <w:spacing w:before="120" w:after="120"/>
              <w:jc w:val="left"/>
              <w:rPr>
                <w:sz w:val="20"/>
                <w:szCs w:val="20"/>
                <w:lang w:val="en-AU"/>
              </w:rPr>
            </w:pPr>
            <w:r>
              <w:rPr>
                <w:color w:val="000000"/>
                <w:kern w:val="0"/>
                <w:sz w:val="20"/>
                <w:szCs w:val="20"/>
                <w:lang w:val="en-AU" w:bidi="ar-SA"/>
              </w:rPr>
              <w:t>Electronic components (unspecified)</w:t>
            </w:r>
          </w:p>
          <w:p>
            <w:pPr>
              <w:pStyle w:val="Normal"/>
              <w:widowControl/>
              <w:spacing w:before="120" w:after="120"/>
              <w:jc w:val="left"/>
              <w:rPr>
                <w:sz w:val="20"/>
                <w:szCs w:val="20"/>
                <w:lang w:val="en-AU"/>
              </w:rPr>
            </w:pPr>
            <w:r>
              <w:rPr>
                <w:color w:val="000000"/>
                <w:kern w:val="0"/>
                <w:sz w:val="20"/>
                <w:szCs w:val="20"/>
                <w:lang w:val="en-AU" w:bidi="ar-SA"/>
              </w:rPr>
              <w:t>Transportation (air freight with kerosene/Jet A1)</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Aggregated representation of avionics and electronic systems to protect proprietary information</w:t>
            </w:r>
          </w:p>
          <w:p>
            <w:pPr>
              <w:pStyle w:val="Normal"/>
              <w:widowControl/>
              <w:spacing w:before="120" w:after="120"/>
              <w:jc w:val="left"/>
              <w:rPr>
                <w:sz w:val="20"/>
                <w:szCs w:val="20"/>
                <w:lang w:val="en-AU"/>
              </w:rPr>
            </w:pPr>
            <w:r>
              <w:rPr>
                <w:color w:val="000000"/>
                <w:kern w:val="0"/>
                <w:sz w:val="20"/>
                <w:szCs w:val="20"/>
                <w:lang w:val="en-AU" w:bidi="ar-SA"/>
              </w:rPr>
              <w:t>Small mass but high environmental impact materials</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Electrical</w:t>
            </w:r>
          </w:p>
        </w:tc>
        <w:tc>
          <w:tcPr>
            <w:tcW w:w="1418" w:type="dxa"/>
            <w:tcBorders>
              <w:top w:val="nil"/>
              <w:bottom w:val="nil"/>
            </w:tcBorders>
          </w:tcPr>
          <w:p>
            <w:pPr>
              <w:pStyle w:val="Normal"/>
              <w:widowControl/>
              <w:spacing w:before="120" w:after="120"/>
              <w:ind w:left="28"/>
              <w:jc w:val="center"/>
              <w:rPr>
                <w:sz w:val="20"/>
                <w:szCs w:val="20"/>
                <w:lang w:val="en-AU"/>
              </w:rPr>
            </w:pPr>
            <w:r>
              <w:rPr>
                <w:color w:val="000000"/>
                <w:kern w:val="0"/>
                <w:sz w:val="20"/>
                <w:szCs w:val="20"/>
                <w:lang w:val="en-AU" w:bidi="ar-SA"/>
              </w:rPr>
              <w:t>2</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Cable S wire (EN15804 A1-A3)</w:t>
            </w:r>
          </w:p>
          <w:p>
            <w:pPr>
              <w:pStyle w:val="Normal"/>
              <w:widowControl/>
              <w:spacing w:before="120" w:after="120"/>
              <w:jc w:val="left"/>
              <w:rPr>
                <w:sz w:val="20"/>
                <w:szCs w:val="20"/>
                <w:lang w:val="en-AU"/>
              </w:rPr>
            </w:pPr>
            <w:r>
              <w:rPr>
                <w:color w:val="000000"/>
                <w:kern w:val="0"/>
                <w:sz w:val="20"/>
                <w:szCs w:val="20"/>
                <w:lang w:val="en-AU" w:bidi="ar-SA"/>
              </w:rPr>
              <w:t>Copper cable S-wire</w:t>
            </w:r>
          </w:p>
          <w:p>
            <w:pPr>
              <w:pStyle w:val="Normal"/>
              <w:widowControl/>
              <w:spacing w:before="120" w:after="120"/>
              <w:jc w:val="left"/>
              <w:rPr>
                <w:sz w:val="20"/>
                <w:szCs w:val="20"/>
                <w:lang w:val="en-AU"/>
              </w:rPr>
            </w:pPr>
            <w:r>
              <w:rPr>
                <w:color w:val="000000"/>
                <w:kern w:val="0"/>
                <w:sz w:val="20"/>
                <w:szCs w:val="20"/>
                <w:lang w:val="en-AU" w:bidi="ar-SA"/>
              </w:rPr>
              <w:t>Nickel (Class 1, &gt;99.8%)</w:t>
            </w:r>
          </w:p>
          <w:p>
            <w:pPr>
              <w:pStyle w:val="Normal"/>
              <w:widowControl/>
              <w:spacing w:before="120" w:after="120"/>
              <w:jc w:val="left"/>
              <w:rPr>
                <w:sz w:val="20"/>
                <w:szCs w:val="20"/>
                <w:lang w:val="en-AU"/>
              </w:rPr>
            </w:pPr>
            <w:r>
              <w:rPr>
                <w:color w:val="000000"/>
                <w:kern w:val="0"/>
                <w:sz w:val="20"/>
                <w:szCs w:val="20"/>
                <w:lang w:val="en-AU" w:bidi="ar-SA"/>
              </w:rPr>
              <w:t>Cobalt, refined (metal)</w:t>
            </w:r>
          </w:p>
          <w:p>
            <w:pPr>
              <w:pStyle w:val="Normal"/>
              <w:widowControl/>
              <w:spacing w:before="120" w:after="120"/>
              <w:jc w:val="left"/>
              <w:rPr>
                <w:sz w:val="20"/>
                <w:szCs w:val="20"/>
                <w:lang w:val="en-AU"/>
              </w:rPr>
            </w:pPr>
            <w:r>
              <w:rPr>
                <w:color w:val="000000"/>
                <w:kern w:val="0"/>
                <w:sz w:val="20"/>
                <w:szCs w:val="20"/>
                <w:lang w:val="en-AU" w:bidi="ar-SA"/>
              </w:rPr>
              <w:t>Carbon fiber (CF, PAN-based) for synthetic graphite</w:t>
            </w:r>
          </w:p>
          <w:p>
            <w:pPr>
              <w:pStyle w:val="Normal"/>
              <w:widowControl/>
              <w:spacing w:before="120" w:after="120"/>
              <w:jc w:val="left"/>
              <w:rPr>
                <w:sz w:val="20"/>
                <w:szCs w:val="20"/>
                <w:lang w:val="en-AU"/>
              </w:rPr>
            </w:pPr>
            <w:r>
              <w:rPr>
                <w:color w:val="000000"/>
                <w:kern w:val="0"/>
                <w:sz w:val="20"/>
                <w:szCs w:val="20"/>
                <w:lang w:val="en-AU" w:bidi="ar-SA"/>
              </w:rPr>
              <w:t>Aluminium ingot mix</w:t>
            </w:r>
          </w:p>
          <w:p>
            <w:pPr>
              <w:pStyle w:val="Normal"/>
              <w:widowControl/>
              <w:spacing w:before="120" w:after="120"/>
              <w:jc w:val="left"/>
              <w:rPr>
                <w:sz w:val="20"/>
                <w:szCs w:val="20"/>
                <w:lang w:val="en-AU"/>
              </w:rPr>
            </w:pPr>
            <w:r>
              <w:rPr>
                <w:color w:val="000000"/>
                <w:kern w:val="0"/>
                <w:sz w:val="20"/>
                <w:szCs w:val="20"/>
                <w:lang w:val="en-AU" w:bidi="ar-SA"/>
              </w:rPr>
              <w:t>Copper cathode 99.99%</w:t>
            </w:r>
          </w:p>
          <w:p>
            <w:pPr>
              <w:pStyle w:val="Normal"/>
              <w:widowControl/>
              <w:spacing w:before="120" w:after="120"/>
              <w:jc w:val="left"/>
              <w:rPr>
                <w:sz w:val="20"/>
                <w:szCs w:val="20"/>
                <w:lang w:val="en-AU"/>
              </w:rPr>
            </w:pPr>
            <w:r>
              <w:rPr>
                <w:color w:val="000000"/>
                <w:kern w:val="0"/>
                <w:sz w:val="20"/>
                <w:szCs w:val="20"/>
                <w:lang w:val="en-AU" w:bidi="ar-SA"/>
              </w:rPr>
              <w:t>Ferro-manganese</w:t>
            </w:r>
          </w:p>
          <w:p>
            <w:pPr>
              <w:pStyle w:val="Normal"/>
              <w:widowControl/>
              <w:spacing w:before="120" w:after="120"/>
              <w:jc w:val="left"/>
              <w:rPr>
                <w:sz w:val="20"/>
                <w:szCs w:val="20"/>
                <w:lang w:val="en-AU"/>
              </w:rPr>
            </w:pPr>
            <w:r>
              <w:rPr>
                <w:color w:val="000000"/>
                <w:kern w:val="0"/>
                <w:sz w:val="20"/>
                <w:szCs w:val="20"/>
                <w:lang w:val="en-AU" w:bidi="ar-SA"/>
              </w:rPr>
              <w:t>Transportation (truck freight with diesel; air freight with kerosene/Jet A1)</w:t>
            </w:r>
          </w:p>
        </w:tc>
        <w:tc>
          <w:tcPr>
            <w:tcW w:w="3790" w:type="dxa"/>
            <w:tcBorders>
              <w:top w:val="nil"/>
              <w:bottom w:val="nil"/>
            </w:tcBorders>
          </w:tcPr>
          <w:p>
            <w:pPr>
              <w:pStyle w:val="Normal"/>
              <w:widowControl/>
              <w:spacing w:before="120" w:after="120"/>
              <w:jc w:val="left"/>
              <w:rPr>
                <w:sz w:val="20"/>
                <w:szCs w:val="20"/>
              </w:rPr>
            </w:pPr>
            <w:r>
              <w:rPr>
                <w:color w:val="000000"/>
                <w:kern w:val="0"/>
                <w:sz w:val="20"/>
                <w:szCs w:val="20"/>
                <w:lang w:val="en-GB" w:bidi="ar-SA"/>
              </w:rPr>
              <w:t>Wire harness and battery systems</w:t>
            </w:r>
          </w:p>
          <w:p>
            <w:pPr>
              <w:pStyle w:val="Normal"/>
              <w:widowControl/>
              <w:spacing w:before="120" w:after="120"/>
              <w:jc w:val="left"/>
              <w:rPr>
                <w:sz w:val="20"/>
                <w:szCs w:val="20"/>
              </w:rPr>
            </w:pPr>
            <w:r>
              <w:rPr>
                <w:color w:val="000000"/>
                <w:kern w:val="0"/>
                <w:sz w:val="20"/>
                <w:szCs w:val="20"/>
                <w:lang w:val="en-GB" w:bidi="ar-SA"/>
              </w:rPr>
              <w:t>Battery composition estimated from constituent materials (Graphite 25%, Al 23%, Cu 15%, Co 11%, Li 11%, Mn 7%, Ni 6%), as a proxy for Li-ion battery system (assumption)</w:t>
            </w:r>
          </w:p>
          <w:p>
            <w:pPr>
              <w:pStyle w:val="Normal"/>
              <w:widowControl/>
              <w:spacing w:before="120" w:after="120"/>
              <w:jc w:val="left"/>
              <w:rPr>
                <w:sz w:val="20"/>
                <w:szCs w:val="20"/>
                <w:lang w:val="en-AU"/>
              </w:rPr>
            </w:pPr>
            <w:r>
              <w:rPr>
                <w:color w:val="000000"/>
                <w:kern w:val="0"/>
                <w:sz w:val="20"/>
                <w:szCs w:val="20"/>
                <w:lang w:val="en-GB" w:bidi="ar-SA"/>
              </w:rPr>
              <w:t xml:space="preserve">Copper used as proxy for lithium component due to database limitations – similar footprint verified by Torrubia </w:t>
            </w:r>
            <w:r>
              <w:rPr>
                <w:i/>
                <w:color w:val="000000"/>
                <w:kern w:val="0"/>
                <w:sz w:val="20"/>
                <w:szCs w:val="20"/>
                <w:lang w:val="en-GB" w:bidi="ar-SA"/>
              </w:rPr>
              <w:t>et al.</w:t>
            </w:r>
            <w:r>
              <w:rPr>
                <w:color w:val="000000"/>
                <w:kern w:val="0"/>
                <w:sz w:val="20"/>
                <w:szCs w:val="20"/>
                <w:lang w:val="en-GB" w:bidi="ar-SA"/>
              </w:rPr>
              <w:t xml:space="preserve"> (2023)</w:t>
            </w:r>
          </w:p>
        </w:tc>
      </w:tr>
      <w:tr>
        <w:trPr>
          <w:cantSplit w:val="true"/>
        </w:trPr>
        <w:tc>
          <w:tcPr>
            <w:tcW w:w="1842"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Miscellaneous</w:t>
            </w:r>
          </w:p>
        </w:tc>
        <w:tc>
          <w:tcPr>
            <w:tcW w:w="1418" w:type="dxa"/>
            <w:tcBorders>
              <w:top w:val="nil"/>
              <w:bottom w:val="nil"/>
            </w:tcBorders>
          </w:tcPr>
          <w:p>
            <w:pPr>
              <w:pStyle w:val="Normal"/>
              <w:widowControl/>
              <w:spacing w:before="120" w:after="120"/>
              <w:ind w:left="28"/>
              <w:jc w:val="center"/>
              <w:rPr>
                <w:sz w:val="20"/>
                <w:szCs w:val="20"/>
                <w:lang w:val="en-AU"/>
              </w:rPr>
            </w:pPr>
            <w:r>
              <w:rPr>
                <w:color w:val="000000"/>
                <w:kern w:val="0"/>
                <w:sz w:val="20"/>
                <w:szCs w:val="20"/>
                <w:lang w:val="en-AU" w:bidi="ar-SA"/>
              </w:rPr>
              <w:t>3</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Tyre, truck (average)</w:t>
            </w:r>
          </w:p>
          <w:p>
            <w:pPr>
              <w:pStyle w:val="Normal"/>
              <w:widowControl/>
              <w:spacing w:before="120" w:after="120"/>
              <w:jc w:val="left"/>
              <w:rPr>
                <w:sz w:val="20"/>
                <w:szCs w:val="20"/>
                <w:lang w:val="en-AU"/>
              </w:rPr>
            </w:pPr>
            <w:r>
              <w:rPr>
                <w:color w:val="000000"/>
                <w:kern w:val="0"/>
                <w:sz w:val="20"/>
                <w:szCs w:val="20"/>
                <w:lang w:val="en-AU" w:bidi="ar-SA"/>
              </w:rPr>
              <w:t>Silicone rubber (RTV-2, 25% siliceous sand)</w:t>
            </w:r>
          </w:p>
          <w:p>
            <w:pPr>
              <w:pStyle w:val="Normal"/>
              <w:widowControl/>
              <w:spacing w:before="120" w:after="120"/>
              <w:jc w:val="left"/>
              <w:rPr>
                <w:sz w:val="20"/>
                <w:szCs w:val="20"/>
                <w:lang w:val="en-AU"/>
              </w:rPr>
            </w:pPr>
            <w:r>
              <w:rPr>
                <w:color w:val="000000"/>
                <w:kern w:val="0"/>
                <w:sz w:val="20"/>
                <w:szCs w:val="20"/>
                <w:lang w:val="en-AU" w:bidi="ar-SA"/>
              </w:rPr>
              <w:t>Plastic extrusion profile (unspecific)</w:t>
            </w:r>
          </w:p>
          <w:p>
            <w:pPr>
              <w:pStyle w:val="Normal"/>
              <w:widowControl/>
              <w:spacing w:before="120" w:after="120"/>
              <w:jc w:val="left"/>
              <w:rPr>
                <w:sz w:val="20"/>
                <w:szCs w:val="20"/>
                <w:lang w:val="en-AU"/>
              </w:rPr>
            </w:pPr>
            <w:r>
              <w:rPr>
                <w:color w:val="000000"/>
                <w:kern w:val="0"/>
                <w:sz w:val="20"/>
                <w:szCs w:val="20"/>
                <w:lang w:val="en-AU" w:bidi="ar-SA"/>
              </w:rPr>
              <w:t>Glass wool</w:t>
            </w:r>
          </w:p>
          <w:p>
            <w:pPr>
              <w:pStyle w:val="Normal"/>
              <w:widowControl/>
              <w:spacing w:before="120" w:after="120"/>
              <w:jc w:val="left"/>
              <w:rPr>
                <w:sz w:val="20"/>
                <w:szCs w:val="20"/>
                <w:lang w:val="en-AU"/>
              </w:rPr>
            </w:pPr>
            <w:r>
              <w:rPr>
                <w:color w:val="000000"/>
                <w:kern w:val="0"/>
                <w:sz w:val="20"/>
                <w:szCs w:val="20"/>
                <w:lang w:val="en-AU" w:bidi="ar-SA"/>
              </w:rPr>
              <w:t>Epoxy Resin (EP)</w:t>
            </w:r>
          </w:p>
          <w:p>
            <w:pPr>
              <w:pStyle w:val="Normal"/>
              <w:widowControl/>
              <w:spacing w:before="120" w:after="120"/>
              <w:jc w:val="left"/>
              <w:rPr>
                <w:sz w:val="20"/>
                <w:szCs w:val="20"/>
                <w:lang w:val="en-AU"/>
              </w:rPr>
            </w:pPr>
            <w:r>
              <w:rPr>
                <w:color w:val="000000"/>
                <w:kern w:val="0"/>
                <w:sz w:val="20"/>
                <w:szCs w:val="20"/>
                <w:lang w:val="en-AU" w:bidi="ar-SA"/>
              </w:rPr>
              <w:t>Resin Transfer Molding (RTM)</w:t>
            </w:r>
          </w:p>
          <w:p>
            <w:pPr>
              <w:pStyle w:val="Normal"/>
              <w:widowControl/>
              <w:spacing w:before="120" w:after="120"/>
              <w:jc w:val="left"/>
              <w:rPr>
                <w:sz w:val="20"/>
                <w:szCs w:val="20"/>
                <w:lang w:val="en-AU"/>
              </w:rPr>
            </w:pPr>
            <w:r>
              <w:rPr>
                <w:color w:val="000000"/>
                <w:kern w:val="0"/>
                <w:sz w:val="20"/>
                <w:szCs w:val="20"/>
                <w:lang w:val="en-AU" w:bidi="ar-SA"/>
              </w:rPr>
              <w:t>Transportation (air freight with kerosene/Jet A1)</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Truck tyre used as proxy for aircraft tyres</w:t>
            </w:r>
          </w:p>
          <w:p>
            <w:pPr>
              <w:pStyle w:val="Normal"/>
              <w:widowControl/>
              <w:spacing w:before="120" w:after="120"/>
              <w:jc w:val="left"/>
              <w:rPr>
                <w:sz w:val="20"/>
                <w:szCs w:val="20"/>
                <w:lang w:val="en-AU"/>
              </w:rPr>
            </w:pPr>
            <w:r>
              <w:rPr>
                <w:color w:val="000000"/>
                <w:kern w:val="0"/>
                <w:sz w:val="20"/>
                <w:szCs w:val="20"/>
                <w:lang w:val="en-AU" w:bidi="ar-SA"/>
              </w:rPr>
              <w:t>Silicone rubber extrusion for seals</w:t>
            </w:r>
          </w:p>
          <w:p>
            <w:pPr>
              <w:pStyle w:val="Normal"/>
              <w:widowControl/>
              <w:spacing w:before="120" w:after="120"/>
              <w:jc w:val="left"/>
              <w:rPr>
                <w:sz w:val="20"/>
                <w:szCs w:val="20"/>
                <w:lang w:val="en-AU"/>
              </w:rPr>
            </w:pPr>
            <w:r>
              <w:rPr>
                <w:color w:val="000000"/>
                <w:kern w:val="0"/>
                <w:sz w:val="20"/>
                <w:szCs w:val="20"/>
                <w:lang w:val="en-AU" w:bidi="ar-SA"/>
              </w:rPr>
              <w:t>Glass fiber/epoxy RTM process used as proxy for aircraft insulation</w:t>
            </w:r>
          </w:p>
          <w:p>
            <w:pPr>
              <w:pStyle w:val="Normal"/>
              <w:widowControl/>
              <w:spacing w:before="120" w:after="120"/>
              <w:jc w:val="left"/>
              <w:rPr>
                <w:sz w:val="20"/>
                <w:szCs w:val="20"/>
                <w:lang w:val="en-AU"/>
              </w:rPr>
            </w:pPr>
            <w:r>
              <w:rPr>
                <w:color w:val="000000"/>
                <w:kern w:val="0"/>
                <w:sz w:val="20"/>
                <w:szCs w:val="20"/>
                <w:lang w:val="en-AU" w:bidi="ar-SA"/>
              </w:rPr>
              <w:t>Surface treatments (primers, sealants, paints) included in respective material application processes (see Composites and Aluminium rows)</w:t>
            </w:r>
          </w:p>
          <w:p>
            <w:pPr>
              <w:pStyle w:val="Normal"/>
              <w:widowControl/>
              <w:spacing w:before="120" w:after="120"/>
              <w:jc w:val="left"/>
              <w:rPr>
                <w:sz w:val="20"/>
                <w:szCs w:val="20"/>
                <w:lang w:val="en-AU"/>
              </w:rPr>
            </w:pPr>
            <w:r>
              <w:rPr>
                <w:color w:val="000000"/>
                <w:kern w:val="0"/>
                <w:sz w:val="20"/>
                <w:szCs w:val="20"/>
                <w:lang w:val="en-AU" w:bidi="ar-SA"/>
              </w:rPr>
              <w:t>Parts fabricated at external suppliers</w:t>
            </w:r>
          </w:p>
        </w:tc>
      </w:tr>
      <w:tr>
        <w:trPr>
          <w:cantSplit w:val="true"/>
        </w:trPr>
        <w:tc>
          <w:tcPr>
            <w:tcW w:w="1842" w:type="dxa"/>
            <w:tcBorders>
              <w:top w:val="nil"/>
              <w:bottom w:val="nil"/>
            </w:tcBorders>
          </w:tcPr>
          <w:p>
            <w:pPr>
              <w:pStyle w:val="Normal"/>
              <w:widowControl/>
              <w:spacing w:before="120" w:after="120"/>
              <w:jc w:val="left"/>
              <w:rPr>
                <w:sz w:val="20"/>
                <w:szCs w:val="20"/>
              </w:rPr>
            </w:pPr>
            <w:r>
              <w:rPr>
                <w:color w:val="000000"/>
                <w:kern w:val="0"/>
                <w:sz w:val="20"/>
                <w:szCs w:val="20"/>
                <w:lang w:val="en-AU" w:bidi="ar-SA"/>
              </w:rPr>
              <w:t>Final assembly</w:t>
            </w:r>
          </w:p>
        </w:tc>
        <w:tc>
          <w:tcPr>
            <w:tcW w:w="1418" w:type="dxa"/>
            <w:tcBorders>
              <w:top w:val="nil"/>
              <w:bottom w:val="nil"/>
            </w:tcBorders>
          </w:tcPr>
          <w:p>
            <w:pPr>
              <w:pStyle w:val="Normal"/>
              <w:widowControl/>
              <w:spacing w:before="120" w:after="120"/>
              <w:ind w:left="28"/>
              <w:jc w:val="center"/>
              <w:rPr>
                <w:sz w:val="20"/>
                <w:szCs w:val="20"/>
              </w:rPr>
            </w:pPr>
            <w:r>
              <w:rPr>
                <w:color w:val="000000"/>
                <w:kern w:val="0"/>
                <w:sz w:val="20"/>
                <w:szCs w:val="20"/>
                <w:lang w:val="en-AU" w:bidi="ar-SA"/>
              </w:rPr>
              <w:t>1</w:t>
            </w:r>
          </w:p>
        </w:tc>
        <w:tc>
          <w:tcPr>
            <w:tcW w:w="3118"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Measured facility-wide power consumption including lighting, HVAC, compressed air systems, etc.</w:t>
            </w:r>
          </w:p>
          <w:p>
            <w:pPr>
              <w:pStyle w:val="Normal"/>
              <w:widowControl/>
              <w:spacing w:before="120" w:after="120"/>
              <w:jc w:val="left"/>
              <w:rPr>
                <w:sz w:val="20"/>
                <w:szCs w:val="20"/>
              </w:rPr>
            </w:pPr>
            <w:r>
              <w:rPr>
                <w:color w:val="000000"/>
                <w:kern w:val="0"/>
                <w:sz w:val="20"/>
                <w:szCs w:val="20"/>
                <w:lang w:val="en-GB" w:bidi="ar-SA"/>
              </w:rPr>
              <w:t>Allocated to assembly processes based on floor space and process timing</w:t>
            </w:r>
          </w:p>
        </w:tc>
        <w:tc>
          <w:tcPr>
            <w:tcW w:w="379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Primary electricity to OEM facility</w:t>
            </w:r>
          </w:p>
        </w:tc>
        <w:tc>
          <w:tcPr>
            <w:tcW w:w="3790" w:type="dxa"/>
            <w:tcBorders>
              <w:top w:val="nil"/>
              <w:bottom w:val="nil"/>
            </w:tcBorders>
          </w:tcPr>
          <w:p>
            <w:pPr>
              <w:pStyle w:val="Normal"/>
              <w:widowControl/>
              <w:spacing w:before="120" w:after="120"/>
              <w:jc w:val="left"/>
              <w:rPr>
                <w:sz w:val="20"/>
                <w:szCs w:val="20"/>
              </w:rPr>
            </w:pPr>
            <w:r>
              <w:rPr>
                <w:color w:val="000000"/>
                <w:kern w:val="0"/>
                <w:sz w:val="20"/>
                <w:szCs w:val="20"/>
                <w:lang w:val="en-AU" w:bidi="ar-SA"/>
              </w:rPr>
              <w:t>Assembly conducted at OEM facility</w:t>
            </w:r>
          </w:p>
        </w:tc>
      </w:tr>
      <w:tr>
        <w:trPr>
          <w:cantSplit w:val="true"/>
        </w:trPr>
        <w:tc>
          <w:tcPr>
            <w:tcW w:w="1842"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End-of-life</w:t>
            </w:r>
          </w:p>
        </w:tc>
        <w:tc>
          <w:tcPr>
            <w:tcW w:w="1418" w:type="dxa"/>
            <w:tcBorders>
              <w:top w:val="nil"/>
            </w:tcBorders>
          </w:tcPr>
          <w:p>
            <w:pPr>
              <w:pStyle w:val="Normal"/>
              <w:widowControl/>
              <w:spacing w:before="120" w:after="120"/>
              <w:ind w:left="28"/>
              <w:jc w:val="center"/>
              <w:rPr>
                <w:sz w:val="20"/>
                <w:szCs w:val="20"/>
                <w:lang w:val="en-AU"/>
              </w:rPr>
            </w:pPr>
            <w:r>
              <w:rPr>
                <w:color w:val="000000"/>
                <w:kern w:val="0"/>
                <w:sz w:val="20"/>
                <w:szCs w:val="20"/>
                <w:lang w:val="en-AU" w:bidi="ar-SA"/>
              </w:rPr>
              <w:t>1</w:t>
            </w:r>
          </w:p>
        </w:tc>
        <w:tc>
          <w:tcPr>
            <w:tcW w:w="3118"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w:t>
            </w:r>
          </w:p>
        </w:tc>
        <w:tc>
          <w:tcPr>
            <w:tcW w:w="3790"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Cable waste in waste incineration</w:t>
            </w:r>
          </w:p>
          <w:p>
            <w:pPr>
              <w:pStyle w:val="Normal"/>
              <w:widowControl/>
              <w:spacing w:before="120" w:after="120"/>
              <w:jc w:val="left"/>
              <w:rPr>
                <w:sz w:val="20"/>
                <w:szCs w:val="20"/>
                <w:lang w:val="en-AU"/>
              </w:rPr>
            </w:pPr>
            <w:r>
              <w:rPr>
                <w:color w:val="000000"/>
                <w:kern w:val="0"/>
                <w:sz w:val="20"/>
                <w:szCs w:val="20"/>
                <w:lang w:val="en-AU" w:bidi="ar-SA"/>
              </w:rPr>
              <w:t>Ferro metals in waste incineration</w:t>
            </w:r>
          </w:p>
          <w:p>
            <w:pPr>
              <w:pStyle w:val="Normal"/>
              <w:widowControl/>
              <w:spacing w:before="120" w:after="120"/>
              <w:jc w:val="left"/>
              <w:rPr>
                <w:sz w:val="20"/>
                <w:szCs w:val="20"/>
                <w:lang w:val="en-AU"/>
              </w:rPr>
            </w:pPr>
            <w:r>
              <w:rPr>
                <w:color w:val="000000"/>
                <w:kern w:val="0"/>
                <w:sz w:val="20"/>
                <w:szCs w:val="20"/>
                <w:lang w:val="en-AU" w:bidi="ar-SA"/>
              </w:rPr>
              <w:t>Commercial waste in municipal waste incineration plant (0% H2O content)</w:t>
            </w:r>
          </w:p>
          <w:p>
            <w:pPr>
              <w:pStyle w:val="Normal"/>
              <w:widowControl/>
              <w:spacing w:before="120" w:after="120"/>
              <w:jc w:val="left"/>
              <w:rPr>
                <w:sz w:val="20"/>
                <w:szCs w:val="20"/>
                <w:lang w:val="en-AU"/>
              </w:rPr>
            </w:pPr>
            <w:r>
              <w:rPr>
                <w:color w:val="000000"/>
                <w:kern w:val="0"/>
                <w:sz w:val="20"/>
                <w:szCs w:val="20"/>
                <w:lang w:val="en-AU" w:bidi="ar-SA"/>
              </w:rPr>
              <w:t>Populated printed wiring; Copper scrap (90% Cu)</w:t>
            </w:r>
          </w:p>
        </w:tc>
        <w:tc>
          <w:tcPr>
            <w:tcW w:w="3790"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100% incineration assumption per Section 2.2.6</w:t>
            </w:r>
          </w:p>
          <w:p>
            <w:pPr>
              <w:pStyle w:val="Normal"/>
              <w:widowControl/>
              <w:spacing w:before="120" w:after="120"/>
              <w:jc w:val="left"/>
              <w:rPr>
                <w:sz w:val="20"/>
                <w:szCs w:val="20"/>
                <w:lang w:val="en-AU"/>
              </w:rPr>
            </w:pPr>
            <w:r>
              <w:rPr>
                <w:color w:val="000000"/>
                <w:kern w:val="0"/>
                <w:sz w:val="20"/>
                <w:szCs w:val="20"/>
                <w:lang w:val="en-GB" w:bidi="ar-SA"/>
              </w:rPr>
              <w:t>Most materials routed to commercial waste incineration due to database limitations</w:t>
            </w:r>
          </w:p>
          <w:p>
            <w:pPr>
              <w:pStyle w:val="Normal"/>
              <w:widowControl/>
              <w:spacing w:before="120" w:after="120"/>
              <w:jc w:val="left"/>
              <w:rPr>
                <w:sz w:val="20"/>
                <w:szCs w:val="20"/>
                <w:lang w:val="en-AU"/>
              </w:rPr>
            </w:pPr>
            <w:r>
              <w:rPr>
                <w:color w:val="000000"/>
                <w:kern w:val="0"/>
                <w:sz w:val="20"/>
                <w:szCs w:val="20"/>
                <w:lang w:val="en-AU" w:bidi="ar-SA"/>
              </w:rPr>
            </w:r>
          </w:p>
        </w:tc>
      </w:tr>
    </w:tbl>
    <w:p>
      <w:pPr>
        <w:pStyle w:val="Normal"/>
        <w:spacing w:beforeAutospacing="1" w:afterAutospacing="1"/>
        <w:rPr/>
      </w:pPr>
      <w:r>
        <w:rPr/>
      </w:r>
    </w:p>
    <w:p>
      <w:pPr>
        <w:pStyle w:val="Normal"/>
        <w:rPr>
          <w:b/>
          <w:bCs/>
        </w:rPr>
      </w:pPr>
      <w:r>
        <w:rPr>
          <w:b/>
          <w:bCs/>
        </w:rPr>
      </w:r>
      <w:r>
        <w:br w:type="page"/>
      </w:r>
    </w:p>
    <w:p>
      <w:pPr>
        <w:pStyle w:val="Normal"/>
        <w:spacing w:before="0" w:after="0"/>
        <w:rPr>
          <w:b/>
          <w:bCs/>
        </w:rPr>
      </w:pPr>
      <w:r>
        <w:rPr>
          <w:b/>
          <w:bCs/>
        </w:rPr>
        <w:t>Table S2. Data quality assessment summary using pedigree matrix</w:t>
      </w:r>
    </w:p>
    <w:p>
      <w:pPr>
        <w:pStyle w:val="Caption"/>
        <w:rPr>
          <w:rFonts w:cs="Times New Roman"/>
        </w:rPr>
      </w:pPr>
      <w:r>
        <w:rPr>
          <w:rFonts w:cs="Times New Roman"/>
        </w:rPr>
        <w:t xml:space="preserve">Table S2. </w:t>
      </w:r>
      <w:r>
        <w:rPr/>
        <w:t>Data quality assessment summary using pedigree matrix approach (Weidema et al., 2013). Scores represent weighted averages by contribution to global warming potential (GWP). Lower scores indicate higher data quality (1 = best, 5 = worst). ‘Models’ indicates the number of distinct LCA models built within each material-process category to represent the UAS.</w:t>
      </w:r>
    </w:p>
    <w:tbl>
      <w:tblPr>
        <w:tblStyle w:val="ListTable6Colourful1"/>
        <w:tblW w:w="10206" w:type="dxa"/>
        <w:jc w:val="left"/>
        <w:tblInd w:w="0" w:type="dxa"/>
        <w:tblLayout w:type="fixed"/>
        <w:tblCellMar>
          <w:top w:w="0" w:type="dxa"/>
          <w:left w:w="108" w:type="dxa"/>
          <w:bottom w:w="0" w:type="dxa"/>
          <w:right w:w="108" w:type="dxa"/>
        </w:tblCellMar>
        <w:tblLook w:firstRow="1" w:noVBand="1" w:lastRow="0" w:firstColumn="0" w:lastColumn="0" w:noHBand="1" w:val="0620"/>
      </w:tblPr>
      <w:tblGrid>
        <w:gridCol w:w="1701"/>
        <w:gridCol w:w="1416"/>
        <w:gridCol w:w="1418"/>
        <w:gridCol w:w="1418"/>
        <w:gridCol w:w="1417"/>
        <w:gridCol w:w="1418"/>
        <w:gridCol w:w="1417"/>
      </w:tblGrid>
      <w:tr>
        <w:trPr>
          <w:tblHeader w:val="true"/>
          <w:trHeight w:val="300" w:hRule="atLeast"/>
          <w:cnfStyle w:val="100000000000" w:firstRow="1" w:lastRow="0" w:firstColumn="0" w:lastColumn="0" w:oddVBand="0" w:evenVBand="0" w:oddHBand="0" w:evenHBand="0" w:firstRowFirstColumn="0" w:firstRowLastColumn="0" w:lastRowFirstColumn="0" w:lastRowLastColumn="0"/>
        </w:trPr>
        <w:tc>
          <w:tcPr>
            <w:tcW w:w="1701" w:type="dxa"/>
            <w:tcBorders/>
            <w:vAlign w:val="center"/>
          </w:tcPr>
          <w:p>
            <w:pPr>
              <w:pStyle w:val="Normal"/>
              <w:widowControl/>
              <w:spacing w:before="120" w:after="120"/>
              <w:jc w:val="left"/>
              <w:rPr>
                <w:sz w:val="20"/>
                <w:szCs w:val="20"/>
                <w:lang w:val="en-AU"/>
              </w:rPr>
            </w:pPr>
            <w:r>
              <w:rPr>
                <w:b/>
                <w:bCs/>
                <w:color w:val="000000"/>
                <w:kern w:val="0"/>
                <w:sz w:val="20"/>
                <w:szCs w:val="20"/>
                <w:lang w:val="en-AU" w:bidi="ar-SA"/>
              </w:rPr>
              <w:t>Row Labels</w:t>
            </w:r>
          </w:p>
        </w:tc>
        <w:tc>
          <w:tcPr>
            <w:tcW w:w="1416" w:type="dxa"/>
            <w:tcBorders/>
            <w:vAlign w:val="center"/>
          </w:tcPr>
          <w:p>
            <w:pPr>
              <w:pStyle w:val="Normal"/>
              <w:widowControl/>
              <w:spacing w:before="120" w:after="120"/>
              <w:jc w:val="center"/>
              <w:rPr>
                <w:sz w:val="20"/>
                <w:szCs w:val="20"/>
                <w:lang w:val="en-AU"/>
              </w:rPr>
            </w:pPr>
            <w:r>
              <w:rPr>
                <w:b/>
                <w:bCs/>
                <w:color w:val="000000"/>
                <w:kern w:val="0"/>
                <w:sz w:val="20"/>
                <w:szCs w:val="20"/>
                <w:lang w:val="en-AU" w:bidi="ar-SA"/>
              </w:rPr>
              <w:t>Models</w:t>
            </w:r>
          </w:p>
        </w:tc>
        <w:tc>
          <w:tcPr>
            <w:tcW w:w="1418" w:type="dxa"/>
            <w:tcBorders/>
            <w:vAlign w:val="center"/>
          </w:tcPr>
          <w:p>
            <w:pPr>
              <w:pStyle w:val="Normal"/>
              <w:widowControl/>
              <w:spacing w:before="120" w:after="120"/>
              <w:jc w:val="center"/>
              <w:rPr>
                <w:sz w:val="20"/>
                <w:szCs w:val="20"/>
                <w:lang w:val="en-AU"/>
              </w:rPr>
            </w:pPr>
            <w:r>
              <w:rPr>
                <w:b/>
                <w:bCs/>
                <w:color w:val="000000"/>
                <w:kern w:val="0"/>
                <w:sz w:val="20"/>
                <w:szCs w:val="20"/>
                <w:lang w:val="en-AU" w:bidi="ar-SA"/>
              </w:rPr>
              <w:t>Reliability</w:t>
            </w:r>
          </w:p>
        </w:tc>
        <w:tc>
          <w:tcPr>
            <w:tcW w:w="1418" w:type="dxa"/>
            <w:tcBorders/>
            <w:vAlign w:val="center"/>
          </w:tcPr>
          <w:p>
            <w:pPr>
              <w:pStyle w:val="Normal"/>
              <w:widowControl/>
              <w:spacing w:before="120" w:after="120"/>
              <w:jc w:val="center"/>
              <w:rPr>
                <w:b w:val="false"/>
                <w:bCs w:val="false"/>
                <w:sz w:val="20"/>
                <w:szCs w:val="20"/>
                <w:lang w:val="en-AU"/>
              </w:rPr>
            </w:pPr>
            <w:r>
              <w:rPr>
                <w:b/>
                <w:bCs/>
                <w:color w:val="000000"/>
                <w:kern w:val="0"/>
                <w:sz w:val="20"/>
                <w:szCs w:val="20"/>
                <w:lang w:val="en-AU" w:bidi="ar-SA"/>
              </w:rPr>
              <w:t>Completeness</w:t>
            </w:r>
          </w:p>
        </w:tc>
        <w:tc>
          <w:tcPr>
            <w:tcW w:w="1417" w:type="dxa"/>
            <w:tcBorders/>
            <w:vAlign w:val="center"/>
          </w:tcPr>
          <w:p>
            <w:pPr>
              <w:pStyle w:val="Normal"/>
              <w:widowControl/>
              <w:spacing w:before="120" w:after="120"/>
              <w:jc w:val="center"/>
              <w:rPr>
                <w:sz w:val="20"/>
                <w:szCs w:val="20"/>
                <w:lang w:val="en-AU"/>
              </w:rPr>
            </w:pPr>
            <w:r>
              <w:rPr>
                <w:b/>
                <w:bCs/>
                <w:color w:val="000000"/>
                <w:kern w:val="0"/>
                <w:sz w:val="20"/>
                <w:szCs w:val="20"/>
                <w:lang w:val="en-AU" w:bidi="ar-SA"/>
              </w:rPr>
              <w:t>Temporal</w:t>
            </w:r>
          </w:p>
        </w:tc>
        <w:tc>
          <w:tcPr>
            <w:tcW w:w="1418" w:type="dxa"/>
            <w:tcBorders/>
            <w:vAlign w:val="center"/>
          </w:tcPr>
          <w:p>
            <w:pPr>
              <w:pStyle w:val="Normal"/>
              <w:widowControl/>
              <w:spacing w:before="120" w:after="120"/>
              <w:jc w:val="center"/>
              <w:rPr>
                <w:sz w:val="20"/>
                <w:szCs w:val="20"/>
                <w:lang w:val="en-AU"/>
              </w:rPr>
            </w:pPr>
            <w:r>
              <w:rPr>
                <w:b/>
                <w:bCs/>
                <w:color w:val="000000"/>
                <w:kern w:val="0"/>
                <w:sz w:val="20"/>
                <w:szCs w:val="20"/>
                <w:lang w:val="en-AU" w:bidi="ar-SA"/>
              </w:rPr>
              <w:t>Geographical</w:t>
            </w:r>
          </w:p>
        </w:tc>
        <w:tc>
          <w:tcPr>
            <w:tcW w:w="1417" w:type="dxa"/>
            <w:tcBorders/>
            <w:vAlign w:val="center"/>
          </w:tcPr>
          <w:p>
            <w:pPr>
              <w:pStyle w:val="Normal"/>
              <w:widowControl/>
              <w:spacing w:before="120" w:after="120"/>
              <w:jc w:val="center"/>
              <w:rPr>
                <w:sz w:val="20"/>
                <w:szCs w:val="20"/>
                <w:lang w:val="en-AU"/>
              </w:rPr>
            </w:pPr>
            <w:r>
              <w:rPr>
                <w:b/>
                <w:bCs/>
                <w:color w:val="000000"/>
                <w:kern w:val="0"/>
                <w:sz w:val="20"/>
                <w:szCs w:val="20"/>
                <w:lang w:val="en-AU" w:bidi="ar-SA"/>
              </w:rPr>
              <w:t>Technology</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Composites</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2.5</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2.2</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1.6</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2.6</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1.8</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Aluminium</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2.2</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Final assembly</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1.0</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Titanium</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2.5</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3.8</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3.8</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Superalloys</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3.3</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3.9</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3.2</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CRES (Stainless)</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6</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2.9</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3.4</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2.8</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End-of-life</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4.0</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Electronics</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1.0</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4.9</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4.0</w:t>
            </w:r>
          </w:p>
        </w:tc>
      </w:tr>
      <w:tr>
        <w:trPr>
          <w:trHeight w:val="300" w:hRule="atLeast"/>
        </w:trPr>
        <w:tc>
          <w:tcPr>
            <w:tcW w:w="1701"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Electrical</w:t>
            </w:r>
          </w:p>
        </w:tc>
        <w:tc>
          <w:tcPr>
            <w:tcW w:w="1416"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3.3</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2.0</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1.2</w:t>
            </w:r>
          </w:p>
        </w:tc>
        <w:tc>
          <w:tcPr>
            <w:tcW w:w="1418"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3.8</w:t>
            </w:r>
          </w:p>
        </w:tc>
        <w:tc>
          <w:tcPr>
            <w:tcW w:w="1417" w:type="dxa"/>
            <w:tcBorders>
              <w:top w:val="nil"/>
              <w:bottom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3.7</w:t>
            </w:r>
          </w:p>
        </w:tc>
      </w:tr>
      <w:tr>
        <w:trPr>
          <w:trHeight w:val="300" w:hRule="atLeast"/>
        </w:trPr>
        <w:tc>
          <w:tcPr>
            <w:tcW w:w="1701"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Miscellaneous</w:t>
            </w:r>
          </w:p>
        </w:tc>
        <w:tc>
          <w:tcPr>
            <w:tcW w:w="1416" w:type="dxa"/>
            <w:tcBorders>
              <w:top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w:t>
            </w:r>
          </w:p>
        </w:tc>
        <w:tc>
          <w:tcPr>
            <w:tcW w:w="1418" w:type="dxa"/>
            <w:tcBorders>
              <w:top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3.7</w:t>
            </w:r>
          </w:p>
        </w:tc>
        <w:tc>
          <w:tcPr>
            <w:tcW w:w="1418" w:type="dxa"/>
            <w:tcBorders>
              <w:top w:val="nil"/>
            </w:tcBorders>
            <w:vAlign w:val="center"/>
          </w:tcPr>
          <w:p>
            <w:pPr>
              <w:pStyle w:val="Normal"/>
              <w:widowControl/>
              <w:spacing w:before="120" w:after="120"/>
              <w:jc w:val="center"/>
              <w:rPr>
                <w:sz w:val="20"/>
                <w:szCs w:val="20"/>
                <w:lang w:val="en-AU"/>
              </w:rPr>
            </w:pPr>
            <w:r>
              <w:rPr>
                <w:color w:val="000000"/>
                <w:kern w:val="0"/>
                <w:sz w:val="20"/>
                <w:szCs w:val="20"/>
                <w:lang w:val="en-AU" w:bidi="ar-SA"/>
              </w:rPr>
              <w:t>2.2</w:t>
            </w:r>
          </w:p>
        </w:tc>
        <w:tc>
          <w:tcPr>
            <w:tcW w:w="1417" w:type="dxa"/>
            <w:tcBorders>
              <w:top w:val="nil"/>
            </w:tcBorders>
            <w:vAlign w:val="center"/>
          </w:tcPr>
          <w:p>
            <w:pPr>
              <w:pStyle w:val="Normal"/>
              <w:widowControl/>
              <w:spacing w:before="120" w:after="120"/>
              <w:jc w:val="center"/>
              <w:rPr>
                <w:sz w:val="20"/>
                <w:szCs w:val="20"/>
                <w:lang w:val="en-AU"/>
              </w:rPr>
            </w:pPr>
            <w:r>
              <w:rPr>
                <w:color w:val="000000"/>
                <w:kern w:val="0"/>
                <w:sz w:val="20"/>
                <w:szCs w:val="20"/>
                <w:lang w:val="en-AU" w:bidi="ar-SA"/>
              </w:rPr>
              <w:t>1.1</w:t>
            </w:r>
          </w:p>
        </w:tc>
        <w:tc>
          <w:tcPr>
            <w:tcW w:w="1418" w:type="dxa"/>
            <w:tcBorders>
              <w:top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3.9</w:t>
            </w:r>
          </w:p>
        </w:tc>
        <w:tc>
          <w:tcPr>
            <w:tcW w:w="1417" w:type="dxa"/>
            <w:tcBorders>
              <w:top w:val="nil"/>
            </w:tcBorders>
            <w:vAlign w:val="center"/>
          </w:tcPr>
          <w:p>
            <w:pPr>
              <w:pStyle w:val="Normal"/>
              <w:widowControl/>
              <w:spacing w:before="120" w:after="120"/>
              <w:jc w:val="center"/>
              <w:rPr>
                <w:sz w:val="20"/>
                <w:szCs w:val="20"/>
                <w:lang w:val="en-AU"/>
              </w:rPr>
            </w:pPr>
            <w:r>
              <w:rPr>
                <w:color w:val="000000"/>
                <w:kern w:val="0"/>
                <w:sz w:val="20"/>
                <w:szCs w:val="20"/>
                <w:lang w:val="en-AU" w:bidi="ar-SA"/>
              </w:rPr>
              <w:t>3.9</w:t>
            </w:r>
          </w:p>
        </w:tc>
      </w:tr>
      <w:tr>
        <w:trPr>
          <w:trHeight w:val="300" w:hRule="atLeast"/>
        </w:trPr>
        <w:tc>
          <w:tcPr>
            <w:tcW w:w="1701" w:type="dxa"/>
            <w:tcBorders/>
          </w:tcPr>
          <w:p>
            <w:pPr>
              <w:pStyle w:val="Normal"/>
              <w:widowControl/>
              <w:spacing w:before="120" w:after="120"/>
              <w:jc w:val="left"/>
              <w:rPr>
                <w:b/>
                <w:bCs/>
                <w:sz w:val="20"/>
                <w:szCs w:val="20"/>
                <w:lang w:val="en-AU"/>
              </w:rPr>
            </w:pPr>
            <w:r>
              <w:rPr>
                <w:b/>
                <w:bCs/>
                <w:color w:val="000000"/>
                <w:kern w:val="0"/>
                <w:sz w:val="20"/>
                <w:szCs w:val="20"/>
                <w:lang w:val="en-AU" w:bidi="ar-SA"/>
              </w:rPr>
              <w:t>Grand Total</w:t>
            </w:r>
          </w:p>
        </w:tc>
        <w:tc>
          <w:tcPr>
            <w:tcW w:w="1416" w:type="dxa"/>
            <w:tcBorders/>
            <w:vAlign w:val="center"/>
          </w:tcPr>
          <w:p>
            <w:pPr>
              <w:pStyle w:val="Normal"/>
              <w:widowControl/>
              <w:spacing w:before="120" w:after="120"/>
              <w:jc w:val="center"/>
              <w:rPr>
                <w:b/>
                <w:bCs/>
                <w:sz w:val="20"/>
                <w:szCs w:val="20"/>
                <w:lang w:val="en-AU"/>
              </w:rPr>
            </w:pPr>
            <w:r>
              <w:rPr>
                <w:b/>
                <w:bCs/>
                <w:color w:val="000000"/>
                <w:kern w:val="0"/>
                <w:sz w:val="20"/>
                <w:szCs w:val="20"/>
                <w:lang w:val="en-AU" w:bidi="ar-SA"/>
              </w:rPr>
              <w:t>25</w:t>
            </w:r>
          </w:p>
        </w:tc>
        <w:tc>
          <w:tcPr>
            <w:tcW w:w="1418" w:type="dxa"/>
            <w:tcBorders/>
            <w:vAlign w:val="center"/>
          </w:tcPr>
          <w:p>
            <w:pPr>
              <w:pStyle w:val="Normal"/>
              <w:widowControl/>
              <w:spacing w:before="120" w:after="120"/>
              <w:jc w:val="center"/>
              <w:rPr>
                <w:b/>
                <w:bCs/>
                <w:sz w:val="20"/>
                <w:szCs w:val="20"/>
                <w:lang w:val="en-AU"/>
              </w:rPr>
            </w:pPr>
            <w:r>
              <w:rPr>
                <w:b/>
                <w:bCs/>
                <w:color w:val="000000"/>
                <w:kern w:val="0"/>
                <w:sz w:val="20"/>
                <w:szCs w:val="20"/>
                <w:lang w:val="en-AU" w:bidi="ar-SA"/>
              </w:rPr>
              <w:t>2.4</w:t>
            </w:r>
          </w:p>
        </w:tc>
        <w:tc>
          <w:tcPr>
            <w:tcW w:w="1418" w:type="dxa"/>
            <w:tcBorders/>
            <w:vAlign w:val="center"/>
          </w:tcPr>
          <w:p>
            <w:pPr>
              <w:pStyle w:val="Normal"/>
              <w:widowControl/>
              <w:spacing w:before="120" w:after="120"/>
              <w:jc w:val="center"/>
              <w:rPr>
                <w:b/>
                <w:bCs/>
                <w:sz w:val="20"/>
                <w:szCs w:val="20"/>
                <w:lang w:val="en-AU"/>
              </w:rPr>
            </w:pPr>
            <w:r>
              <w:rPr>
                <w:b/>
                <w:bCs/>
                <w:color w:val="000000"/>
                <w:kern w:val="0"/>
                <w:sz w:val="20"/>
                <w:szCs w:val="20"/>
                <w:lang w:val="en-AU" w:bidi="ar-SA"/>
              </w:rPr>
              <w:t>2.1</w:t>
            </w:r>
          </w:p>
        </w:tc>
        <w:tc>
          <w:tcPr>
            <w:tcW w:w="1417" w:type="dxa"/>
            <w:tcBorders/>
            <w:vAlign w:val="center"/>
          </w:tcPr>
          <w:p>
            <w:pPr>
              <w:pStyle w:val="Normal"/>
              <w:widowControl/>
              <w:spacing w:before="120" w:after="120"/>
              <w:jc w:val="center"/>
              <w:rPr>
                <w:b/>
                <w:bCs/>
                <w:sz w:val="20"/>
                <w:szCs w:val="20"/>
                <w:lang w:val="en-AU"/>
              </w:rPr>
            </w:pPr>
            <w:r>
              <w:rPr>
                <w:b/>
                <w:bCs/>
                <w:color w:val="000000"/>
                <w:kern w:val="0"/>
                <w:sz w:val="20"/>
                <w:szCs w:val="20"/>
                <w:lang w:val="en-AU" w:bidi="ar-SA"/>
              </w:rPr>
              <w:t>1.3</w:t>
            </w:r>
          </w:p>
        </w:tc>
        <w:tc>
          <w:tcPr>
            <w:tcW w:w="1418" w:type="dxa"/>
            <w:tcBorders/>
            <w:vAlign w:val="center"/>
          </w:tcPr>
          <w:p>
            <w:pPr>
              <w:pStyle w:val="Normal"/>
              <w:widowControl/>
              <w:spacing w:before="120" w:after="120"/>
              <w:jc w:val="center"/>
              <w:rPr>
                <w:b/>
                <w:bCs/>
                <w:sz w:val="20"/>
                <w:szCs w:val="20"/>
                <w:lang w:val="en-AU"/>
              </w:rPr>
            </w:pPr>
            <w:r>
              <w:rPr>
                <w:b/>
                <w:bCs/>
                <w:color w:val="000000"/>
                <w:kern w:val="0"/>
                <w:sz w:val="20"/>
                <w:szCs w:val="20"/>
                <w:lang w:val="en-AU" w:bidi="ar-SA"/>
              </w:rPr>
              <w:t>3.0</w:t>
            </w:r>
          </w:p>
        </w:tc>
        <w:tc>
          <w:tcPr>
            <w:tcW w:w="1417" w:type="dxa"/>
            <w:tcBorders/>
            <w:vAlign w:val="center"/>
          </w:tcPr>
          <w:p>
            <w:pPr>
              <w:pStyle w:val="Normal"/>
              <w:widowControl/>
              <w:spacing w:before="120" w:after="120"/>
              <w:jc w:val="center"/>
              <w:rPr>
                <w:b/>
                <w:bCs/>
                <w:sz w:val="20"/>
                <w:szCs w:val="20"/>
                <w:lang w:val="en-AU"/>
              </w:rPr>
            </w:pPr>
            <w:r>
              <w:rPr>
                <w:b/>
                <w:bCs/>
                <w:color w:val="000000"/>
                <w:kern w:val="0"/>
                <w:sz w:val="20"/>
                <w:szCs w:val="20"/>
                <w:lang w:val="en-AU" w:bidi="ar-SA"/>
              </w:rPr>
              <w:t>2.3</w:t>
            </w:r>
          </w:p>
        </w:tc>
      </w:tr>
    </w:tbl>
    <w:p>
      <w:pPr>
        <w:pStyle w:val="Normal"/>
        <w:rPr>
          <w:b/>
          <w:bCs/>
          <w:sz w:val="20"/>
          <w:szCs w:val="20"/>
        </w:rPr>
      </w:pPr>
      <w:r>
        <w:rPr>
          <w:b/>
          <w:bCs/>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spacing w:lineRule="auto" w:line="360"/>
        <w:rPr>
          <w:b/>
          <w:bCs/>
        </w:rPr>
      </w:pPr>
      <w:r>
        <w:rPr>
          <w:b/>
          <w:bCs/>
        </w:rPr>
      </w:r>
    </w:p>
    <w:p>
      <w:pPr>
        <w:pStyle w:val="Normal"/>
        <w:spacing w:before="0" w:after="240"/>
        <w:rPr>
          <w:b/>
          <w:bCs/>
          <w:sz w:val="20"/>
          <w:szCs w:val="20"/>
        </w:rPr>
      </w:pPr>
      <w:r>
        <w:rPr>
          <w:b/>
          <w:bCs/>
          <w:sz w:val="20"/>
          <w:szCs w:val="20"/>
        </w:rPr>
        <w:t>Data Quality Summary</w:t>
      </w:r>
    </w:p>
    <w:p>
      <w:pPr>
        <w:pStyle w:val="Normal"/>
        <w:spacing w:lineRule="auto" w:line="360" w:before="0" w:after="240"/>
        <w:ind w:firstLine="720"/>
        <w:rPr>
          <w:sz w:val="20"/>
          <w:szCs w:val="20"/>
          <w:lang w:bidi="en-US"/>
        </w:rPr>
      </w:pPr>
      <w:r>
        <w:rPr>
          <w:sz w:val="20"/>
          <w:szCs w:val="20"/>
          <w:lang w:bidi="en-US"/>
        </w:rPr>
        <w:t>‘</w:t>
      </w:r>
      <w:r>
        <w:rPr>
          <w:sz w:val="20"/>
          <w:szCs w:val="20"/>
          <w:lang w:bidi="en-US"/>
        </w:rPr>
        <w:t xml:space="preserve">Reliability’ quality scores broadly range from 1.0 to 4.0 (weighted average 2.4), with the better quality found in high-impact processes. Composites and aluminium manufacturing, which together contribute 68% of lifecycle emissions, achieve scores of 2.5 or better because of direct measurements and verified data. Specialty materials requiring proxy data (electronics, superalloys, miscellaneous components) score between 3.3 and 4.0, but collectively contribute only 15% of total emissions due to smaller mass contribution. ‘Completeness’ is consistently strong across all categories (weighted average 2.1), since our efforts in LCA modelling were focussed on a smaller number of models to represent the overall aircraft. The ‘Temporal’ quality is strongest with a weighted average of 1.3, since most data was collected or updated in 2023-2024. The ‘Technology’ factor correlation shows good quality (weighted average 2.3), with most manufacturing processes modelled using identical or very similar production technology to actual operations. </w:t>
      </w:r>
    </w:p>
    <w:p>
      <w:pPr>
        <w:pStyle w:val="Normal"/>
        <w:spacing w:lineRule="auto" w:line="360" w:before="0" w:after="240"/>
        <w:ind w:firstLine="720"/>
        <w:rPr>
          <w:sz w:val="20"/>
          <w:szCs w:val="20"/>
          <w:lang w:bidi="en-US"/>
        </w:rPr>
      </w:pPr>
      <w:r>
        <w:rPr>
          <w:sz w:val="20"/>
          <w:szCs w:val="20"/>
          <w:lang w:bidi="en-US"/>
        </w:rPr>
        <w:t xml:space="preserve">The main data quality limitation is ‘Geographical’ factor with a weighted average of 3.0. Many materials use regional datasets (European or North American averages) rather than Australia-specific data. This reflects the global nature of aerospace supply chains and the lack of representative data that has been well documented for most commercial LCA databases. </w:t>
      </w:r>
    </w:p>
    <w:p>
      <w:pPr>
        <w:pStyle w:val="Normal"/>
        <w:rPr>
          <w:sz w:val="20"/>
          <w:szCs w:val="18"/>
          <w:lang w:bidi="en-US"/>
        </w:rPr>
      </w:pPr>
      <w:r>
        <w:rPr>
          <w:sz w:val="20"/>
          <w:szCs w:val="18"/>
          <w:lang w:bidi="en-US"/>
        </w:rPr>
      </w:r>
      <w:r>
        <w:br w:type="page"/>
      </w:r>
    </w:p>
    <w:p>
      <w:pPr>
        <w:pStyle w:val="Normal"/>
        <w:spacing w:before="0" w:after="0"/>
        <w:rPr>
          <w:b/>
          <w:bCs/>
        </w:rPr>
      </w:pPr>
      <w:r>
        <w:rPr>
          <w:b/>
          <w:bCs/>
        </w:rPr>
        <w:t>Table S3. Standard deviation determination from data quality pedigree matrix</w:t>
      </w:r>
    </w:p>
    <w:p>
      <w:pPr>
        <w:pStyle w:val="Normal"/>
        <w:rPr>
          <w:b/>
          <w:bCs/>
          <w:sz w:val="22"/>
        </w:rPr>
      </w:pPr>
      <w:r>
        <w:rPr>
          <w:b/>
          <w:bCs/>
          <w:sz w:val="22"/>
        </w:rPr>
      </w:r>
    </w:p>
    <w:p>
      <w:pPr>
        <w:pStyle w:val="Normal"/>
        <w:rPr>
          <w:i/>
          <w:i/>
          <w:iCs/>
          <w:color w:themeColor="text2" w:val="0E2841"/>
          <w:sz w:val="20"/>
          <w:szCs w:val="20"/>
        </w:rPr>
      </w:pPr>
      <w:r>
        <w:rPr>
          <w:i/>
          <w:iCs/>
          <w:color w:themeColor="text2" w:val="0E2841"/>
          <w:sz w:val="20"/>
          <w:szCs w:val="20"/>
        </w:rPr>
        <w:t>Table S3. Variance (σ²) and standard deviation (σ) of the underlying normal distribution for the lognormal distribution, derived from pedigree matrix scores (Table S2) following Weidema et al. (2013) uncertainty methodology.</w:t>
      </w:r>
    </w:p>
    <w:p>
      <w:pPr>
        <w:pStyle w:val="Normal"/>
        <w:rPr>
          <w:i/>
          <w:i/>
          <w:iCs/>
          <w:color w:themeColor="text2" w:val="0E2841"/>
          <w:sz w:val="20"/>
          <w:szCs w:val="20"/>
        </w:rPr>
      </w:pPr>
      <w:r>
        <w:rPr>
          <w:i/>
          <w:iCs/>
          <w:color w:themeColor="text2" w:val="0E2841"/>
          <w:sz w:val="20"/>
          <w:szCs w:val="20"/>
        </w:rPr>
      </w:r>
    </w:p>
    <w:tbl>
      <w:tblPr>
        <w:tblStyle w:val="ListTable6Colourful1"/>
        <w:tblW w:w="11402" w:type="dxa"/>
        <w:jc w:val="left"/>
        <w:tblInd w:w="0" w:type="dxa"/>
        <w:tblLayout w:type="fixed"/>
        <w:tblCellMar>
          <w:top w:w="0" w:type="dxa"/>
          <w:left w:w="108" w:type="dxa"/>
          <w:bottom w:w="0" w:type="dxa"/>
          <w:right w:w="108" w:type="dxa"/>
        </w:tblCellMar>
        <w:tblLook w:firstRow="1" w:noVBand="1" w:lastRow="0" w:firstColumn="0" w:lastColumn="0" w:noHBand="1" w:val="0620"/>
      </w:tblPr>
      <w:tblGrid>
        <w:gridCol w:w="1955"/>
        <w:gridCol w:w="2440"/>
        <w:gridCol w:w="2835"/>
        <w:gridCol w:w="1389"/>
        <w:gridCol w:w="1391"/>
        <w:gridCol w:w="1391"/>
      </w:tblGrid>
      <w:tr>
        <w:trPr>
          <w:tblHeader w:val="true"/>
          <w:cnfStyle w:val="100000000000" w:firstRow="1" w:lastRow="0" w:firstColumn="0" w:lastColumn="0" w:oddVBand="0" w:evenVBand="0" w:oddHBand="0" w:evenHBand="0" w:firstRowFirstColumn="0" w:firstRowLastColumn="0" w:lastRowFirstColumn="0" w:lastRowLastColumn="0"/>
        </w:trPr>
        <w:tc>
          <w:tcPr>
            <w:tcW w:w="1955" w:type="dxa"/>
            <w:tcBorders/>
          </w:tcPr>
          <w:p>
            <w:pPr>
              <w:pStyle w:val="Normal"/>
              <w:widowControl/>
              <w:spacing w:before="120" w:after="120"/>
              <w:jc w:val="left"/>
              <w:rPr>
                <w:sz w:val="20"/>
                <w:szCs w:val="20"/>
                <w:lang w:val="en-AU"/>
              </w:rPr>
            </w:pPr>
            <w:r>
              <w:rPr>
                <w:b/>
                <w:bCs/>
                <w:color w:val="000000"/>
                <w:kern w:val="0"/>
                <w:sz w:val="20"/>
                <w:szCs w:val="20"/>
                <w:lang w:val="en-AU" w:bidi="ar-SA"/>
              </w:rPr>
              <w:t>Lifecycle Phase</w:t>
            </w:r>
          </w:p>
        </w:tc>
        <w:tc>
          <w:tcPr>
            <w:tcW w:w="2440" w:type="dxa"/>
            <w:tcBorders/>
          </w:tcPr>
          <w:p>
            <w:pPr>
              <w:pStyle w:val="Normal"/>
              <w:widowControl/>
              <w:spacing w:before="120" w:after="120"/>
              <w:jc w:val="left"/>
              <w:rPr>
                <w:sz w:val="20"/>
                <w:szCs w:val="20"/>
                <w:lang w:val="en-AU"/>
              </w:rPr>
            </w:pPr>
            <w:r>
              <w:rPr>
                <w:b/>
                <w:bCs/>
                <w:color w:val="000000"/>
                <w:kern w:val="0"/>
                <w:sz w:val="20"/>
                <w:szCs w:val="20"/>
                <w:lang w:val="en-AU" w:bidi="ar-SA"/>
              </w:rPr>
              <w:t>Material Category</w:t>
            </w:r>
          </w:p>
        </w:tc>
        <w:tc>
          <w:tcPr>
            <w:tcW w:w="2835" w:type="dxa"/>
            <w:tcBorders/>
          </w:tcPr>
          <w:p>
            <w:pPr>
              <w:pStyle w:val="Normal"/>
              <w:widowControl/>
              <w:spacing w:before="120" w:after="120"/>
              <w:jc w:val="left"/>
              <w:rPr>
                <w:sz w:val="20"/>
                <w:szCs w:val="20"/>
                <w:lang w:val="en-AU"/>
              </w:rPr>
            </w:pPr>
            <w:r>
              <w:rPr>
                <w:b/>
                <w:bCs/>
                <w:color w:val="000000"/>
                <w:kern w:val="0"/>
                <w:sz w:val="20"/>
                <w:szCs w:val="20"/>
                <w:lang w:val="en-AU" w:bidi="ar-SA"/>
              </w:rPr>
              <w:t xml:space="preserve">Exchange Type (Table 10.3, Weidema </w:t>
            </w:r>
            <w:r>
              <w:rPr>
                <w:b/>
                <w:bCs/>
                <w:i/>
                <w:color w:val="000000"/>
                <w:kern w:val="0"/>
                <w:sz w:val="20"/>
                <w:szCs w:val="20"/>
                <w:lang w:val="en-AU" w:bidi="ar-SA"/>
              </w:rPr>
              <w:t>et al.</w:t>
            </w:r>
            <w:r>
              <w:rPr>
                <w:b/>
                <w:bCs/>
                <w:color w:val="000000"/>
                <w:kern w:val="0"/>
                <w:sz w:val="20"/>
                <w:szCs w:val="20"/>
                <w:lang w:val="en-AU" w:bidi="ar-SA"/>
              </w:rPr>
              <w:t>, 2013)</w:t>
            </w:r>
          </w:p>
        </w:tc>
        <w:tc>
          <w:tcPr>
            <w:tcW w:w="1389" w:type="dxa"/>
            <w:tcBorders/>
          </w:tcPr>
          <w:p>
            <w:pPr>
              <w:pStyle w:val="Normal"/>
              <w:widowControl/>
              <w:spacing w:before="120" w:after="120"/>
              <w:jc w:val="center"/>
              <w:rPr>
                <w:sz w:val="20"/>
                <w:szCs w:val="20"/>
                <w:lang w:val="en-AU"/>
              </w:rPr>
            </w:pPr>
            <w:r>
              <w:rPr>
                <w:b/>
                <w:bCs/>
                <w:color w:val="000000"/>
                <w:kern w:val="0"/>
                <w:sz w:val="20"/>
                <w:szCs w:val="20"/>
                <w:lang w:val="en-AU" w:bidi="ar-SA"/>
              </w:rPr>
              <w:t xml:space="preserve">Basic variance </w:t>
            </w:r>
            <w:r>
              <w:rPr>
                <w:rFonts w:eastAsia="Symbol" w:cs="Symbol" w:ascii="Symbol" w:hAnsi="Symbol"/>
                <w:b/>
                <w:bCs/>
                <w:color w:val="000000"/>
                <w:kern w:val="0"/>
                <w:sz w:val="20"/>
                <w:szCs w:val="20"/>
                <w:lang w:val="en-AU" w:bidi="ar-SA"/>
              </w:rPr>
              <w:sym w:font="Symbol" w:char="f073"/>
            </w:r>
            <w:r>
              <w:rPr>
                <w:b/>
                <w:bCs/>
                <w:color w:val="000000"/>
                <w:kern w:val="0"/>
                <w:sz w:val="20"/>
                <w:szCs w:val="20"/>
                <w:vertAlign w:val="superscript"/>
                <w:lang w:val="en-AU" w:bidi="ar-SA"/>
              </w:rPr>
              <w:t>2</w:t>
            </w:r>
            <w:r>
              <w:rPr>
                <w:b/>
                <w:bCs/>
                <w:color w:val="000000"/>
                <w:kern w:val="0"/>
                <w:sz w:val="20"/>
                <w:szCs w:val="20"/>
                <w:vertAlign w:val="subscript"/>
                <w:lang w:val="en-AU" w:bidi="ar-SA"/>
              </w:rPr>
              <w:t>basic</w:t>
            </w:r>
          </w:p>
        </w:tc>
        <w:tc>
          <w:tcPr>
            <w:tcW w:w="1391" w:type="dxa"/>
            <w:tcBorders/>
          </w:tcPr>
          <w:p>
            <w:pPr>
              <w:pStyle w:val="Normal"/>
              <w:widowControl/>
              <w:spacing w:before="120" w:after="120"/>
              <w:jc w:val="center"/>
              <w:rPr>
                <w:sz w:val="20"/>
                <w:szCs w:val="20"/>
                <w:lang w:val="en-AU"/>
              </w:rPr>
            </w:pPr>
            <w:r>
              <w:rPr>
                <w:b/>
                <w:bCs/>
                <w:color w:val="000000"/>
                <w:kern w:val="0"/>
                <w:sz w:val="20"/>
                <w:szCs w:val="20"/>
                <w:lang w:val="en-AU" w:bidi="ar-SA"/>
              </w:rPr>
              <w:t>Total variance σ²</w:t>
            </w:r>
            <w:r>
              <w:rPr>
                <w:b/>
                <w:bCs/>
                <w:color w:val="000000"/>
                <w:kern w:val="0"/>
                <w:sz w:val="20"/>
                <w:szCs w:val="20"/>
                <w:vertAlign w:val="subscript"/>
                <w:lang w:val="en-AU" w:bidi="ar-SA"/>
              </w:rPr>
              <w:t>total</w:t>
            </w:r>
          </w:p>
        </w:tc>
        <w:tc>
          <w:tcPr>
            <w:tcW w:w="1391" w:type="dxa"/>
            <w:tcBorders/>
          </w:tcPr>
          <w:p>
            <w:pPr>
              <w:pStyle w:val="Normal"/>
              <w:widowControl/>
              <w:spacing w:before="120" w:after="120"/>
              <w:jc w:val="center"/>
              <w:rPr>
                <w:sz w:val="20"/>
                <w:szCs w:val="20"/>
                <w:lang w:val="en-AU"/>
              </w:rPr>
            </w:pPr>
            <w:r>
              <w:rPr>
                <w:b/>
                <w:bCs/>
                <w:color w:val="000000"/>
                <w:kern w:val="0"/>
                <w:sz w:val="20"/>
                <w:szCs w:val="20"/>
                <w:lang w:val="en-AU" w:bidi="ar-SA"/>
              </w:rPr>
              <w:t>Standard Deviation     σ</w:t>
            </w:r>
          </w:p>
        </w:tc>
      </w:tr>
      <w:tr>
        <w:trPr/>
        <w:tc>
          <w:tcPr>
            <w:tcW w:w="1955" w:type="dxa"/>
            <w:tcBorders>
              <w:top w:val="nil"/>
              <w:bottom w:val="nil"/>
            </w:tcBorders>
          </w:tcPr>
          <w:p>
            <w:pPr>
              <w:pStyle w:val="Normal"/>
              <w:widowControl/>
              <w:spacing w:before="120" w:after="120"/>
              <w:jc w:val="left"/>
              <w:rPr>
                <w:sz w:val="20"/>
                <w:szCs w:val="20"/>
                <w:lang w:val="en-AU"/>
              </w:rPr>
            </w:pPr>
            <w:r>
              <w:rPr>
                <w:rStyle w:val="Strong"/>
                <w:color w:val="000000"/>
                <w:kern w:val="0"/>
                <w:sz w:val="20"/>
                <w:szCs w:val="20"/>
                <w:lang w:val="en-AU" w:bidi="ar-SA"/>
              </w:rPr>
              <w:t>Manufacturing</w:t>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Composites</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0.00277</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0.053</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Aluminium</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0.00376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0.061</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Titanium</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0.03614</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0.190</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Superalloys</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0.01949</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0.140</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CRES (Stainless)</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0.00942</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0.097</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Electronics</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0.05056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0.225</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Electrical</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0.03544</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0.188</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Miscellaneous</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0.04437</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0.211</w:t>
            </w:r>
          </w:p>
        </w:tc>
      </w:tr>
      <w:tr>
        <w:trPr/>
        <w:tc>
          <w:tcPr>
            <w:tcW w:w="1955" w:type="dxa"/>
            <w:tcBorders>
              <w:top w:val="nil"/>
              <w:bottom w:val="nil"/>
            </w:tcBorders>
          </w:tcPr>
          <w:p>
            <w:pPr>
              <w:pStyle w:val="Normal"/>
              <w:widowControl/>
              <w:spacing w:before="120" w:after="120"/>
              <w:jc w:val="left"/>
              <w:rPr>
                <w:b/>
                <w:bCs/>
                <w:sz w:val="20"/>
                <w:szCs w:val="20"/>
                <w:lang w:val="en-AU"/>
              </w:rPr>
            </w:pPr>
            <w:r>
              <w:rPr>
                <w:b/>
                <w:bCs/>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Final assembly</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Electricity</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0.00072</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0.027</w:t>
            </w:r>
          </w:p>
        </w:tc>
      </w:tr>
      <w:tr>
        <w:trPr/>
        <w:tc>
          <w:tcPr>
            <w:tcW w:w="1955" w:type="dxa"/>
            <w:tcBorders>
              <w:top w:val="nil"/>
              <w:bottom w:val="nil"/>
            </w:tcBorders>
          </w:tcPr>
          <w:p>
            <w:pPr>
              <w:pStyle w:val="Normal"/>
              <w:widowControl/>
              <w:spacing w:before="120" w:after="120"/>
              <w:jc w:val="left"/>
              <w:rPr>
                <w:rStyle w:val="Strong"/>
                <w:sz w:val="20"/>
                <w:szCs w:val="20"/>
                <w:lang w:val="en-AU"/>
              </w:rPr>
            </w:pPr>
            <w:r>
              <w:rPr>
                <w:color w:val="000000"/>
                <w:kern w:val="0"/>
                <w:sz w:val="20"/>
                <w:szCs w:val="20"/>
                <w:lang w:val="en-AU" w:bidi="ar-SA"/>
              </w:rPr>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Total Mfg Weighted</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(See above)</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(See above)</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0.00972</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0.099</w:t>
            </w:r>
          </w:p>
        </w:tc>
      </w:tr>
      <w:tr>
        <w:trPr/>
        <w:tc>
          <w:tcPr>
            <w:tcW w:w="1955" w:type="dxa"/>
            <w:tcBorders>
              <w:top w:val="nil"/>
              <w:bottom w:val="nil"/>
            </w:tcBorders>
          </w:tcPr>
          <w:p>
            <w:pPr>
              <w:pStyle w:val="Normal"/>
              <w:widowControl/>
              <w:spacing w:before="120" w:after="120"/>
              <w:jc w:val="left"/>
              <w:rPr>
                <w:rStyle w:val="Strong"/>
                <w:sz w:val="20"/>
                <w:szCs w:val="20"/>
                <w:lang w:val="en-AU"/>
              </w:rPr>
            </w:pPr>
            <w:r>
              <w:rPr>
                <w:rStyle w:val="Strong"/>
                <w:color w:val="000000"/>
                <w:kern w:val="0"/>
                <w:sz w:val="20"/>
                <w:szCs w:val="20"/>
                <w:lang w:val="en-AU" w:bidi="ar-SA"/>
              </w:rPr>
              <w:t>Operations</w:t>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Business jet proxy</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Estimated, see “Operations uncertainty” calculation below</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0.02330</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0.153</w:t>
            </w:r>
          </w:p>
        </w:tc>
      </w:tr>
      <w:tr>
        <w:trPr/>
        <w:tc>
          <w:tcPr>
            <w:tcW w:w="1955" w:type="dxa"/>
            <w:tcBorders>
              <w:top w:val="nil"/>
              <w:bottom w:val="nil"/>
            </w:tcBorders>
          </w:tcPr>
          <w:p>
            <w:pPr>
              <w:pStyle w:val="Normal"/>
              <w:widowControl/>
              <w:spacing w:before="120" w:after="120"/>
              <w:jc w:val="left"/>
              <w:rPr>
                <w:sz w:val="20"/>
                <w:szCs w:val="20"/>
                <w:lang w:val="en-AU"/>
              </w:rPr>
            </w:pPr>
            <w:r>
              <w:rPr>
                <w:rStyle w:val="Strong"/>
                <w:color w:val="000000"/>
                <w:kern w:val="0"/>
                <w:sz w:val="20"/>
                <w:szCs w:val="20"/>
                <w:lang w:val="en-AU" w:bidi="ar-SA"/>
              </w:rPr>
              <w:t>Maintenance</w:t>
            </w:r>
          </w:p>
        </w:tc>
        <w:tc>
          <w:tcPr>
            <w:tcW w:w="244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(Same as manufacturing)</w:t>
            </w:r>
          </w:p>
        </w:tc>
        <w:tc>
          <w:tcPr>
            <w:tcW w:w="2835"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Semi-finished products</w:t>
            </w:r>
          </w:p>
        </w:tc>
        <w:tc>
          <w:tcPr>
            <w:tcW w:w="1389"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(Same as mfg)</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0.00972 (weighted)</w:t>
            </w:r>
          </w:p>
        </w:tc>
        <w:tc>
          <w:tcPr>
            <w:tcW w:w="13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0.099</w:t>
            </w:r>
          </w:p>
        </w:tc>
      </w:tr>
      <w:tr>
        <w:trPr/>
        <w:tc>
          <w:tcPr>
            <w:tcW w:w="1955" w:type="dxa"/>
            <w:tcBorders>
              <w:top w:val="nil"/>
            </w:tcBorders>
          </w:tcPr>
          <w:p>
            <w:pPr>
              <w:pStyle w:val="Normal"/>
              <w:widowControl/>
              <w:spacing w:before="120" w:after="120"/>
              <w:jc w:val="left"/>
              <w:rPr>
                <w:sz w:val="20"/>
                <w:szCs w:val="20"/>
                <w:lang w:val="en-AU"/>
              </w:rPr>
            </w:pPr>
            <w:r>
              <w:rPr>
                <w:rStyle w:val="Strong"/>
                <w:color w:val="000000"/>
                <w:kern w:val="0"/>
                <w:sz w:val="20"/>
                <w:szCs w:val="20"/>
                <w:lang w:val="en-AU" w:bidi="ar-SA"/>
              </w:rPr>
              <w:t>End-of-Life</w:t>
            </w:r>
          </w:p>
        </w:tc>
        <w:tc>
          <w:tcPr>
            <w:tcW w:w="2440"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Incineration</w:t>
            </w:r>
          </w:p>
        </w:tc>
        <w:tc>
          <w:tcPr>
            <w:tcW w:w="2835"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Waste treatment services</w:t>
            </w:r>
          </w:p>
        </w:tc>
        <w:tc>
          <w:tcPr>
            <w:tcW w:w="1389"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0.0006</w:t>
            </w:r>
          </w:p>
        </w:tc>
        <w:tc>
          <w:tcPr>
            <w:tcW w:w="1391"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0.04330</w:t>
            </w:r>
          </w:p>
        </w:tc>
        <w:tc>
          <w:tcPr>
            <w:tcW w:w="1391"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0.208</w:t>
            </w:r>
          </w:p>
        </w:tc>
      </w:tr>
    </w:tbl>
    <w:p>
      <w:pPr>
        <w:pStyle w:val="font-claude-response-body"/>
        <w:spacing w:before="280" w:after="280"/>
        <w:rPr>
          <w:sz w:val="20"/>
          <w:szCs w:val="20"/>
        </w:rPr>
      </w:pPr>
      <w:r>
        <w:rPr>
          <w:rStyle w:val="Strong"/>
          <w:sz w:val="20"/>
          <w:szCs w:val="20"/>
        </w:rPr>
        <w:t>Calculation methodology:</w:t>
      </w:r>
      <w:r>
        <w:rPr>
          <w:sz w:val="20"/>
          <w:szCs w:val="20"/>
        </w:rPr>
        <w:t xml:space="preserve"> </w:t>
      </w:r>
    </w:p>
    <w:p>
      <w:pPr>
        <w:pStyle w:val="font-claude-response-body"/>
        <w:spacing w:before="280" w:after="280"/>
        <w:rPr>
          <w:sz w:val="20"/>
          <w:szCs w:val="20"/>
        </w:rPr>
      </w:pPr>
      <w:r>
        <w:rPr>
          <w:sz w:val="20"/>
          <w:szCs w:val="20"/>
        </w:rPr>
        <w:t>For each category, total variance was calculated as:</w:t>
      </w:r>
    </w:p>
    <w:p>
      <w:pPr>
        <w:pStyle w:val="font-claude-response-body"/>
        <w:spacing w:before="280" w:after="280"/>
        <w:ind w:firstLine="720" w:left="720"/>
        <w:jc w:val="left"/>
        <w:rPr>
          <w:sz w:val="20"/>
          <w:szCs w:val="20"/>
        </w:rPr>
      </w:pPr>
      <w:r>
        <w:rPr/>
      </w:r>
      <m:oMathPara xmlns:m="http://schemas.openxmlformats.org/officeDocument/2006/math">
        <m:oMathParaPr>
          <m:jc m:val="left"/>
        </m:oMathParaPr>
        <m:oMath>
          <m:sSubSup>
            <m:e>
              <m:r>
                <w:rPr>
                  <w:rFonts w:ascii="Cambria Math" w:hAnsi="Cambria Math"/>
                </w:rPr>
                <m:t xml:space="preserve">σ</m:t>
              </m:r>
            </m:e>
            <m:sub>
              <m:r>
                <w:rPr>
                  <w:rFonts w:ascii="Cambria Math" w:hAnsi="Cambria Math"/>
                </w:rPr>
                <m:t xml:space="preserve">total</m:t>
              </m:r>
            </m:sub>
            <m:sup>
              <m:r>
                <w:rPr>
                  <w:rFonts w:ascii="Cambria Math" w:hAnsi="Cambria Math"/>
                </w:rPr>
                <m:t xml:space="preserve">2</m:t>
              </m:r>
            </m:sup>
          </m:sSubSup>
          <m:r>
            <w:rPr>
              <w:rFonts w:ascii="Cambria Math" w:hAnsi="Cambria Math"/>
            </w:rPr>
            <m:t xml:space="preserve">=</m:t>
          </m:r>
          <m:sSubSup>
            <m:e>
              <m:sSubSup>
                <m:e>
                  <m:r>
                    <w:rPr>
                      <w:rFonts w:ascii="Cambria Math" w:hAnsi="Cambria Math"/>
                    </w:rPr>
                    <m:t xml:space="preserve">σ</m:t>
                  </m:r>
                </m:e>
                <m:sub>
                  <m:r>
                    <w:rPr>
                      <w:rFonts w:ascii="Cambria Math" w:hAnsi="Cambria Math"/>
                    </w:rPr>
                    <m:t xml:space="preserve">basic</m:t>
                  </m:r>
                </m:sub>
                <m:sup>
                  <m:r>
                    <w:rPr>
                      <w:rFonts w:ascii="Cambria Math" w:hAnsi="Cambria Math"/>
                    </w:rPr>
                    <m:t xml:space="preserve">2</m:t>
                  </m:r>
                </m:sup>
              </m:sSubSup>
              <m:r>
                <w:rPr>
                  <w:rFonts w:ascii="Cambria Math" w:hAnsi="Cambria Math"/>
                </w:rPr>
                <m:t xml:space="preserve">+</m:t>
              </m:r>
              <m:r>
                <w:rPr>
                  <w:rFonts w:ascii="Cambria Math" w:hAnsi="Cambria Math"/>
                </w:rPr>
                <m:t xml:space="preserve">σ</m:t>
              </m:r>
            </m:e>
            <m:sub>
              <m:r>
                <w:rPr>
                  <w:rFonts w:ascii="Cambria Math" w:hAnsi="Cambria Math"/>
                </w:rPr>
                <m:t xml:space="preserve">reliability</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σ</m:t>
              </m:r>
            </m:e>
            <m:sub>
              <m:r>
                <w:rPr>
                  <w:rFonts w:ascii="Cambria Math" w:hAnsi="Cambria Math"/>
                </w:rPr>
                <m:t xml:space="preserve">completeness</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σ</m:t>
              </m:r>
            </m:e>
            <m:sub>
              <m:r>
                <w:rPr>
                  <w:rFonts w:ascii="Cambria Math" w:hAnsi="Cambria Math"/>
                </w:rPr>
                <m:t xml:space="preserve">temporal</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σ</m:t>
              </m:r>
            </m:e>
            <m:sub>
              <m:r>
                <w:rPr>
                  <w:rFonts w:ascii="Cambria Math" w:hAnsi="Cambria Math"/>
                </w:rPr>
                <m:t xml:space="preserve">geographical</m:t>
              </m:r>
            </m:sub>
            <m:sup>
              <m:r>
                <w:rPr>
                  <w:rFonts w:ascii="Cambria Math" w:hAnsi="Cambria Math"/>
                </w:rPr>
                <m:t xml:space="preserve">2</m:t>
              </m:r>
            </m:sup>
          </m:sSubSup>
          <m:r>
            <w:rPr>
              <w:rFonts w:ascii="Cambria Math" w:hAnsi="Cambria Math"/>
            </w:rPr>
            <m:t xml:space="preserve">+</m:t>
          </m:r>
          <m:sSubSup>
            <m:e>
              <m:r>
                <w:rPr>
                  <w:rFonts w:ascii="Cambria Math" w:hAnsi="Cambria Math"/>
                </w:rPr>
                <m:t xml:space="preserve">σ</m:t>
              </m:r>
            </m:e>
            <m:sub>
              <m:r>
                <w:rPr>
                  <w:rFonts w:ascii="Cambria Math" w:hAnsi="Cambria Math"/>
                </w:rPr>
                <m:t xml:space="preserve">technological</m:t>
              </m:r>
            </m:sub>
            <m:sup>
              <m:r>
                <w:rPr>
                  <w:rFonts w:ascii="Cambria Math" w:hAnsi="Cambria Math"/>
                </w:rPr>
                <m:t xml:space="preserve">2</m:t>
              </m:r>
            </m:sup>
          </m:sSubSup>
        </m:oMath>
      </m:oMathPara>
    </w:p>
    <w:p>
      <w:pPr>
        <w:pStyle w:val="font-claude-response-body"/>
        <w:spacing w:before="280" w:after="280"/>
        <w:rPr>
          <w:sz w:val="20"/>
          <w:szCs w:val="20"/>
        </w:rPr>
      </w:pPr>
      <w:r>
        <w:rPr>
          <w:sz w:val="20"/>
          <w:szCs w:val="20"/>
        </w:rPr>
        <w:t>where:</w:t>
      </w:r>
    </w:p>
    <w:p>
      <w:pPr>
        <w:pStyle w:val="font-claude-response-body"/>
        <w:spacing w:before="280" w:after="280"/>
        <w:ind w:firstLine="720"/>
        <w:rPr>
          <w:sz w:val="20"/>
          <w:szCs w:val="20"/>
        </w:rPr>
      </w:pPr>
      <w:r>
        <w:rPr>
          <w:sz w:val="20"/>
          <w:szCs w:val="20"/>
        </w:rPr>
        <w:t>σ²</w:t>
      </w:r>
      <w:r>
        <w:rPr>
          <w:sz w:val="20"/>
          <w:szCs w:val="20"/>
          <w:vertAlign w:val="subscript"/>
        </w:rPr>
        <w:t>basic</w:t>
      </w:r>
      <w:r>
        <w:rPr>
          <w:sz w:val="20"/>
          <w:szCs w:val="20"/>
        </w:rPr>
        <w:t xml:space="preserve"> = basic uncertainty factor from Weidema </w:t>
      </w:r>
      <w:r>
        <w:rPr>
          <w:i/>
          <w:sz w:val="20"/>
          <w:szCs w:val="20"/>
        </w:rPr>
        <w:t>et al.</w:t>
      </w:r>
      <w:r>
        <w:rPr>
          <w:sz w:val="20"/>
          <w:szCs w:val="20"/>
        </w:rPr>
        <w:t xml:space="preserve"> (2013) Table 10.3, determined by exchange type (see below for values used).</w:t>
      </w:r>
    </w:p>
    <w:p>
      <w:pPr>
        <w:pStyle w:val="font-claude-response-body"/>
        <w:spacing w:before="280" w:after="280"/>
        <w:ind w:firstLine="720"/>
        <w:rPr>
          <w:sz w:val="20"/>
          <w:szCs w:val="20"/>
        </w:rPr>
      </w:pPr>
      <w:r>
        <w:rPr>
          <w:sz w:val="20"/>
          <w:szCs w:val="20"/>
        </w:rPr>
        <w:t xml:space="preserve">Pedigree matrix uncertainty factors (σ²) interpolated from Weidema </w:t>
      </w:r>
      <w:r>
        <w:rPr>
          <w:i/>
          <w:sz w:val="20"/>
          <w:szCs w:val="20"/>
        </w:rPr>
        <w:t>et al.</w:t>
      </w:r>
      <w:r>
        <w:rPr>
          <w:sz w:val="20"/>
          <w:szCs w:val="20"/>
        </w:rPr>
        <w:t xml:space="preserve"> (2013) Table 10.5 using scores in Table S2.</w:t>
      </w:r>
    </w:p>
    <w:p>
      <w:pPr>
        <w:pStyle w:val="font-claude-response-body"/>
        <w:spacing w:before="280" w:after="280"/>
        <w:rPr>
          <w:sz w:val="20"/>
          <w:szCs w:val="20"/>
        </w:rPr>
      </w:pPr>
      <w:r>
        <w:rPr>
          <w:sz w:val="20"/>
          <w:szCs w:val="20"/>
        </w:rPr>
        <w:t>Standard deviation was calculated as:</w:t>
      </w:r>
    </w:p>
    <w:p>
      <w:pPr>
        <w:pStyle w:val="font-claude-response-body"/>
        <w:spacing w:before="280" w:after="280"/>
        <w:ind w:firstLine="720" w:left="720"/>
        <w:jc w:val="left"/>
        <w:rPr>
          <w:sz w:val="20"/>
          <w:szCs w:val="20"/>
        </w:rPr>
      </w:pPr>
      <w:r>
        <w:rPr/>
      </w:r>
      <m:oMathPara xmlns:m="http://schemas.openxmlformats.org/officeDocument/2006/math">
        <m:oMathParaPr>
          <m:jc m:val="left"/>
        </m:oMathParaPr>
        <m:oMath>
          <m:r>
            <w:rPr>
              <w:rFonts w:ascii="Cambria Math" w:hAnsi="Cambria Math"/>
            </w:rPr>
            <m:t xml:space="preserve">σ</m:t>
          </m:r>
          <m:r>
            <w:rPr>
              <w:rFonts w:ascii="Cambria Math" w:hAnsi="Cambria Math"/>
            </w:rPr>
            <m:t xml:space="preserve">=</m:t>
          </m:r>
          <m:rad>
            <m:radPr>
              <m:degHide m:val="1"/>
            </m:radPr>
            <m:deg/>
            <m:e>
              <m:sSubSup>
                <m:e>
                  <m:r>
                    <w:rPr>
                      <w:rFonts w:ascii="Cambria Math" w:hAnsi="Cambria Math"/>
                    </w:rPr>
                    <m:t xml:space="preserve">σ</m:t>
                  </m:r>
                </m:e>
                <m:sub>
                  <m:r>
                    <w:rPr>
                      <w:rFonts w:ascii="Cambria Math" w:hAnsi="Cambria Math"/>
                    </w:rPr>
                    <m:t xml:space="preserve">total</m:t>
                  </m:r>
                </m:sub>
                <m:sup>
                  <m:r>
                    <w:rPr>
                      <w:rFonts w:ascii="Cambria Math" w:hAnsi="Cambria Math"/>
                    </w:rPr>
                    <m:t xml:space="preserve">2</m:t>
                  </m:r>
                </m:sup>
              </m:sSubSup>
            </m:e>
          </m:rad>
        </m:oMath>
      </m:oMathPara>
    </w:p>
    <w:p>
      <w:pPr>
        <w:pStyle w:val="font-claude-response-body"/>
        <w:spacing w:before="280" w:after="280"/>
        <w:rPr>
          <w:sz w:val="20"/>
          <w:szCs w:val="20"/>
        </w:rPr>
      </w:pPr>
      <w:r>
        <w:rPr>
          <w:sz w:val="20"/>
          <w:szCs w:val="20"/>
        </w:rPr>
        <w:t>Basic uncertainty (σ²</w:t>
      </w:r>
      <w:r>
        <w:rPr>
          <w:sz w:val="20"/>
          <w:szCs w:val="20"/>
          <w:vertAlign w:val="subscript"/>
        </w:rPr>
        <w:t>basic</w:t>
      </w:r>
      <w:r>
        <w:rPr>
          <w:sz w:val="20"/>
          <w:szCs w:val="20"/>
        </w:rPr>
        <w:t xml:space="preserve">) values (from Weidema </w:t>
      </w:r>
      <w:r>
        <w:rPr>
          <w:i/>
          <w:sz w:val="20"/>
          <w:szCs w:val="20"/>
        </w:rPr>
        <w:t>et al.</w:t>
      </w:r>
      <w:r>
        <w:rPr>
          <w:sz w:val="20"/>
          <w:szCs w:val="20"/>
        </w:rPr>
        <w:t xml:space="preserve"> (2013), Table 10.3):</w:t>
      </w:r>
    </w:p>
    <w:p>
      <w:pPr>
        <w:pStyle w:val="font-claude-response-body"/>
        <w:numPr>
          <w:ilvl w:val="0"/>
          <w:numId w:val="1"/>
        </w:numPr>
        <w:spacing w:before="280" w:after="0"/>
        <w:rPr>
          <w:sz w:val="20"/>
          <w:szCs w:val="20"/>
        </w:rPr>
      </w:pPr>
      <w:r>
        <w:rPr>
          <w:sz w:val="20"/>
          <w:szCs w:val="20"/>
        </w:rPr>
        <w:t>Manufacturing components represent production of semi-finished products (0.0006)</w:t>
      </w:r>
    </w:p>
    <w:p>
      <w:pPr>
        <w:pStyle w:val="font-claude-response-body"/>
        <w:numPr>
          <w:ilvl w:val="0"/>
          <w:numId w:val="1"/>
        </w:numPr>
        <w:spacing w:before="0" w:after="0"/>
        <w:rPr>
          <w:sz w:val="20"/>
          <w:szCs w:val="20"/>
        </w:rPr>
      </w:pPr>
      <w:r>
        <w:rPr>
          <w:sz w:val="20"/>
          <w:szCs w:val="20"/>
        </w:rPr>
        <w:t>Final assembly uses electricity as primary energy input (0.0006)</w:t>
      </w:r>
    </w:p>
    <w:p>
      <w:pPr>
        <w:pStyle w:val="font-claude-response-body"/>
        <w:numPr>
          <w:ilvl w:val="0"/>
          <w:numId w:val="1"/>
        </w:numPr>
        <w:spacing w:before="0" w:after="0"/>
        <w:rPr>
          <w:sz w:val="20"/>
          <w:szCs w:val="20"/>
        </w:rPr>
      </w:pPr>
      <w:r>
        <w:rPr>
          <w:sz w:val="20"/>
          <w:szCs w:val="20"/>
        </w:rPr>
        <w:t>Maintenance involves semi-finished products as spare parts (0.0006)</w:t>
      </w:r>
    </w:p>
    <w:p>
      <w:pPr>
        <w:pStyle w:val="font-claude-response-body"/>
        <w:numPr>
          <w:ilvl w:val="0"/>
          <w:numId w:val="1"/>
        </w:numPr>
        <w:spacing w:before="0" w:after="280"/>
        <w:rPr>
          <w:sz w:val="20"/>
          <w:szCs w:val="20"/>
        </w:rPr>
      </w:pPr>
      <w:r>
        <w:rPr>
          <w:sz w:val="20"/>
          <w:szCs w:val="20"/>
        </w:rPr>
        <w:t>End-of-life represents waste treatment services (0.0006)</w:t>
      </w:r>
    </w:p>
    <w:p>
      <w:pPr>
        <w:pStyle w:val="font-claude-response-body"/>
        <w:spacing w:before="280" w:after="280"/>
        <w:rPr>
          <w:sz w:val="20"/>
          <w:szCs w:val="20"/>
        </w:rPr>
      </w:pPr>
      <w:r>
        <w:rPr>
          <w:sz w:val="20"/>
          <w:szCs w:val="20"/>
        </w:rPr>
        <w:t>Operations uncertainty combined:</w:t>
      </w:r>
    </w:p>
    <w:p>
      <w:pPr>
        <w:pStyle w:val="font-claude-response-body"/>
        <w:numPr>
          <w:ilvl w:val="0"/>
          <w:numId w:val="2"/>
        </w:numPr>
        <w:spacing w:before="280" w:after="0"/>
        <w:rPr>
          <w:sz w:val="20"/>
          <w:szCs w:val="20"/>
        </w:rPr>
      </w:pPr>
      <w:r>
        <w:rPr>
          <w:sz w:val="20"/>
          <w:szCs w:val="20"/>
        </w:rPr>
        <w:t xml:space="preserve">Gössling </w:t>
      </w:r>
      <w:r>
        <w:rPr>
          <w:i/>
          <w:iCs/>
          <w:sz w:val="20"/>
          <w:szCs w:val="20"/>
        </w:rPr>
        <w:t>et al.</w:t>
      </w:r>
      <w:r>
        <w:rPr>
          <w:sz w:val="20"/>
          <w:szCs w:val="20"/>
        </w:rPr>
        <w:t xml:space="preserve"> (2024) fuel use uncertainty: ±10% (σ² = 0.0091)</w:t>
      </w:r>
    </w:p>
    <w:p>
      <w:pPr>
        <w:pStyle w:val="font-claude-response-body"/>
        <w:numPr>
          <w:ilvl w:val="0"/>
          <w:numId w:val="2"/>
        </w:numPr>
        <w:spacing w:before="0" w:after="280"/>
        <w:rPr>
          <w:sz w:val="20"/>
          <w:szCs w:val="20"/>
        </w:rPr>
      </w:pPr>
      <w:r>
        <w:rPr>
          <w:sz w:val="20"/>
          <w:szCs w:val="20"/>
        </w:rPr>
        <w:t>Proxy adjustment for business jet → UAS: ±12.5% (σ² = 0.0142)</w:t>
      </w:r>
    </w:p>
    <w:p>
      <w:pPr>
        <w:pStyle w:val="font-claude-response-body"/>
        <w:spacing w:before="280" w:after="280"/>
        <w:rPr>
          <w:sz w:val="20"/>
          <w:szCs w:val="20"/>
        </w:rPr>
      </w:pPr>
      <w:r>
        <w:rPr>
          <w:sz w:val="20"/>
          <w:szCs w:val="20"/>
        </w:rPr>
        <w:t xml:space="preserve">Combined: </w:t>
      </w:r>
    </w:p>
    <w:p>
      <w:pPr>
        <w:pStyle w:val="font-claude-response-body"/>
        <w:spacing w:before="280" w:after="280"/>
        <w:ind w:firstLine="720" w:left="720"/>
        <w:jc w:val="left"/>
        <w:rPr>
          <w:sz w:val="20"/>
          <w:szCs w:val="20"/>
        </w:rPr>
      </w:pPr>
      <w:r>
        <w:rPr/>
      </w:r>
      <m:oMathPara xmlns:m="http://schemas.openxmlformats.org/officeDocument/2006/math">
        <m:oMathParaPr>
          <m:jc m:val="left"/>
        </m:oMathParaPr>
        <m:oMath>
          <m:sSubSup>
            <m:e>
              <m:r>
                <w:rPr>
                  <w:rFonts w:ascii="Cambria Math" w:hAnsi="Cambria Math"/>
                </w:rPr>
                <m:t xml:space="preserve">σ</m:t>
              </m:r>
            </m:e>
            <m:sub>
              <m:r>
                <w:rPr>
                  <w:rFonts w:ascii="Cambria Math" w:hAnsi="Cambria Math"/>
                </w:rPr>
                <m:t xml:space="preserve">operations</m:t>
              </m:r>
            </m:sub>
            <m:sup>
              <m:r>
                <w:rPr>
                  <w:rFonts w:ascii="Cambria Math" w:hAnsi="Cambria Math"/>
                </w:rPr>
                <m:t xml:space="preserve">2</m:t>
              </m:r>
            </m:sup>
          </m:sSubSup>
          <m:r>
            <w:rPr>
              <w:rFonts w:ascii="Cambria Math" w:hAnsi="Cambria Math"/>
            </w:rPr>
            <m:t xml:space="preserve">=</m:t>
          </m:r>
          <m:r>
            <w:rPr>
              <w:rFonts w:ascii="Cambria Math" w:hAnsi="Cambria Math"/>
            </w:rPr>
            <m:t xml:space="preserve">0.023</m:t>
          </m:r>
        </m:oMath>
      </m:oMathPara>
    </w:p>
    <w:p>
      <w:pPr>
        <w:pStyle w:val="font-claude-response-body"/>
        <w:spacing w:before="280" w:after="280"/>
        <w:ind w:firstLine="720" w:left="720"/>
        <w:jc w:val="left"/>
        <w:rPr>
          <w:sz w:val="20"/>
          <w:szCs w:val="20"/>
        </w:rPr>
      </w:pPr>
      <w:r>
        <w:rPr/>
      </w:r>
      <m:oMathPara xmlns:m="http://schemas.openxmlformats.org/officeDocument/2006/math">
        <m:oMathParaPr>
          <m:jc m:val="left"/>
        </m:oMathParaPr>
        <m:oMath>
          <m:r>
            <w:rPr>
              <w:rFonts w:ascii="Cambria Math" w:hAnsi="Cambria Math"/>
            </w:rPr>
            <m:t xml:space="preserve">σ</m:t>
          </m:r>
          <m:r>
            <w:rPr>
              <w:rFonts w:ascii="Cambria Math" w:hAnsi="Cambria Math"/>
            </w:rPr>
            <m:t xml:space="preserve">=</m:t>
          </m:r>
          <m:r>
            <w:rPr>
              <w:rFonts w:ascii="Cambria Math" w:hAnsi="Cambria Math"/>
            </w:rPr>
            <m:t xml:space="preserve">0.153</m:t>
          </m:r>
        </m:oMath>
      </m:oMathPara>
    </w:p>
    <w:p>
      <w:pPr>
        <w:pStyle w:val="font-claude-response-body"/>
        <w:spacing w:before="280" w:after="280"/>
        <w:rPr>
          <w:sz w:val="20"/>
          <w:szCs w:val="20"/>
        </w:rPr>
      </w:pPr>
      <w:r>
        <w:rPr>
          <w:sz w:val="20"/>
          <w:szCs w:val="20"/>
        </w:rPr>
        <w:t xml:space="preserve">Manufacturing weighted variance: GWP-weighted average across all material categories and final assembly. </w:t>
      </w:r>
    </w:p>
    <w:p>
      <w:pPr>
        <w:pStyle w:val="font-claude-response-body"/>
        <w:spacing w:before="280" w:after="280"/>
        <w:rPr/>
      </w:pPr>
      <w:r>
        <w:rPr>
          <w:sz w:val="20"/>
          <w:szCs w:val="20"/>
        </w:rPr>
        <w:t>Since maintenance uses identical components to manufacturing, both phases use σ² = 0.00972, σ = 0.099.</w:t>
      </w:r>
      <w:r>
        <w:br w:type="page"/>
      </w:r>
    </w:p>
    <w:p>
      <w:pPr>
        <w:pStyle w:val="Normal"/>
        <w:spacing w:before="0" w:after="0"/>
        <w:rPr>
          <w:b/>
          <w:bCs/>
        </w:rPr>
      </w:pPr>
      <w:r>
        <w:rPr>
          <w:b/>
          <w:bCs/>
        </w:rPr>
        <w:t>Table S4. Monte Carlo uncertainty analysis using standard deviations</w:t>
      </w:r>
    </w:p>
    <w:p>
      <w:pPr>
        <w:pStyle w:val="Heading2"/>
        <w:spacing w:lineRule="auto" w:line="240"/>
        <w:jc w:val="left"/>
        <w:rPr>
          <w:rFonts w:ascii="Times New Roman" w:hAnsi="Times New Roman" w:eastAsia="" w:cs="Times New Roman" w:eastAsiaTheme="minorEastAsia"/>
          <w:i/>
          <w:i/>
          <w:iCs/>
          <w:color w:themeColor="text2" w:val="0E2841"/>
          <w:sz w:val="20"/>
          <w:szCs w:val="20"/>
        </w:rPr>
      </w:pPr>
      <w:r>
        <w:rPr>
          <w:rFonts w:eastAsia="" w:cs="Times New Roman" w:ascii="Times New Roman" w:hAnsi="Times New Roman" w:eastAsiaTheme="minorEastAsia"/>
          <w:i/>
          <w:iCs/>
          <w:color w:themeColor="text2" w:val="0E2841"/>
          <w:sz w:val="20"/>
          <w:szCs w:val="20"/>
        </w:rPr>
        <w:t>Table S4. Monte Carlo (MC) uncertainty analysis results using standard deviations from Table S3, following Weidema et al. (2013) methodology. Results from 10,000 Monte Carlo iterations sampling from lognormal distributions. All values are for a single aircraft.</w:t>
      </w:r>
    </w:p>
    <w:p>
      <w:pPr>
        <w:pStyle w:val="Normal"/>
        <w:rPr/>
      </w:pPr>
      <w:r>
        <w:rPr/>
      </w:r>
    </w:p>
    <w:tbl>
      <w:tblPr>
        <w:tblStyle w:val="ListTable6Colourful1"/>
        <w:tblW w:w="11907" w:type="dxa"/>
        <w:jc w:val="left"/>
        <w:tblInd w:w="0" w:type="dxa"/>
        <w:tblLayout w:type="fixed"/>
        <w:tblCellMar>
          <w:top w:w="0" w:type="dxa"/>
          <w:left w:w="108" w:type="dxa"/>
          <w:bottom w:w="0" w:type="dxa"/>
          <w:right w:w="108" w:type="dxa"/>
        </w:tblCellMar>
        <w:tblLook w:firstRow="1" w:noVBand="1" w:lastRow="0" w:firstColumn="0" w:lastColumn="0" w:noHBand="1" w:val="0620"/>
      </w:tblPr>
      <w:tblGrid>
        <w:gridCol w:w="3261"/>
        <w:gridCol w:w="2161"/>
        <w:gridCol w:w="2161"/>
        <w:gridCol w:w="2161"/>
        <w:gridCol w:w="2163"/>
      </w:tblGrid>
      <w:tr>
        <w:trPr>
          <w:cnfStyle w:val="100000000000" w:firstRow="1" w:lastRow="0" w:firstColumn="0" w:lastColumn="0" w:oddVBand="0" w:evenVBand="0" w:oddHBand="0" w:evenHBand="0" w:firstRowFirstColumn="0" w:firstRowLastColumn="0" w:lastRowFirstColumn="0" w:lastRowLastColumn="0"/>
        </w:trPr>
        <w:tc>
          <w:tcPr>
            <w:tcW w:w="3261" w:type="dxa"/>
            <w:tcBorders/>
          </w:tcPr>
          <w:p>
            <w:pPr>
              <w:pStyle w:val="Normal"/>
              <w:widowControl/>
              <w:spacing w:before="120" w:after="120"/>
              <w:jc w:val="left"/>
              <w:rPr>
                <w:sz w:val="20"/>
                <w:szCs w:val="18"/>
                <w:lang w:val="en-AU"/>
              </w:rPr>
            </w:pPr>
            <w:r>
              <w:rPr>
                <w:b/>
                <w:bCs/>
                <w:color w:val="000000"/>
                <w:kern w:val="0"/>
                <w:sz w:val="20"/>
                <w:szCs w:val="18"/>
                <w:lang w:val="en-AU" w:bidi="ar-SA"/>
              </w:rPr>
              <w:t>Lifecycle Phase</w:t>
            </w:r>
          </w:p>
        </w:tc>
        <w:tc>
          <w:tcPr>
            <w:tcW w:w="2161" w:type="dxa"/>
            <w:tcBorders/>
          </w:tcPr>
          <w:p>
            <w:pPr>
              <w:pStyle w:val="Normal"/>
              <w:widowControl/>
              <w:spacing w:before="120" w:after="120"/>
              <w:jc w:val="center"/>
              <w:rPr>
                <w:sz w:val="20"/>
                <w:szCs w:val="18"/>
                <w:lang w:val="en-AU"/>
              </w:rPr>
            </w:pPr>
            <w:r>
              <w:rPr>
                <w:b/>
                <w:bCs/>
                <w:color w:val="000000"/>
                <w:kern w:val="0"/>
                <w:sz w:val="20"/>
                <w:szCs w:val="18"/>
                <w:lang w:val="en-AU" w:bidi="ar-SA"/>
              </w:rPr>
              <w:t>Baseline (tCO₂e)</w:t>
            </w:r>
          </w:p>
        </w:tc>
        <w:tc>
          <w:tcPr>
            <w:tcW w:w="2161" w:type="dxa"/>
            <w:tcBorders/>
          </w:tcPr>
          <w:p>
            <w:pPr>
              <w:pStyle w:val="Normal"/>
              <w:widowControl/>
              <w:spacing w:before="120" w:after="120"/>
              <w:jc w:val="center"/>
              <w:rPr>
                <w:sz w:val="20"/>
                <w:szCs w:val="18"/>
                <w:lang w:val="en-AU"/>
              </w:rPr>
            </w:pPr>
            <w:r>
              <w:rPr>
                <w:b/>
                <w:bCs/>
                <w:color w:val="000000"/>
                <w:kern w:val="0"/>
                <w:sz w:val="20"/>
                <w:szCs w:val="18"/>
                <w:lang w:val="en-AU" w:bidi="ar-SA"/>
              </w:rPr>
              <w:t>MC Median (tCO₂e)</w:t>
            </w:r>
          </w:p>
        </w:tc>
        <w:tc>
          <w:tcPr>
            <w:tcW w:w="2161" w:type="dxa"/>
            <w:tcBorders/>
          </w:tcPr>
          <w:p>
            <w:pPr>
              <w:pStyle w:val="Normal"/>
              <w:widowControl/>
              <w:spacing w:before="120" w:after="120"/>
              <w:jc w:val="center"/>
              <w:rPr>
                <w:sz w:val="20"/>
                <w:szCs w:val="18"/>
                <w:lang w:val="en-AU"/>
              </w:rPr>
            </w:pPr>
            <w:r>
              <w:rPr>
                <w:b/>
                <w:bCs/>
                <w:color w:val="000000"/>
                <w:kern w:val="0"/>
                <w:sz w:val="20"/>
                <w:szCs w:val="18"/>
                <w:lang w:val="en-AU" w:bidi="ar-SA"/>
              </w:rPr>
              <w:t>95% CI (tCO₂e)</w:t>
            </w:r>
          </w:p>
        </w:tc>
        <w:tc>
          <w:tcPr>
            <w:tcW w:w="2163" w:type="dxa"/>
            <w:tcBorders/>
          </w:tcPr>
          <w:p>
            <w:pPr>
              <w:pStyle w:val="Normal"/>
              <w:widowControl/>
              <w:spacing w:before="120" w:after="120"/>
              <w:jc w:val="center"/>
              <w:rPr>
                <w:sz w:val="20"/>
                <w:szCs w:val="18"/>
                <w:lang w:val="en-AU"/>
              </w:rPr>
            </w:pPr>
            <w:r>
              <w:rPr>
                <w:b/>
                <w:bCs/>
                <w:color w:val="000000"/>
                <w:kern w:val="0"/>
                <w:sz w:val="20"/>
                <w:szCs w:val="18"/>
                <w:lang w:val="en-AU" w:bidi="ar-SA"/>
              </w:rPr>
              <w:t>Uncertainty (±%)</w:t>
            </w:r>
          </w:p>
        </w:tc>
      </w:tr>
      <w:tr>
        <w:trPr/>
        <w:tc>
          <w:tcPr>
            <w:tcW w:w="3261" w:type="dxa"/>
            <w:tcBorders>
              <w:top w:val="nil"/>
              <w:bottom w:val="nil"/>
            </w:tcBorders>
          </w:tcPr>
          <w:p>
            <w:pPr>
              <w:pStyle w:val="Normal"/>
              <w:widowControl/>
              <w:spacing w:before="120" w:after="120"/>
              <w:jc w:val="left"/>
              <w:rPr>
                <w:sz w:val="20"/>
                <w:szCs w:val="18"/>
                <w:lang w:val="en-AU"/>
              </w:rPr>
            </w:pPr>
            <w:r>
              <w:rPr>
                <w:color w:val="000000"/>
                <w:kern w:val="0"/>
                <w:sz w:val="20"/>
                <w:szCs w:val="18"/>
                <w:lang w:val="en-AU" w:bidi="ar-SA"/>
              </w:rPr>
              <w:t>Manufacturing</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70.9</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70.7</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[58.5, 85.7]</w:t>
            </w:r>
          </w:p>
        </w:tc>
        <w:tc>
          <w:tcPr>
            <w:tcW w:w="2163"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19.3%</w:t>
            </w:r>
          </w:p>
        </w:tc>
      </w:tr>
      <w:tr>
        <w:trPr/>
        <w:tc>
          <w:tcPr>
            <w:tcW w:w="3261" w:type="dxa"/>
            <w:tcBorders>
              <w:top w:val="nil"/>
              <w:bottom w:val="nil"/>
            </w:tcBorders>
          </w:tcPr>
          <w:p>
            <w:pPr>
              <w:pStyle w:val="Normal"/>
              <w:widowControl/>
              <w:spacing w:before="120" w:after="120"/>
              <w:jc w:val="left"/>
              <w:rPr>
                <w:sz w:val="20"/>
                <w:szCs w:val="18"/>
                <w:lang w:val="en-AU"/>
              </w:rPr>
            </w:pPr>
            <w:r>
              <w:rPr>
                <w:color w:val="000000"/>
                <w:kern w:val="0"/>
                <w:sz w:val="20"/>
                <w:szCs w:val="18"/>
                <w:lang w:val="en-AU" w:bidi="ar-SA"/>
              </w:rPr>
              <w:t>Maintenance</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70.9</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70.7</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[58.5, 85.7]</w:t>
            </w:r>
          </w:p>
        </w:tc>
        <w:tc>
          <w:tcPr>
            <w:tcW w:w="2163"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19.3%</w:t>
            </w:r>
          </w:p>
        </w:tc>
      </w:tr>
      <w:tr>
        <w:trPr/>
        <w:tc>
          <w:tcPr>
            <w:tcW w:w="3261" w:type="dxa"/>
            <w:tcBorders>
              <w:top w:val="nil"/>
              <w:bottom w:val="nil"/>
            </w:tcBorders>
          </w:tcPr>
          <w:p>
            <w:pPr>
              <w:pStyle w:val="Normal"/>
              <w:widowControl/>
              <w:spacing w:before="120" w:after="120"/>
              <w:jc w:val="left"/>
              <w:rPr>
                <w:sz w:val="20"/>
                <w:szCs w:val="18"/>
                <w:lang w:val="en-AU"/>
              </w:rPr>
            </w:pPr>
            <w:r>
              <w:rPr>
                <w:color w:val="000000"/>
                <w:kern w:val="0"/>
                <w:sz w:val="20"/>
                <w:szCs w:val="18"/>
                <w:lang w:val="en-AU" w:bidi="ar-SA"/>
              </w:rPr>
              <w:t>Operations</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116.9</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115.8</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[85.9, 155.7]</w:t>
            </w:r>
          </w:p>
        </w:tc>
        <w:tc>
          <w:tcPr>
            <w:tcW w:w="2163"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30.1%</w:t>
            </w:r>
          </w:p>
        </w:tc>
      </w:tr>
      <w:tr>
        <w:trPr/>
        <w:tc>
          <w:tcPr>
            <w:tcW w:w="3261" w:type="dxa"/>
            <w:tcBorders>
              <w:top w:val="nil"/>
              <w:bottom w:val="nil"/>
            </w:tcBorders>
          </w:tcPr>
          <w:p>
            <w:pPr>
              <w:pStyle w:val="Normal"/>
              <w:widowControl/>
              <w:spacing w:before="120" w:after="120"/>
              <w:jc w:val="left"/>
              <w:rPr>
                <w:sz w:val="20"/>
                <w:szCs w:val="18"/>
                <w:lang w:val="en-AU"/>
              </w:rPr>
            </w:pPr>
            <w:r>
              <w:rPr>
                <w:color w:val="000000"/>
                <w:kern w:val="0"/>
                <w:sz w:val="20"/>
                <w:szCs w:val="18"/>
                <w:lang w:val="en-AU" w:bidi="ar-SA"/>
              </w:rPr>
              <w:t>End-of-life</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6.4</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6.4</w:t>
            </w:r>
          </w:p>
        </w:tc>
        <w:tc>
          <w:tcPr>
            <w:tcW w:w="2161"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[4.2, 9.5]</w:t>
            </w:r>
          </w:p>
        </w:tc>
        <w:tc>
          <w:tcPr>
            <w:tcW w:w="2163" w:type="dxa"/>
            <w:tcBorders>
              <w:top w:val="nil"/>
              <w:bottom w:val="nil"/>
            </w:tcBorders>
          </w:tcPr>
          <w:p>
            <w:pPr>
              <w:pStyle w:val="Normal"/>
              <w:widowControl/>
              <w:spacing w:before="120" w:after="120"/>
              <w:jc w:val="center"/>
              <w:rPr>
                <w:sz w:val="20"/>
                <w:szCs w:val="18"/>
                <w:lang w:val="en-AU"/>
              </w:rPr>
            </w:pPr>
            <w:r>
              <w:rPr>
                <w:color w:val="000000"/>
                <w:kern w:val="0"/>
                <w:sz w:val="20"/>
                <w:szCs w:val="18"/>
                <w:lang w:val="en-AU" w:bidi="ar-SA"/>
              </w:rPr>
              <w:t>41.2%</w:t>
            </w:r>
          </w:p>
        </w:tc>
      </w:tr>
      <w:tr>
        <w:trPr/>
        <w:tc>
          <w:tcPr>
            <w:tcW w:w="3261" w:type="dxa"/>
            <w:tcBorders>
              <w:top w:val="nil"/>
            </w:tcBorders>
          </w:tcPr>
          <w:p>
            <w:pPr>
              <w:pStyle w:val="Normal"/>
              <w:widowControl/>
              <w:spacing w:before="120" w:after="120"/>
              <w:jc w:val="left"/>
              <w:rPr>
                <w:b/>
                <w:bCs/>
                <w:sz w:val="20"/>
                <w:szCs w:val="18"/>
                <w:lang w:val="en-AU"/>
              </w:rPr>
            </w:pPr>
            <w:r>
              <w:rPr>
                <w:rStyle w:val="Strong"/>
                <w:b w:val="false"/>
                <w:bCs w:val="false"/>
                <w:color w:val="000000"/>
                <w:kern w:val="0"/>
                <w:sz w:val="20"/>
                <w:szCs w:val="18"/>
                <w:lang w:val="en-AU" w:bidi="ar-SA"/>
              </w:rPr>
              <w:t>Non-operational total (manufacturing + maintenance + end-of-life)</w:t>
            </w:r>
          </w:p>
        </w:tc>
        <w:tc>
          <w:tcPr>
            <w:tcW w:w="2161" w:type="dxa"/>
            <w:tcBorders>
              <w:top w:val="nil"/>
            </w:tcBorders>
          </w:tcPr>
          <w:p>
            <w:pPr>
              <w:pStyle w:val="Normal"/>
              <w:widowControl/>
              <w:spacing w:before="120" w:after="120"/>
              <w:jc w:val="center"/>
              <w:rPr>
                <w:b/>
                <w:bCs/>
                <w:sz w:val="20"/>
                <w:szCs w:val="18"/>
                <w:lang w:val="en-AU"/>
              </w:rPr>
            </w:pPr>
            <w:r>
              <w:rPr>
                <w:rStyle w:val="Strong"/>
                <w:b w:val="false"/>
                <w:bCs w:val="false"/>
                <w:color w:val="000000"/>
                <w:kern w:val="0"/>
                <w:sz w:val="20"/>
                <w:szCs w:val="18"/>
                <w:lang w:val="en-AU" w:bidi="ar-SA"/>
              </w:rPr>
              <w:t>148.3</w:t>
            </w:r>
          </w:p>
        </w:tc>
        <w:tc>
          <w:tcPr>
            <w:tcW w:w="2161" w:type="dxa"/>
            <w:tcBorders>
              <w:top w:val="nil"/>
            </w:tcBorders>
          </w:tcPr>
          <w:p>
            <w:pPr>
              <w:pStyle w:val="Normal"/>
              <w:widowControl/>
              <w:spacing w:before="120" w:after="120"/>
              <w:jc w:val="center"/>
              <w:rPr>
                <w:b/>
                <w:bCs/>
                <w:sz w:val="20"/>
                <w:szCs w:val="18"/>
                <w:lang w:val="en-AU"/>
              </w:rPr>
            </w:pPr>
            <w:r>
              <w:rPr>
                <w:rStyle w:val="Strong"/>
                <w:b w:val="false"/>
                <w:bCs w:val="false"/>
                <w:color w:val="000000"/>
                <w:kern w:val="0"/>
                <w:sz w:val="20"/>
                <w:szCs w:val="18"/>
                <w:lang w:val="en-AU" w:bidi="ar-SA"/>
              </w:rPr>
              <w:t>148.0</w:t>
            </w:r>
          </w:p>
        </w:tc>
        <w:tc>
          <w:tcPr>
            <w:tcW w:w="2161" w:type="dxa"/>
            <w:tcBorders>
              <w:top w:val="nil"/>
            </w:tcBorders>
          </w:tcPr>
          <w:p>
            <w:pPr>
              <w:pStyle w:val="Normal"/>
              <w:widowControl/>
              <w:spacing w:before="120" w:after="120"/>
              <w:jc w:val="center"/>
              <w:rPr>
                <w:b/>
                <w:bCs/>
                <w:sz w:val="20"/>
                <w:szCs w:val="18"/>
                <w:lang w:val="en-AU"/>
              </w:rPr>
            </w:pPr>
            <w:r>
              <w:rPr>
                <w:rStyle w:val="Strong"/>
                <w:b w:val="false"/>
                <w:bCs w:val="false"/>
                <w:color w:val="000000"/>
                <w:kern w:val="0"/>
                <w:sz w:val="20"/>
                <w:szCs w:val="18"/>
                <w:lang w:val="en-AU" w:bidi="ar-SA"/>
              </w:rPr>
              <w:t>[123.2, 177.8]</w:t>
            </w:r>
          </w:p>
        </w:tc>
        <w:tc>
          <w:tcPr>
            <w:tcW w:w="2163" w:type="dxa"/>
            <w:tcBorders>
              <w:top w:val="nil"/>
            </w:tcBorders>
          </w:tcPr>
          <w:p>
            <w:pPr>
              <w:pStyle w:val="Normal"/>
              <w:widowControl/>
              <w:spacing w:before="120" w:after="120"/>
              <w:jc w:val="center"/>
              <w:rPr>
                <w:b/>
                <w:bCs/>
                <w:sz w:val="20"/>
                <w:szCs w:val="18"/>
                <w:lang w:val="en-AU"/>
              </w:rPr>
            </w:pPr>
            <w:r>
              <w:rPr>
                <w:rStyle w:val="Strong"/>
                <w:b w:val="false"/>
                <w:bCs w:val="false"/>
                <w:color w:val="000000"/>
                <w:kern w:val="0"/>
                <w:sz w:val="20"/>
                <w:szCs w:val="18"/>
                <w:lang w:val="en-AU" w:bidi="ar-SA"/>
              </w:rPr>
              <w:t>18.4%</w:t>
            </w:r>
          </w:p>
        </w:tc>
      </w:tr>
      <w:tr>
        <w:trPr/>
        <w:tc>
          <w:tcPr>
            <w:tcW w:w="3261" w:type="dxa"/>
            <w:tcBorders/>
          </w:tcPr>
          <w:p>
            <w:pPr>
              <w:pStyle w:val="Normal"/>
              <w:widowControl/>
              <w:spacing w:before="120" w:after="120"/>
              <w:jc w:val="left"/>
              <w:rPr>
                <w:sz w:val="20"/>
                <w:szCs w:val="18"/>
                <w:lang w:val="en-AU"/>
              </w:rPr>
            </w:pPr>
            <w:r>
              <w:rPr>
                <w:rStyle w:val="Strong"/>
                <w:color w:val="000000"/>
                <w:kern w:val="0"/>
                <w:sz w:val="20"/>
                <w:szCs w:val="18"/>
                <w:lang w:val="en-AU" w:bidi="ar-SA"/>
              </w:rPr>
              <w:t>Total lifecycle</w:t>
            </w:r>
          </w:p>
        </w:tc>
        <w:tc>
          <w:tcPr>
            <w:tcW w:w="2161" w:type="dxa"/>
            <w:tcBorders/>
          </w:tcPr>
          <w:p>
            <w:pPr>
              <w:pStyle w:val="Normal"/>
              <w:widowControl/>
              <w:spacing w:before="120" w:after="120"/>
              <w:jc w:val="center"/>
              <w:rPr>
                <w:sz w:val="20"/>
                <w:szCs w:val="18"/>
                <w:lang w:val="en-AU"/>
              </w:rPr>
            </w:pPr>
            <w:r>
              <w:rPr>
                <w:rStyle w:val="Strong"/>
                <w:color w:val="000000"/>
                <w:kern w:val="0"/>
                <w:sz w:val="20"/>
                <w:szCs w:val="18"/>
                <w:lang w:val="en-AU" w:bidi="ar-SA"/>
              </w:rPr>
              <w:t>265.2</w:t>
            </w:r>
          </w:p>
        </w:tc>
        <w:tc>
          <w:tcPr>
            <w:tcW w:w="2161" w:type="dxa"/>
            <w:tcBorders/>
          </w:tcPr>
          <w:p>
            <w:pPr>
              <w:pStyle w:val="Normal"/>
              <w:widowControl/>
              <w:spacing w:before="120" w:after="120"/>
              <w:jc w:val="center"/>
              <w:rPr>
                <w:sz w:val="20"/>
                <w:szCs w:val="18"/>
                <w:lang w:val="en-AU"/>
              </w:rPr>
            </w:pPr>
            <w:r>
              <w:rPr>
                <w:rStyle w:val="Strong"/>
                <w:color w:val="000000"/>
                <w:kern w:val="0"/>
                <w:sz w:val="20"/>
                <w:szCs w:val="18"/>
                <w:lang w:val="en-AU" w:bidi="ar-SA"/>
              </w:rPr>
              <w:t>264.7</w:t>
            </w:r>
          </w:p>
        </w:tc>
        <w:tc>
          <w:tcPr>
            <w:tcW w:w="2161" w:type="dxa"/>
            <w:tcBorders/>
          </w:tcPr>
          <w:p>
            <w:pPr>
              <w:pStyle w:val="Normal"/>
              <w:widowControl/>
              <w:spacing w:before="120" w:after="120"/>
              <w:jc w:val="center"/>
              <w:rPr>
                <w:sz w:val="20"/>
                <w:szCs w:val="18"/>
                <w:lang w:val="en-AU"/>
              </w:rPr>
            </w:pPr>
            <w:r>
              <w:rPr>
                <w:rStyle w:val="Strong"/>
                <w:color w:val="000000"/>
                <w:kern w:val="0"/>
                <w:sz w:val="20"/>
                <w:szCs w:val="18"/>
                <w:lang w:val="en-AU" w:bidi="ar-SA"/>
              </w:rPr>
              <w:t>[224.4, 313.6]</w:t>
            </w:r>
          </w:p>
        </w:tc>
        <w:tc>
          <w:tcPr>
            <w:tcW w:w="2163" w:type="dxa"/>
            <w:tcBorders/>
          </w:tcPr>
          <w:p>
            <w:pPr>
              <w:pStyle w:val="Normal"/>
              <w:widowControl/>
              <w:spacing w:before="120" w:after="120"/>
              <w:jc w:val="center"/>
              <w:rPr>
                <w:sz w:val="20"/>
                <w:szCs w:val="18"/>
                <w:lang w:val="en-AU"/>
              </w:rPr>
            </w:pPr>
            <w:r>
              <w:rPr>
                <w:rStyle w:val="Strong"/>
                <w:color w:val="000000"/>
                <w:kern w:val="0"/>
                <w:sz w:val="20"/>
                <w:szCs w:val="18"/>
                <w:lang w:val="en-AU" w:bidi="ar-SA"/>
              </w:rPr>
              <w:t>16.8%</w:t>
            </w:r>
          </w:p>
        </w:tc>
      </w:tr>
    </w:tbl>
    <w:p>
      <w:pPr>
        <w:pStyle w:val="Normal"/>
        <w:spacing w:lineRule="auto" w:line="360"/>
        <w:ind w:firstLine="720"/>
        <w:rPr/>
      </w:pPr>
      <w:r>
        <w:rPr/>
      </w:r>
    </w:p>
    <w:p>
      <w:pPr>
        <w:pStyle w:val="Normal"/>
        <w:spacing w:lineRule="auto" w:line="360" w:before="0" w:after="240"/>
        <w:rPr>
          <w:b/>
          <w:bCs/>
          <w:sz w:val="20"/>
          <w:szCs w:val="20"/>
        </w:rPr>
      </w:pPr>
      <w:r>
        <w:rPr>
          <w:b/>
          <w:bCs/>
          <w:sz w:val="20"/>
          <w:szCs w:val="20"/>
        </w:rPr>
        <w:t>Notes:</w:t>
      </w:r>
    </w:p>
    <w:p>
      <w:pPr>
        <w:pStyle w:val="Normal"/>
        <w:spacing w:lineRule="auto" w:line="360" w:before="0" w:after="240"/>
        <w:rPr>
          <w:sz w:val="20"/>
          <w:szCs w:val="20"/>
        </w:rPr>
      </w:pPr>
      <w:r>
        <w:rPr>
          <w:sz w:val="20"/>
          <w:szCs w:val="20"/>
        </w:rPr>
        <w:t>The Monte Carlo simulation confirms the accuracy of the lifecycle calculations. The Monte Carlo median (264.7 tCO₂e) aligns well with the total in Table 3 of the manuscript (265.2 tCO₂e), confirming that the variance calculations and lognormal distribution assumptions appropriately represent the life cycle inventory (LCI) uncertainties.</w:t>
      </w:r>
    </w:p>
    <w:p>
      <w:pPr>
        <w:pStyle w:val="Normal"/>
        <w:spacing w:lineRule="auto" w:line="360" w:before="0" w:after="240"/>
        <w:ind w:firstLine="720"/>
        <w:rPr>
          <w:sz w:val="20"/>
          <w:szCs w:val="20"/>
        </w:rPr>
      </w:pPr>
      <w:r>
        <w:rPr>
          <w:sz w:val="20"/>
          <w:szCs w:val="20"/>
        </w:rPr>
        <w:t>The manufacturing and maintenance phases show identical median, confidence intervals, and uncertainty due to the spare parts approach used for maintenance modelling (Section 2.2.5). The Monte Carlo simulation properly accounted for this “perfect” correlation by using identical samples for both phases - when manufacturing emissions are high in a given iteration, maintenance emissions are identically high.</w:t>
      </w:r>
    </w:p>
    <w:p>
      <w:pPr>
        <w:pStyle w:val="Normal"/>
        <w:spacing w:lineRule="auto" w:line="360" w:before="0" w:after="240"/>
        <w:ind w:firstLine="720"/>
        <w:rPr>
          <w:sz w:val="20"/>
          <w:szCs w:val="20"/>
        </w:rPr>
      </w:pPr>
      <w:r>
        <w:rPr>
          <w:sz w:val="20"/>
          <w:szCs w:val="20"/>
        </w:rPr>
        <w:t>The uncertainty analysis demonstrates that non-operational phases dominate UAS lifecycle emissions regardless of uncertainty bounds. Non-operational phases contribute 56.1% of lifecycle emissions with a 95% confidence interval of 47.4% to 64.6%. Even at the lower bound of 47.4%, non-operational emissions exceed the commercial aircraft baseline of less than 5% by a factor of 9.5, confirming that this fundamental difference between military UAS and commercial aircraft persists across the entire uncertainty range.</w:t>
      </w:r>
    </w:p>
    <w:p>
      <w:pPr>
        <w:pStyle w:val="Normal"/>
        <w:spacing w:lineRule="auto" w:line="360" w:before="0" w:after="240"/>
        <w:ind w:firstLine="720"/>
        <w:rPr>
          <w:sz w:val="20"/>
          <w:szCs w:val="20"/>
        </w:rPr>
      </w:pPr>
      <w:r>
        <w:rPr>
          <w:sz w:val="20"/>
          <w:szCs w:val="20"/>
        </w:rPr>
        <w:t xml:space="preserve">The magnitude of uncertainty differs across lifecycle phases based on data sources. Manufacturing and maintenance phases show moderate uncertainty (±19%), reflecting primary measurements at the OEM facility combined with validated secondary data for supply chain processes (reliability scores 1.0-2.9, Table S2). The operations phase shows higher uncertainty (±30%) because it combines Gössling </w:t>
      </w:r>
      <w:r>
        <w:rPr>
          <w:i/>
          <w:sz w:val="20"/>
          <w:szCs w:val="20"/>
        </w:rPr>
        <w:t>et al.</w:t>
      </w:r>
      <w:r>
        <w:rPr>
          <w:sz w:val="20"/>
          <w:szCs w:val="20"/>
        </w:rPr>
        <w:t xml:space="preserve"> (2024) fuel data uncertainty with additional proxy adjustment uncertainty for applying business jet emissions to the military UAS. The end-of-life phase shows the highest uncertainty (±41%) due to the assumption-based 100% incineration scenario with limited validation data available (reliability 3.0, technology 4.0, Table S2).</w:t>
      </w:r>
    </w:p>
    <w:p>
      <w:pPr>
        <w:pStyle w:val="Normal"/>
        <w:spacing w:lineRule="auto" w:line="360" w:before="0" w:after="240"/>
        <w:ind w:firstLine="720"/>
        <w:rPr>
          <w:b/>
          <w:bCs/>
          <w:sz w:val="20"/>
          <w:szCs w:val="20"/>
        </w:rPr>
      </w:pPr>
      <w:r>
        <w:rPr>
          <w:sz w:val="20"/>
          <w:szCs w:val="20"/>
        </w:rPr>
        <w:t xml:space="preserve">Following Weidema </w:t>
      </w:r>
      <w:r>
        <w:rPr>
          <w:i/>
          <w:sz w:val="20"/>
          <w:szCs w:val="20"/>
        </w:rPr>
        <w:t>et al.</w:t>
      </w:r>
      <w:r>
        <w:rPr>
          <w:sz w:val="20"/>
          <w:szCs w:val="20"/>
        </w:rPr>
        <w:t xml:space="preserve"> (2013) Section 10.4, we used lognormal distributions for Monte Carlo simulation with 10,000 iterations. Each phase was sampled using its Table 3 value as the median and σ from Table S3 as the standard deviation of the underlying normal distribution. The 95% confidence intervals represent the 2.5th and 97.5th percentiles of the simulation results.</w:t>
      </w:r>
      <w:r>
        <w:rPr>
          <w:b/>
          <w:bCs/>
          <w:sz w:val="15"/>
          <w:szCs w:val="20"/>
        </w:rPr>
        <w:t xml:space="preserve"> </w:t>
      </w:r>
      <w:r>
        <w:br w:type="page"/>
      </w:r>
    </w:p>
    <w:p>
      <w:pPr>
        <w:pStyle w:val="Normal"/>
        <w:spacing w:before="0" w:after="0"/>
        <w:rPr>
          <w:b/>
          <w:bCs/>
        </w:rPr>
      </w:pPr>
      <w:r>
        <w:rPr>
          <w:b/>
          <w:bCs/>
        </w:rPr>
        <w:t>Table S5. Complete ReCiPe 2016 environmental impact categories</w:t>
      </w:r>
    </w:p>
    <w:p>
      <w:pPr>
        <w:pStyle w:val="Caption"/>
        <w:rPr>
          <w:rFonts w:cs="Times New Roman"/>
        </w:rPr>
      </w:pPr>
      <w:r>
        <w:rPr>
          <w:rFonts w:cs="Times New Roman"/>
        </w:rPr>
        <w:t xml:space="preserve">Table S5. </w:t>
      </w:r>
      <w:r>
        <w:rPr/>
        <w:t>Complete environmental impact assessment for single UAS aircraft across all 18 ReCiPe 2016 v1.1 midpoint impact categories (Hierarchist perspective). Manufacturing values (i.e, “Composites” through “Miscellaneous”, including “Final Assy”) include both initial aircraft production and lifetime maintenance spare parts inventory equivalent to a second aircraft (see manuscript Section 2.2.5). End-of-life (EOL) values represent single aircraft disposal only. Operational phase impacts are excluded (assessed separately using parametric analysis; see manuscript Section 2.2.4). See Table S6 for normalised impacts and relative significance assessment.</w:t>
      </w:r>
    </w:p>
    <w:tbl>
      <w:tblPr>
        <w:tblStyle w:val="ListTable6Colourful1"/>
        <w:tblW w:w="14034"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2834"/>
        <w:gridCol w:w="1276"/>
        <w:gridCol w:w="1277"/>
        <w:gridCol w:w="1134"/>
        <w:gridCol w:w="1276"/>
        <w:gridCol w:w="849"/>
        <w:gridCol w:w="1277"/>
        <w:gridCol w:w="1134"/>
        <w:gridCol w:w="849"/>
        <w:gridCol w:w="1134"/>
        <w:gridCol w:w="992"/>
      </w:tblGrid>
      <w:tr>
        <w:trPr>
          <w:tblHeader w:val="true"/>
          <w:trHeight w:val="300" w:hRule="atLeast"/>
          <w:cantSplit w:val="true"/>
          <w:cnfStyle w:val="100000000000" w:firstRow="1" w:lastRow="0" w:firstColumn="0" w:lastColumn="0" w:oddVBand="0" w:evenVBand="0" w:oddHBand="0" w:evenHBand="0" w:firstRowFirstColumn="0" w:firstRowLastColumn="0" w:lastRowFirstColumn="0" w:lastRowLastColumn="0"/>
        </w:trPr>
        <w:tc>
          <w:tcPr>
            <w:tcW w:w="2834"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spacing w:before="120" w:after="120"/>
              <w:jc w:val="left"/>
              <w:rPr>
                <w:color w:val="auto"/>
                <w:sz w:val="20"/>
                <w:szCs w:val="20"/>
                <w:lang w:val="en-AU"/>
              </w:rPr>
            </w:pPr>
            <w:r>
              <w:rPr>
                <w:b/>
                <w:bCs/>
                <w:color w:val="auto"/>
                <w:kern w:val="0"/>
                <w:sz w:val="20"/>
                <w:szCs w:val="20"/>
                <w:lang w:val="en-AU" w:bidi="ar-SA"/>
              </w:rPr>
              <w:t>Impact Indicator</w:t>
            </w:r>
          </w:p>
        </w:tc>
        <w:tc>
          <w:tcPr>
            <w:tcW w:w="1276"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Composites</w:t>
            </w:r>
          </w:p>
        </w:tc>
        <w:tc>
          <w:tcPr>
            <w:tcW w:w="1277"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Aluminium</w:t>
            </w:r>
          </w:p>
        </w:tc>
        <w:tc>
          <w:tcPr>
            <w:tcW w:w="1134"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Titanium</w:t>
            </w:r>
          </w:p>
        </w:tc>
        <w:tc>
          <w:tcPr>
            <w:tcW w:w="1276"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Superalloys</w:t>
            </w:r>
          </w:p>
        </w:tc>
        <w:tc>
          <w:tcPr>
            <w:tcW w:w="849"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CRES</w:t>
            </w:r>
          </w:p>
        </w:tc>
        <w:tc>
          <w:tcPr>
            <w:tcW w:w="1277"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Electronics</w:t>
            </w:r>
          </w:p>
        </w:tc>
        <w:tc>
          <w:tcPr>
            <w:tcW w:w="1134"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Electrical</w:t>
            </w:r>
          </w:p>
        </w:tc>
        <w:tc>
          <w:tcPr>
            <w:tcW w:w="849"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Misc</w:t>
            </w:r>
          </w:p>
        </w:tc>
        <w:tc>
          <w:tcPr>
            <w:tcW w:w="1134"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Final Assy</w:t>
            </w:r>
          </w:p>
        </w:tc>
        <w:tc>
          <w:tcPr>
            <w:tcW w:w="992"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EOL</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Climate change, excl biogenic carbon</w:t>
            </w:r>
            <w:r>
              <w:rPr>
                <w:b w:val="false"/>
                <w:bCs w:val="false"/>
                <w:color w:val="000000"/>
                <w:kern w:val="0"/>
                <w:sz w:val="20"/>
                <w:szCs w:val="20"/>
                <w:lang w:val="en-AU" w:bidi="ar-SA"/>
              </w:rPr>
              <w:t xml:space="preserve"> </w:t>
            </w:r>
            <w:r>
              <w:rPr>
                <w:b/>
                <w:bCs/>
                <w:color w:val="000000"/>
                <w:kern w:val="0"/>
                <w:sz w:val="20"/>
                <w:szCs w:val="20"/>
                <w:lang w:val="en-AU" w:bidi="ar-SA"/>
              </w:rPr>
              <w:t>[kg CO2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48,383</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30,836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8,726</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8,654</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8,589</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5,290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3,953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1,982</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25,479</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6,445</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Climate change, incl biogenic carbon</w:t>
            </w:r>
            <w:r>
              <w:rPr>
                <w:b w:val="false"/>
                <w:bCs w:val="false"/>
                <w:color w:val="000000"/>
                <w:kern w:val="0"/>
                <w:sz w:val="20"/>
                <w:szCs w:val="20"/>
                <w:lang w:val="en-AU" w:bidi="ar-SA"/>
              </w:rPr>
              <w:t xml:space="preserve"> </w:t>
            </w:r>
            <w:r>
              <w:rPr>
                <w:b/>
                <w:bCs/>
                <w:color w:val="000000"/>
                <w:kern w:val="0"/>
                <w:sz w:val="20"/>
                <w:szCs w:val="20"/>
                <w:lang w:val="en-AU" w:bidi="ar-SA"/>
              </w:rPr>
              <w:t>[kg CO2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48,396</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30,726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8,724</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8,645</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8,580</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5,289</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3,944</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1,974</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25,478</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6,444</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Fine Particulate Matter Formation [kg PM2.5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24.6</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4.41</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77.6</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11.8</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5.51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8.83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1.12</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0.60</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Fossil depletion</w:t>
            </w:r>
            <w:r>
              <w:rPr>
                <w:b w:val="false"/>
                <w:bCs w:val="false"/>
                <w:color w:val="000000"/>
                <w:kern w:val="0"/>
                <w:sz w:val="20"/>
                <w:szCs w:val="20"/>
                <w:lang w:val="en-AU" w:bidi="ar-SA"/>
              </w:rPr>
              <w:t xml:space="preserve"> </w:t>
            </w:r>
            <w:r>
              <w:rPr>
                <w:b/>
                <w:bCs/>
                <w:color w:val="000000"/>
                <w:kern w:val="0"/>
                <w:sz w:val="20"/>
                <w:szCs w:val="20"/>
                <w:lang w:val="en-AU" w:bidi="ar-SA"/>
              </w:rPr>
              <w:t>[kg oil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16,012</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8,736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2,083</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2,749</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2,474</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1,507</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1,373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656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5,831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113</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Freshwater Consumption</w:t>
            </w:r>
            <w:r>
              <w:rPr>
                <w:b w:val="false"/>
                <w:bCs w:val="false"/>
                <w:color w:val="000000"/>
                <w:kern w:val="0"/>
                <w:sz w:val="20"/>
                <w:szCs w:val="20"/>
                <w:lang w:val="en-AU" w:bidi="ar-SA"/>
              </w:rPr>
              <w:t xml:space="preserve"> </w:t>
            </w:r>
            <w:r>
              <w:rPr>
                <w:b/>
                <w:bCs/>
                <w:color w:val="000000"/>
                <w:kern w:val="0"/>
                <w:sz w:val="20"/>
                <w:szCs w:val="20"/>
                <w:lang w:val="en-AU" w:bidi="ar-SA"/>
              </w:rPr>
              <w:t>[m3]</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832</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129</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28.2</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60.7</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34.8</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32.9</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37.4</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4.19</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171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21.9</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Freshwater ecotoxicity</w:t>
            </w:r>
            <w:r>
              <w:rPr>
                <w:b w:val="false"/>
                <w:bCs w:val="false"/>
                <w:color w:val="000000"/>
                <w:kern w:val="0"/>
                <w:sz w:val="20"/>
                <w:szCs w:val="20"/>
                <w:lang w:val="en-AU" w:bidi="ar-SA"/>
              </w:rPr>
              <w:t xml:space="preserve"> </w:t>
            </w:r>
            <w:r>
              <w:rPr>
                <w:b/>
                <w:bCs/>
                <w:color w:val="000000"/>
                <w:kern w:val="0"/>
                <w:sz w:val="20"/>
                <w:szCs w:val="20"/>
                <w:lang w:val="en-AU" w:bidi="ar-SA"/>
              </w:rPr>
              <w:t>[kg 1,4 DB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3.98</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3.61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0.64</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49.0</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3.50</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2.34</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5.32</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0.36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0.05</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Freshwater Eutrophication</w:t>
            </w:r>
            <w:r>
              <w:rPr>
                <w:b w:val="false"/>
                <w:bCs w:val="false"/>
                <w:color w:val="000000"/>
                <w:kern w:val="0"/>
                <w:sz w:val="20"/>
                <w:szCs w:val="20"/>
                <w:lang w:val="en-AU" w:bidi="ar-SA"/>
              </w:rPr>
              <w:t xml:space="preserve"> </w:t>
            </w:r>
            <w:r>
              <w:rPr>
                <w:b/>
                <w:bCs/>
                <w:color w:val="000000"/>
                <w:kern w:val="0"/>
                <w:sz w:val="20"/>
                <w:szCs w:val="20"/>
                <w:lang w:val="en-AU" w:bidi="ar-SA"/>
              </w:rPr>
              <w:t>[kg P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0.15</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0.02</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0.040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Human toxicity, cancer</w:t>
            </w:r>
            <w:r>
              <w:rPr>
                <w:b w:val="false"/>
                <w:bCs w:val="false"/>
                <w:color w:val="000000"/>
                <w:kern w:val="0"/>
                <w:sz w:val="20"/>
                <w:szCs w:val="20"/>
                <w:lang w:val="en-AU" w:bidi="ar-SA"/>
              </w:rPr>
              <w:t xml:space="preserve"> </w:t>
            </w:r>
            <w:r>
              <w:rPr>
                <w:b/>
                <w:bCs/>
                <w:color w:val="000000"/>
                <w:kern w:val="0"/>
                <w:sz w:val="20"/>
                <w:szCs w:val="20"/>
                <w:lang w:val="en-AU" w:bidi="ar-SA"/>
              </w:rPr>
              <w:t>[kg 1,4-DB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376</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114</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24.8</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113</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29.0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53.7</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13.4</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427</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1.57</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Human toxicity, non-cancer</w:t>
            </w:r>
            <w:r>
              <w:rPr>
                <w:b w:val="false"/>
                <w:bCs w:val="false"/>
                <w:color w:val="000000"/>
                <w:kern w:val="0"/>
                <w:sz w:val="20"/>
                <w:szCs w:val="20"/>
                <w:lang w:val="en-AU" w:bidi="ar-SA"/>
              </w:rPr>
              <w:t xml:space="preserve"> </w:t>
            </w:r>
            <w:r>
              <w:rPr>
                <w:b/>
                <w:bCs/>
                <w:color w:val="000000"/>
                <w:kern w:val="0"/>
                <w:sz w:val="20"/>
                <w:szCs w:val="20"/>
                <w:lang w:val="en-AU" w:bidi="ar-SA"/>
              </w:rPr>
              <w:t>[kg 1,4-DB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2,611</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1,271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294</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2,015</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473</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1,077</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2,816</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147</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3,001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61.0</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Ionizing Radiation</w:t>
            </w:r>
            <w:r>
              <w:rPr>
                <w:b w:val="false"/>
                <w:bCs w:val="false"/>
                <w:color w:val="000000"/>
                <w:kern w:val="0"/>
                <w:sz w:val="20"/>
                <w:szCs w:val="20"/>
                <w:lang w:val="en-AU" w:bidi="ar-SA"/>
              </w:rPr>
              <w:t xml:space="preserve"> </w:t>
            </w:r>
            <w:r>
              <w:rPr>
                <w:b/>
                <w:bCs/>
                <w:color w:val="000000"/>
                <w:kern w:val="0"/>
                <w:sz w:val="20"/>
                <w:szCs w:val="20"/>
                <w:lang w:val="en-AU" w:bidi="ar-SA"/>
              </w:rPr>
              <w:t>[kBq Co-60 eq. to air]</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245</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288</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36.2</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55.1</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32.1</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39.0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27.8</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6.66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1.30</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6.07</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Land use</w:t>
            </w:r>
            <w:r>
              <w:rPr>
                <w:b w:val="false"/>
                <w:bCs w:val="false"/>
                <w:color w:val="000000"/>
                <w:kern w:val="0"/>
                <w:sz w:val="20"/>
                <w:szCs w:val="20"/>
                <w:lang w:val="en-AU" w:bidi="ar-SA"/>
              </w:rPr>
              <w:t xml:space="preserve"> </w:t>
            </w:r>
            <w:r>
              <w:rPr>
                <w:b/>
                <w:bCs/>
                <w:color w:val="000000"/>
                <w:kern w:val="0"/>
                <w:sz w:val="20"/>
                <w:szCs w:val="20"/>
                <w:lang w:val="en-AU" w:bidi="ar-SA"/>
              </w:rPr>
              <w:t>[Annual crop eq.·y]</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536</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918</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57.0</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199</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139</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163</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343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118</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406</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-19.9</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Marine ecotoxicity</w:t>
            </w:r>
            <w:r>
              <w:rPr>
                <w:b w:val="false"/>
                <w:bCs w:val="false"/>
                <w:color w:val="000000"/>
                <w:kern w:val="0"/>
                <w:sz w:val="20"/>
                <w:szCs w:val="20"/>
                <w:lang w:val="en-AU" w:bidi="ar-SA"/>
              </w:rPr>
              <w:t xml:space="preserve"> </w:t>
            </w:r>
            <w:r>
              <w:rPr>
                <w:b/>
                <w:bCs/>
                <w:color w:val="000000"/>
                <w:kern w:val="0"/>
                <w:sz w:val="20"/>
                <w:szCs w:val="20"/>
                <w:lang w:val="en-AU" w:bidi="ar-SA"/>
              </w:rPr>
              <w:t>[kg 1,4-DB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19.7</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20.9</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2.31</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125</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21.4</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16.0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63.0</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1.14</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18.9</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0.29</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lineRule="auto" w:line="276" w:before="0" w:after="120"/>
              <w:contextualSpacing/>
              <w:jc w:val="left"/>
              <w:rPr>
                <w:sz w:val="20"/>
                <w:szCs w:val="20"/>
                <w:lang w:val="en-AU"/>
              </w:rPr>
            </w:pPr>
            <w:r>
              <w:rPr>
                <w:b/>
                <w:bCs/>
                <w:color w:val="000000"/>
                <w:kern w:val="0"/>
                <w:sz w:val="20"/>
                <w:szCs w:val="20"/>
                <w:lang w:val="en-AU" w:bidi="ar-SA"/>
              </w:rPr>
              <w:t>Marine Eutrophication</w:t>
            </w:r>
            <w:r>
              <w:rPr>
                <w:b w:val="false"/>
                <w:bCs w:val="false"/>
                <w:color w:val="000000"/>
                <w:kern w:val="0"/>
                <w:sz w:val="20"/>
                <w:szCs w:val="20"/>
                <w:lang w:val="en-AU" w:bidi="ar-SA"/>
              </w:rPr>
              <w:t xml:space="preserve"> </w:t>
            </w:r>
          </w:p>
          <w:p>
            <w:pPr>
              <w:pStyle w:val="Normal"/>
              <w:widowControl/>
              <w:spacing w:before="0" w:after="120"/>
              <w:jc w:val="left"/>
              <w:rPr>
                <w:b w:val="false"/>
                <w:bCs w:val="false"/>
                <w:sz w:val="20"/>
                <w:szCs w:val="20"/>
                <w:lang w:val="en-AU"/>
              </w:rPr>
            </w:pPr>
            <w:r>
              <w:rPr>
                <w:b/>
                <w:bCs/>
                <w:color w:val="000000"/>
                <w:kern w:val="0"/>
                <w:sz w:val="20"/>
                <w:szCs w:val="20"/>
                <w:lang w:val="en-AU" w:bidi="ar-SA"/>
              </w:rPr>
              <w:t>[kg N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0.49</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0.31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0.04</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0.12</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0.05</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0.14</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0.07</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0.03</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0.11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Metal depletion</w:t>
            </w:r>
            <w:r>
              <w:rPr>
                <w:b w:val="false"/>
                <w:bCs w:val="false"/>
                <w:color w:val="000000"/>
                <w:kern w:val="0"/>
                <w:sz w:val="20"/>
                <w:szCs w:val="20"/>
                <w:lang w:val="en-AU" w:bidi="ar-SA"/>
              </w:rPr>
              <w:t xml:space="preserve"> </w:t>
            </w:r>
            <w:r>
              <w:rPr>
                <w:b/>
                <w:bCs/>
                <w:color w:val="000000"/>
                <w:kern w:val="0"/>
                <w:sz w:val="20"/>
                <w:szCs w:val="20"/>
                <w:lang w:val="en-AU" w:bidi="ar-SA"/>
              </w:rPr>
              <w:t>[kg Cu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40.8</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1,048</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355</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1,393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372</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211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716</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22.2</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7.77</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-35.9</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Photochemical Ozone Formation, Ecosystems</w:t>
            </w:r>
            <w:r>
              <w:rPr>
                <w:b w:val="false"/>
                <w:bCs w:val="false"/>
                <w:color w:val="000000"/>
                <w:kern w:val="0"/>
                <w:sz w:val="20"/>
                <w:szCs w:val="20"/>
                <w:lang w:val="en-AU" w:bidi="ar-SA"/>
              </w:rPr>
              <w:t xml:space="preserve"> </w:t>
            </w:r>
            <w:r>
              <w:rPr>
                <w:b/>
                <w:bCs/>
                <w:color w:val="000000"/>
                <w:kern w:val="0"/>
                <w:sz w:val="20"/>
                <w:szCs w:val="20"/>
                <w:lang w:val="en-AU" w:bidi="ar-SA"/>
              </w:rPr>
              <w:t>[kg NOx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70.4</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69.3</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15.1</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25.2</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24.4</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10.9</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9.26</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6.50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37.8</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3.38</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Photochemical Ozone Formation, Human Health</w:t>
            </w:r>
            <w:r>
              <w:rPr>
                <w:b w:val="false"/>
                <w:bCs w:val="false"/>
                <w:color w:val="000000"/>
                <w:kern w:val="0"/>
                <w:sz w:val="20"/>
                <w:szCs w:val="20"/>
                <w:lang w:val="en-AU" w:bidi="ar-SA"/>
              </w:rPr>
              <w:t xml:space="preserve"> </w:t>
            </w:r>
            <w:r>
              <w:rPr>
                <w:b/>
                <w:bCs/>
                <w:color w:val="000000"/>
                <w:kern w:val="0"/>
                <w:sz w:val="20"/>
                <w:szCs w:val="20"/>
                <w:lang w:val="en-AU" w:bidi="ar-SA"/>
              </w:rPr>
              <w:t>[kg NOx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69.7</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68.8</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15.0</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25.0</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24.2</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10.8</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9.04</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6.42</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37.7</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3.37</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Stratospheric Ozone Depletion</w:t>
            </w:r>
            <w:r>
              <w:rPr>
                <w:b w:val="false"/>
                <w:bCs w:val="false"/>
                <w:color w:val="000000"/>
                <w:kern w:val="0"/>
                <w:sz w:val="20"/>
                <w:szCs w:val="20"/>
                <w:lang w:val="en-AU" w:bidi="ar-SA"/>
              </w:rPr>
              <w:t xml:space="preserve"> </w:t>
            </w:r>
            <w:r>
              <w:rPr>
                <w:b/>
                <w:bCs/>
                <w:color w:val="000000"/>
                <w:kern w:val="0"/>
                <w:sz w:val="20"/>
                <w:szCs w:val="20"/>
                <w:lang w:val="en-AU" w:bidi="ar-SA"/>
              </w:rPr>
              <w:t>[kg CFC-11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0.001</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0.00</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Terrestrial Acidification</w:t>
            </w:r>
            <w:r>
              <w:rPr>
                <w:b w:val="false"/>
                <w:bCs w:val="false"/>
                <w:color w:val="000000"/>
                <w:kern w:val="0"/>
                <w:sz w:val="20"/>
                <w:szCs w:val="20"/>
                <w:lang w:val="en-AU" w:bidi="ar-SA"/>
              </w:rPr>
              <w:t xml:space="preserve"> </w:t>
            </w:r>
            <w:r>
              <w:rPr>
                <w:b/>
                <w:bCs/>
                <w:color w:val="000000"/>
                <w:kern w:val="0"/>
                <w:sz w:val="20"/>
                <w:szCs w:val="20"/>
                <w:lang w:val="en-AU" w:bidi="ar-SA"/>
              </w:rPr>
              <w:t>[kg SO2 eq.]</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72.1</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74.6</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12.9</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265</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35.0</w:t>
            </w:r>
          </w:p>
        </w:tc>
        <w:tc>
          <w:tcPr>
            <w:tcW w:w="1277"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17.1</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29.3</w:t>
            </w:r>
          </w:p>
        </w:tc>
        <w:tc>
          <w:tcPr>
            <w:tcW w:w="849"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3.72</w:t>
            </w:r>
          </w:p>
        </w:tc>
        <w:tc>
          <w:tcPr>
            <w:tcW w:w="1134"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51.9</w:t>
            </w:r>
          </w:p>
        </w:tc>
        <w:tc>
          <w:tcPr>
            <w:tcW w:w="992"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1.86</w:t>
            </w:r>
          </w:p>
        </w:tc>
      </w:tr>
      <w:tr>
        <w:trPr>
          <w:trHeight w:val="300" w:hRule="atLeast"/>
        </w:trPr>
        <w:tc>
          <w:tcPr>
            <w:tcW w:w="2834"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widowControl/>
              <w:spacing w:before="120" w:after="120"/>
              <w:jc w:val="left"/>
              <w:rPr>
                <w:b w:val="false"/>
                <w:bCs w:val="false"/>
                <w:sz w:val="20"/>
                <w:szCs w:val="20"/>
                <w:lang w:val="en-AU"/>
              </w:rPr>
            </w:pPr>
            <w:r>
              <w:rPr>
                <w:b/>
                <w:bCs/>
                <w:color w:val="000000"/>
                <w:kern w:val="0"/>
                <w:sz w:val="20"/>
                <w:szCs w:val="20"/>
                <w:lang w:val="en-AU" w:bidi="ar-SA"/>
              </w:rPr>
              <w:t>Terrestrial ecotoxicity</w:t>
            </w:r>
            <w:r>
              <w:rPr>
                <w:b w:val="false"/>
                <w:bCs w:val="false"/>
                <w:color w:val="000000"/>
                <w:kern w:val="0"/>
                <w:sz w:val="20"/>
                <w:szCs w:val="20"/>
                <w:lang w:val="en-AU" w:bidi="ar-SA"/>
              </w:rPr>
              <w:t xml:space="preserve"> </w:t>
            </w:r>
            <w:r>
              <w:rPr>
                <w:b/>
                <w:bCs/>
                <w:color w:val="000000"/>
                <w:kern w:val="0"/>
                <w:sz w:val="20"/>
                <w:szCs w:val="20"/>
                <w:lang w:val="en-AU" w:bidi="ar-SA"/>
              </w:rPr>
              <w:t>[kg 1,4-DB eq.]</w:t>
            </w:r>
          </w:p>
        </w:tc>
        <w:tc>
          <w:tcPr>
            <w:tcW w:w="1276"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23,622</w:t>
            </w:r>
          </w:p>
        </w:tc>
        <w:tc>
          <w:tcPr>
            <w:tcW w:w="1277"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30,011</w:t>
            </w:r>
          </w:p>
        </w:tc>
        <w:tc>
          <w:tcPr>
            <w:tcW w:w="1134"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1,659</w:t>
            </w:r>
          </w:p>
        </w:tc>
        <w:tc>
          <w:tcPr>
            <w:tcW w:w="1276"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257,997</w:t>
            </w:r>
          </w:p>
        </w:tc>
        <w:tc>
          <w:tcPr>
            <w:tcW w:w="849"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35,516</w:t>
            </w:r>
          </w:p>
        </w:tc>
        <w:tc>
          <w:tcPr>
            <w:tcW w:w="1277"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27,887</w:t>
            </w:r>
          </w:p>
        </w:tc>
        <w:tc>
          <w:tcPr>
            <w:tcW w:w="1134"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125,328</w:t>
            </w:r>
          </w:p>
        </w:tc>
        <w:tc>
          <w:tcPr>
            <w:tcW w:w="849"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536</w:t>
            </w:r>
          </w:p>
        </w:tc>
        <w:tc>
          <w:tcPr>
            <w:tcW w:w="1134"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30,759</w:t>
            </w:r>
          </w:p>
        </w:tc>
        <w:tc>
          <w:tcPr>
            <w:tcW w:w="992"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588</w:t>
            </w:r>
          </w:p>
        </w:tc>
      </w:tr>
    </w:tbl>
    <w:p>
      <w:pPr>
        <w:pStyle w:val="Normal"/>
        <w:rPr>
          <w:b/>
          <w:bCs/>
          <w:sz w:val="20"/>
          <w:szCs w:val="20"/>
        </w:rPr>
      </w:pPr>
      <w:r>
        <w:rPr>
          <w:b/>
          <w:bCs/>
          <w:sz w:val="20"/>
          <w:szCs w:val="20"/>
        </w:rPr>
      </w:r>
    </w:p>
    <w:p>
      <w:pPr>
        <w:pStyle w:val="Normal"/>
        <w:rPr>
          <w:sz w:val="20"/>
          <w:szCs w:val="20"/>
        </w:rPr>
      </w:pPr>
      <w:r>
        <w:rPr>
          <w:sz w:val="20"/>
          <w:szCs w:val="20"/>
        </w:rPr>
      </w:r>
    </w:p>
    <w:p>
      <w:pPr>
        <w:pStyle w:val="Normal"/>
        <w:spacing w:lineRule="auto" w:line="360"/>
        <w:rPr>
          <w:b/>
          <w:bCs/>
          <w:sz w:val="20"/>
          <w:szCs w:val="20"/>
        </w:rPr>
      </w:pPr>
      <w:r>
        <w:rPr>
          <w:b/>
          <w:bCs/>
          <w:sz w:val="20"/>
          <w:szCs w:val="20"/>
        </w:rPr>
      </w:r>
    </w:p>
    <w:p>
      <w:pPr>
        <w:pStyle w:val="Normal"/>
        <w:spacing w:lineRule="auto" w:line="360"/>
        <w:rPr>
          <w:b/>
          <w:bCs/>
          <w:sz w:val="20"/>
          <w:szCs w:val="20"/>
        </w:rPr>
      </w:pPr>
      <w:r>
        <w:rPr>
          <w:b/>
          <w:bCs/>
          <w:sz w:val="20"/>
          <w:szCs w:val="20"/>
        </w:rPr>
      </w:r>
    </w:p>
    <w:p>
      <w:pPr>
        <w:pStyle w:val="Normal"/>
        <w:spacing w:lineRule="auto" w:line="360"/>
        <w:rPr>
          <w:b/>
          <w:bCs/>
          <w:sz w:val="20"/>
          <w:szCs w:val="20"/>
        </w:rPr>
      </w:pPr>
      <w:r>
        <w:rPr>
          <w:b/>
          <w:bCs/>
          <w:sz w:val="20"/>
          <w:szCs w:val="20"/>
        </w:rPr>
      </w:r>
    </w:p>
    <w:p>
      <w:pPr>
        <w:pStyle w:val="Normal"/>
        <w:spacing w:lineRule="auto" w:line="360"/>
        <w:rPr>
          <w:b/>
          <w:bCs/>
          <w:sz w:val="20"/>
          <w:szCs w:val="20"/>
        </w:rPr>
      </w:pPr>
      <w:r>
        <w:rPr>
          <w:b/>
          <w:bCs/>
          <w:sz w:val="20"/>
          <w:szCs w:val="20"/>
        </w:rPr>
        <w:t>Notes:</w:t>
      </w:r>
    </w:p>
    <w:p>
      <w:pPr>
        <w:pStyle w:val="Normal"/>
        <w:spacing w:lineRule="auto" w:line="360"/>
        <w:rPr>
          <w:sz w:val="20"/>
          <w:szCs w:val="20"/>
          <w:lang w:bidi="en-US"/>
        </w:rPr>
      </w:pPr>
      <w:r>
        <w:rPr>
          <w:sz w:val="20"/>
          <w:szCs w:val="20"/>
          <w:lang w:bidi="en-US"/>
        </w:rPr>
        <w:t>Values shown are absolute impacts per single aircraft across manufacturing, assembly, and end-of-life phases. Operational and maintenance phase impacts are reported separately in the main manuscript. All impact categories calculated using ReCiPe 2016 v1.1 methodology with Hierarchist perspective.</w:t>
      </w:r>
    </w:p>
    <w:p>
      <w:pPr>
        <w:pStyle w:val="Normal"/>
        <w:rPr>
          <w:b/>
          <w:bCs/>
          <w:sz w:val="20"/>
          <w:szCs w:val="20"/>
        </w:rPr>
      </w:pPr>
      <w:r>
        <w:rPr>
          <w:b/>
          <w:bCs/>
          <w:sz w:val="20"/>
          <w:szCs w:val="20"/>
        </w:rPr>
      </w:r>
      <w:r>
        <w:br w:type="page"/>
      </w:r>
    </w:p>
    <w:p>
      <w:pPr>
        <w:pStyle w:val="Normal"/>
        <w:spacing w:before="0" w:after="0"/>
        <w:rPr>
          <w:b/>
          <w:bCs/>
        </w:rPr>
      </w:pPr>
      <w:r>
        <w:rPr>
          <w:b/>
          <w:bCs/>
        </w:rPr>
        <w:t>Table S6. Normalised environmental impacts for ranking comparison</w:t>
      </w:r>
    </w:p>
    <w:p>
      <w:pPr>
        <w:pStyle w:val="Caption"/>
        <w:rPr/>
      </w:pPr>
      <w:r>
        <w:rPr/>
        <w:t>Table S6. Normalised environmental impacts for 180-aircraft UAS fleet over 5-year operational lifetime. All 18 ReCiPe 2016 v1.1 midpoint impact categories normalised to person-year equivalents using Hierarchist perspective normalisation factors (Huijbregts et al., 2017), enabling relative comparison across categories with different units. Manufacturing, maintenance, and end-of-life phases included; operational phase impacts are not included due to the proxy emissions used from Gössling et al. (2024). Rankings demonstrate relative significance for this study and for Fabre et al. (2022) which had used the same LCIA methodology for us to conduct a ranking comparison of the normalised LCIA results.</w:t>
      </w:r>
    </w:p>
    <w:tbl>
      <w:tblPr>
        <w:tblStyle w:val="ListTable6Colourful1"/>
        <w:tblW w:w="13892"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4962"/>
        <w:gridCol w:w="1488"/>
        <w:gridCol w:w="1629"/>
        <w:gridCol w:w="1560"/>
        <w:gridCol w:w="1417"/>
        <w:gridCol w:w="1417"/>
        <w:gridCol w:w="1418"/>
      </w:tblGrid>
      <w:tr>
        <w:trPr>
          <w:tblHeader w:val="true"/>
          <w:trHeight w:val="300" w:hRule="atLeast"/>
          <w:cnfStyle w:val="100000000000" w:firstRow="1" w:lastRow="0" w:firstColumn="0" w:lastColumn="0" w:oddVBand="0" w:evenVBand="0" w:oddHBand="0" w:evenHBand="0" w:firstRowFirstColumn="0" w:firstRowLastColumn="0" w:lastRowFirstColumn="0" w:lastRowLastColumn="0"/>
        </w:trPr>
        <w:tc>
          <w:tcPr>
            <w:tcW w:w="4962"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before="120" w:after="120"/>
              <w:jc w:val="left"/>
              <w:rPr>
                <w:color w:val="auto"/>
                <w:sz w:val="20"/>
                <w:szCs w:val="20"/>
                <w:lang w:val="en-AU"/>
              </w:rPr>
            </w:pPr>
            <w:r>
              <w:rPr>
                <w:b/>
                <w:bCs/>
                <w:color w:val="auto"/>
                <w:kern w:val="0"/>
                <w:sz w:val="20"/>
                <w:szCs w:val="20"/>
                <w:lang w:val="en-AU" w:bidi="ar-SA"/>
              </w:rPr>
              <w:t>Impact category</w:t>
            </w:r>
          </w:p>
        </w:tc>
        <w:tc>
          <w:tcPr>
            <w:tcW w:w="1488" w:type="dxa"/>
            <w:tcBorders/>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Total fleet impact</w:t>
            </w:r>
          </w:p>
        </w:tc>
        <w:tc>
          <w:tcPr>
            <w:tcW w:w="1629" w:type="dxa"/>
            <w:tcBorders/>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Impact unit</w:t>
            </w:r>
          </w:p>
        </w:tc>
        <w:tc>
          <w:tcPr>
            <w:tcW w:w="1560" w:type="dxa"/>
            <w:tcBorders/>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b w:val="false"/>
                <w:bCs w:val="false"/>
                <w:color w:val="auto"/>
                <w:sz w:val="20"/>
                <w:szCs w:val="20"/>
                <w:lang w:val="en-AU"/>
              </w:rPr>
            </w:pPr>
            <w:r>
              <w:rPr>
                <w:b/>
                <w:bCs/>
                <w:color w:val="auto"/>
                <w:kern w:val="0"/>
                <w:sz w:val="20"/>
                <w:szCs w:val="20"/>
                <w:lang w:val="en-AU" w:bidi="ar-SA"/>
              </w:rPr>
              <w:t>Normalised impact (person-year)</w:t>
            </w:r>
          </w:p>
        </w:tc>
        <w:tc>
          <w:tcPr>
            <w:tcW w:w="1417" w:type="dxa"/>
            <w:tcBorders/>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color w:val="auto"/>
                <w:sz w:val="20"/>
                <w:szCs w:val="20"/>
                <w:lang w:val="en-AU"/>
              </w:rPr>
            </w:pPr>
            <w:r>
              <w:rPr>
                <w:b/>
                <w:bCs/>
                <w:color w:val="auto"/>
                <w:kern w:val="0"/>
                <w:sz w:val="20"/>
                <w:szCs w:val="20"/>
                <w:lang w:val="en-AU" w:bidi="ar-SA"/>
              </w:rPr>
              <w:t>Significance level</w:t>
            </w:r>
          </w:p>
        </w:tc>
        <w:tc>
          <w:tcPr>
            <w:tcW w:w="1417" w:type="dxa"/>
            <w:tcBorders/>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sz w:val="20"/>
                <w:szCs w:val="20"/>
              </w:rPr>
            </w:pPr>
            <w:r>
              <w:rPr>
                <w:b/>
                <w:bCs/>
                <w:color w:val="000000"/>
                <w:kern w:val="0"/>
                <w:sz w:val="20"/>
                <w:szCs w:val="20"/>
                <w:lang w:val="en-GB" w:bidi="ar-SA"/>
              </w:rPr>
              <w:t>Impact rank, this study (UAS)</w:t>
            </w:r>
          </w:p>
        </w:tc>
        <w:tc>
          <w:tcPr>
            <w:tcW w:w="1418" w:type="dxa"/>
            <w:tcBorders/>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sz w:val="20"/>
                <w:szCs w:val="20"/>
              </w:rPr>
            </w:pPr>
            <w:r>
              <w:rPr>
                <w:b/>
                <w:bCs/>
                <w:color w:val="000000"/>
                <w:kern w:val="0"/>
                <w:sz w:val="20"/>
                <w:szCs w:val="20"/>
                <w:lang w:val="en-GB" w:bidi="ar-SA"/>
              </w:rPr>
              <w:t xml:space="preserve">Impact rank, Fabre </w:t>
            </w:r>
            <w:r>
              <w:rPr>
                <w:b/>
                <w:bCs/>
                <w:i/>
                <w:color w:val="000000"/>
                <w:kern w:val="0"/>
                <w:sz w:val="20"/>
                <w:szCs w:val="20"/>
                <w:lang w:val="en-GB" w:bidi="ar-SA"/>
              </w:rPr>
              <w:t>et al.</w:t>
            </w:r>
            <w:r>
              <w:rPr>
                <w:b/>
                <w:bCs/>
                <w:color w:val="000000"/>
                <w:kern w:val="0"/>
                <w:sz w:val="20"/>
                <w:szCs w:val="20"/>
                <w:lang w:val="en-GB" w:bidi="ar-SA"/>
              </w:rPr>
              <w:t>, 2022 (A320)</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bottom w:val="nil"/>
            </w:tcBorders>
          </w:tcPr>
          <w:p>
            <w:pPr>
              <w:pStyle w:val="Normal"/>
              <w:widowControl/>
              <w:spacing w:before="120" w:after="120"/>
              <w:jc w:val="left"/>
              <w:rPr>
                <w:color w:val="auto"/>
                <w:sz w:val="20"/>
                <w:szCs w:val="20"/>
                <w:lang w:val="en-AU"/>
              </w:rPr>
            </w:pPr>
            <w:r>
              <w:rPr>
                <w:b/>
                <w:bCs/>
                <w:color w:val="auto"/>
                <w:kern w:val="0"/>
                <w:sz w:val="20"/>
                <w:szCs w:val="20"/>
                <w:lang w:val="en-AU" w:bidi="ar-SA"/>
              </w:rPr>
              <w:t>Climate and atmospheric impacts</w:t>
            </w:r>
          </w:p>
        </w:tc>
        <w:tc>
          <w:tcPr>
            <w:tcW w:w="1488" w:type="dxa"/>
            <w:tcBorders>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629" w:type="dxa"/>
            <w:tcBorders>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560" w:type="dxa"/>
            <w:tcBorders>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Climate change, excluding biogenic carbon†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26,701,104</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CO₂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3,342</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4</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9</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Climate change, including biogenic carbon †</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26,676,282</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CO₂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3,339</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4 (as above)</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2"/>
                <w:szCs w:val="22"/>
                <w:lang w:val="en-GB" w:bidi="ar-SA"/>
              </w:rPr>
              <w:t>—</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Particulate matter formation †</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32,272</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PM2.5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1,262</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8</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11</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Photochemical oxidant formation, ecosystems †</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48,984</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NOx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2,760</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5</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2"/>
                <w:szCs w:val="22"/>
                <w:lang w:val="en-GB" w:bidi="ar-SA"/>
              </w:rPr>
              <w:t>—</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Photochemical oxidant formation, human health †</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48,595</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NOx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2,363</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7</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8</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Ozone depletion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6.2</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CFC11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104</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MEDIUM</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13</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15</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jc w:val="left"/>
              <w:rPr>
                <w:color w:val="auto"/>
                <w:sz w:val="20"/>
                <w:szCs w:val="20"/>
                <w:lang w:val="en-AU"/>
              </w:rPr>
            </w:pPr>
            <w:r>
              <w:rPr>
                <w:b/>
                <w:bCs/>
                <w:color w:val="auto"/>
                <w:kern w:val="0"/>
                <w:sz w:val="20"/>
                <w:szCs w:val="20"/>
                <w:lang w:val="en-AU" w:bidi="ar-SA"/>
              </w:rPr>
              <w:t>Human health impacts</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Human toxicity potential - cancer †</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242,138</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1,4-DCB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23,512</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VERY 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Human toxicity potential - non-cancer †</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2,478,084</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1,4-DCB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79</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LOW</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15</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2"/>
                <w:szCs w:val="22"/>
                <w:lang w:val="en-GB" w:bidi="ar-SA"/>
              </w:rPr>
              <w:t>—</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Ionizing radiation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132,683</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kBq Co-60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276</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MEDIUM</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12</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7</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jc w:val="left"/>
              <w:rPr>
                <w:color w:val="auto"/>
                <w:sz w:val="20"/>
                <w:szCs w:val="20"/>
                <w:lang w:val="en-AU"/>
              </w:rPr>
            </w:pPr>
            <w:r>
              <w:rPr>
                <w:b/>
                <w:bCs/>
                <w:color w:val="auto"/>
                <w:kern w:val="0"/>
                <w:sz w:val="20"/>
                <w:szCs w:val="20"/>
                <w:lang w:val="en-AU" w:bidi="ar-SA"/>
              </w:rPr>
              <w:t>Ecosystem quality</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Terrestrial acidification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101,423</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SO₂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2,475</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6</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10</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Terrestrial ecotoxicity</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96,102,740</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1,4-DCB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6,322</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VERY 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3</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16</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Land use</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514,228</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annual crop eq-y</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83</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LOW</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14</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13</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Freshwater consumption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243,330</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m³</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913</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MEDIUM</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10</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12</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Freshwater eutrophication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43.6</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P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67</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LOW</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16</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4</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Freshwater ecotoxicity</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12,604</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1,4-DCB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501</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MEDIUM</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11</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2</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Marine eutrophication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244.0</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N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53</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LOW</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17</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6</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Marine ecotoxicity</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51,911</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1,4-DCB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1,195</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HIGH</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9</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3</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jc w:val="left"/>
              <w:rPr>
                <w:color w:val="auto"/>
                <w:sz w:val="20"/>
                <w:szCs w:val="20"/>
                <w:lang w:val="en-AU"/>
              </w:rPr>
            </w:pPr>
            <w:r>
              <w:rPr>
                <w:b/>
                <w:bCs/>
                <w:color w:val="auto"/>
                <w:kern w:val="0"/>
                <w:sz w:val="20"/>
                <w:szCs w:val="20"/>
                <w:lang w:val="en-AU" w:bidi="ar-SA"/>
              </w:rPr>
              <w:t>Resource depletion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Metal depletion</w:t>
            </w:r>
          </w:p>
        </w:tc>
        <w:tc>
          <w:tcPr>
            <w:tcW w:w="148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743,460</w:t>
            </w:r>
          </w:p>
        </w:tc>
        <w:tc>
          <w:tcPr>
            <w:tcW w:w="1629"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Cu eq</w:t>
            </w:r>
          </w:p>
        </w:tc>
        <w:tc>
          <w:tcPr>
            <w:tcW w:w="1560"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6</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LOW</w:t>
            </w:r>
          </w:p>
        </w:tc>
        <w:tc>
          <w:tcPr>
            <w:tcW w:w="1417"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18</w:t>
            </w:r>
          </w:p>
        </w:tc>
        <w:tc>
          <w:tcPr>
            <w:tcW w:w="1418" w:type="dxa"/>
            <w:tcBorders>
              <w:top w:val="nil"/>
              <w:bottom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14</w:t>
            </w:r>
          </w:p>
        </w:tc>
      </w:tr>
      <w:tr>
        <w:trPr>
          <w:trHeight w:val="300" w:hRule="atLeast"/>
        </w:trPr>
        <w:tc>
          <w:tcPr>
            <w:tcW w:w="4962" w:type="dxa"/>
            <w:cnfStyle w:val="001000000000" w:firstRow="0" w:lastRow="0" w:firstColumn="1" w:lastColumn="0" w:oddVBand="0" w:evenVBand="0" w:oddHBand="0" w:evenHBand="0" w:firstRowFirstColumn="0" w:firstRowLastColumn="0" w:lastRowFirstColumn="0" w:lastRowLastColumn="0"/>
            <w:tcBorders>
              <w:top w:val="nil"/>
            </w:tcBorders>
          </w:tcPr>
          <w:p>
            <w:pPr>
              <w:pStyle w:val="Normal"/>
              <w:widowControl/>
              <w:spacing w:before="120" w:after="120"/>
              <w:ind w:left="720"/>
              <w:jc w:val="left"/>
              <w:rPr>
                <w:b w:val="false"/>
                <w:bCs w:val="false"/>
                <w:color w:val="auto"/>
                <w:sz w:val="20"/>
                <w:szCs w:val="20"/>
                <w:lang w:val="en-AU"/>
              </w:rPr>
            </w:pPr>
            <w:r>
              <w:rPr>
                <w:b w:val="false"/>
                <w:bCs w:val="false"/>
                <w:color w:val="auto"/>
                <w:kern w:val="0"/>
                <w:sz w:val="20"/>
                <w:szCs w:val="20"/>
                <w:lang w:val="en-AU" w:bidi="ar-SA"/>
              </w:rPr>
              <w:t>Fossil depletion</w:t>
            </w:r>
          </w:p>
        </w:tc>
        <w:tc>
          <w:tcPr>
            <w:tcW w:w="1488" w:type="dxa"/>
            <w:tcBorders>
              <w:top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7,476,165</w:t>
            </w:r>
          </w:p>
        </w:tc>
        <w:tc>
          <w:tcPr>
            <w:tcW w:w="1629" w:type="dxa"/>
            <w:tcBorders>
              <w:top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kg oil eq</w:t>
            </w:r>
          </w:p>
        </w:tc>
        <w:tc>
          <w:tcPr>
            <w:tcW w:w="1560" w:type="dxa"/>
            <w:tcBorders>
              <w:top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13,118</w:t>
            </w:r>
          </w:p>
        </w:tc>
        <w:tc>
          <w:tcPr>
            <w:tcW w:w="1417" w:type="dxa"/>
            <w:tcBorders>
              <w:top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color w:val="auto"/>
                <w:sz w:val="20"/>
                <w:szCs w:val="20"/>
                <w:lang w:val="en-AU"/>
              </w:rPr>
            </w:pPr>
            <w:r>
              <w:rPr>
                <w:color w:val="auto"/>
                <w:kern w:val="0"/>
                <w:sz w:val="20"/>
                <w:szCs w:val="20"/>
                <w:lang w:val="en-AU" w:bidi="ar-SA"/>
              </w:rPr>
              <w:t>VERY HIGH</w:t>
            </w:r>
          </w:p>
        </w:tc>
        <w:tc>
          <w:tcPr>
            <w:tcW w:w="1417" w:type="dxa"/>
            <w:tcBorders>
              <w:top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2</w:t>
            </w:r>
          </w:p>
        </w:tc>
        <w:tc>
          <w:tcPr>
            <w:tcW w:w="1418" w:type="dxa"/>
            <w:tcBorders>
              <w:top w:val="nil"/>
            </w:tcBorders>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kern w:val="0"/>
                <w:sz w:val="20"/>
                <w:szCs w:val="20"/>
                <w:lang w:val="en-GB" w:bidi="ar-SA"/>
              </w:rPr>
              <w:t>5</w:t>
            </w:r>
          </w:p>
        </w:tc>
      </w:tr>
    </w:tbl>
    <w:p>
      <w:pPr>
        <w:pStyle w:val="Normal"/>
        <w:rPr>
          <w:b/>
          <w:bCs/>
          <w:sz w:val="20"/>
          <w:szCs w:val="20"/>
        </w:rPr>
      </w:pPr>
      <w:r>
        <w:rPr>
          <w:b/>
          <w:bCs/>
          <w:sz w:val="20"/>
          <w:szCs w:val="20"/>
        </w:rPr>
      </w:r>
    </w:p>
    <w:p>
      <w:pPr>
        <w:pStyle w:val="Normal"/>
        <w:rPr>
          <w:b/>
          <w:bCs/>
          <w:sz w:val="22"/>
        </w:rPr>
      </w:pPr>
      <w:r>
        <w:rPr>
          <w:b/>
          <w:bCs/>
          <w:sz w:val="22"/>
        </w:rPr>
      </w:r>
    </w:p>
    <w:p>
      <w:pPr>
        <w:pStyle w:val="Normal"/>
        <w:spacing w:before="0" w:after="240"/>
        <w:rPr>
          <w:b/>
          <w:bCs/>
          <w:sz w:val="20"/>
          <w:szCs w:val="20"/>
        </w:rPr>
      </w:pPr>
      <w:r>
        <w:rPr>
          <w:b/>
          <w:bCs/>
          <w:sz w:val="20"/>
          <w:szCs w:val="20"/>
        </w:rPr>
        <w:t>Notes:</w:t>
      </w:r>
    </w:p>
    <w:p>
      <w:pPr>
        <w:pStyle w:val="Normal"/>
        <w:spacing w:lineRule="auto" w:line="360" w:before="0" w:after="240"/>
        <w:rPr>
          <w:sz w:val="20"/>
          <w:szCs w:val="20"/>
          <w:lang w:bidi="en-US"/>
        </w:rPr>
      </w:pPr>
      <w:r>
        <w:rPr>
          <w:sz w:val="20"/>
          <w:szCs w:val="20"/>
          <w:lang w:bidi="en-US"/>
        </w:rPr>
        <w:t>Normalised impact values expressed as person-year equivalents, where one person-year represents the environmental impact of one average person for one year. This enables direct comparison between impact categories that otherwise have incompatible units (e.g., kg CO₂ eq. vs. kg 1,4-DCB eq.).</w:t>
      </w:r>
    </w:p>
    <w:p>
      <w:pPr>
        <w:pStyle w:val="Normal"/>
        <w:spacing w:lineRule="auto" w:line="360" w:before="0" w:after="240"/>
        <w:rPr>
          <w:sz w:val="20"/>
          <w:szCs w:val="20"/>
          <w:lang w:bidi="en-US"/>
        </w:rPr>
      </w:pPr>
      <w:r>
        <w:rPr>
          <w:b/>
          <w:bCs/>
          <w:sz w:val="20"/>
          <w:szCs w:val="20"/>
          <w:lang w:bidi="en-US"/>
        </w:rPr>
        <w:t>Significance thresholds:</w:t>
      </w:r>
      <w:r>
        <w:rPr>
          <w:sz w:val="20"/>
          <w:szCs w:val="20"/>
          <w:lang w:bidi="en-US"/>
        </w:rPr>
        <w:t xml:space="preserve"> VERY HIGH (&gt;5,000 person-years), HIGH (1,000-5,000 person-years), MEDIUM (100-1,000 person-years), LOW (&lt;100 person-years). Thresholds based on distribution of normalised values across all impact categories.</w:t>
      </w:r>
    </w:p>
    <w:p>
      <w:pPr>
        <w:pStyle w:val="Normal"/>
        <w:spacing w:lineRule="auto" w:line="360" w:before="0" w:after="240"/>
        <w:rPr>
          <w:b/>
          <w:bCs/>
          <w:sz w:val="20"/>
          <w:szCs w:val="20"/>
        </w:rPr>
      </w:pPr>
      <w:r>
        <w:rPr>
          <w:sz w:val="20"/>
          <w:szCs w:val="20"/>
          <w:lang w:bidi="en-US"/>
        </w:rPr>
        <w:t xml:space="preserve">† </w:t>
      </w:r>
      <w:r>
        <w:rPr>
          <w:sz w:val="20"/>
          <w:szCs w:val="20"/>
          <w:lang w:bidi="en-US"/>
        </w:rPr>
        <w:t xml:space="preserve">Impact categories identified by ICAO as most relevant for aviation operations (Cox </w:t>
      </w:r>
      <w:r>
        <w:rPr>
          <w:i/>
          <w:sz w:val="20"/>
          <w:szCs w:val="20"/>
          <w:lang w:bidi="en-US"/>
        </w:rPr>
        <w:t>et al.</w:t>
      </w:r>
      <w:r>
        <w:rPr>
          <w:sz w:val="20"/>
          <w:szCs w:val="20"/>
          <w:lang w:bidi="en-US"/>
        </w:rPr>
        <w:t>, 2018). However, normalised results demonstrate that manufacturing-phase impacts extend beyond these four categories, with multiple toxicity and ecosystem categories exceeding climate change importance when normalised.</w:t>
      </w:r>
      <w:r>
        <w:br w:type="page"/>
      </w:r>
    </w:p>
    <w:p>
      <w:pPr>
        <w:pStyle w:val="Normal"/>
        <w:spacing w:before="0" w:after="0"/>
        <w:rPr>
          <w:b/>
          <w:bCs/>
        </w:rPr>
      </w:pPr>
      <w:r>
        <w:rPr>
          <w:b/>
          <w:bCs/>
        </w:rPr>
        <w:t>Table S7. Sensitivity analysis of end-of-life recycling scenario</w:t>
      </w:r>
    </w:p>
    <w:p>
      <w:pPr>
        <w:pStyle w:val="Caption"/>
        <w:rPr>
          <w:rFonts w:cs="Times New Roman"/>
        </w:rPr>
      </w:pPr>
      <w:r>
        <w:rPr>
          <w:rFonts w:cs="Times New Roman"/>
        </w:rPr>
        <w:t xml:space="preserve">Table S7. </w:t>
      </w:r>
      <w:r>
        <w:rPr/>
        <w:t>Sensitivity analysis of end-of-life recycling scenario compared to baseline incineration. The recycling scenario assumes 50% recovery of metallic components (30% of total aircraft mass) with remaining materials incinerated. Material credits were applied to manufacturing and maintenance phases based on avoided primary metal production.</w:t>
      </w:r>
    </w:p>
    <w:tbl>
      <w:tblPr>
        <w:tblStyle w:val="PlainTable2"/>
        <w:tblW w:w="8222" w:type="dxa"/>
        <w:jc w:val="left"/>
        <w:tblInd w:w="0" w:type="dxa"/>
        <w:tblLayout w:type="fixed"/>
        <w:tblCellMar>
          <w:top w:w="0" w:type="dxa"/>
          <w:left w:w="108" w:type="dxa"/>
          <w:bottom w:w="0" w:type="dxa"/>
          <w:right w:w="108" w:type="dxa"/>
        </w:tblCellMar>
        <w:tblLook w:firstRow="1" w:noVBand="1" w:lastRow="1" w:firstColumn="0" w:lastColumn="0" w:noHBand="1" w:val="0660"/>
      </w:tblPr>
      <w:tblGrid>
        <w:gridCol w:w="1868"/>
        <w:gridCol w:w="1109"/>
        <w:gridCol w:w="1276"/>
        <w:gridCol w:w="283"/>
        <w:gridCol w:w="1134"/>
        <w:gridCol w:w="1275"/>
        <w:gridCol w:w="1276"/>
      </w:tblGrid>
      <w:tr>
        <w:trPr>
          <w:tblHeader w:val="true"/>
          <w:cantSplit w:val="true"/>
          <w:cnfStyle w:val="100000000000" w:firstRow="1" w:lastRow="0" w:firstColumn="0" w:lastColumn="0" w:oddVBand="0" w:evenVBand="0" w:oddHBand="0" w:evenHBand="0" w:firstRowFirstColumn="0" w:firstRowLastColumn="0" w:lastRowFirstColumn="0" w:lastRowLastColumn="0"/>
        </w:trPr>
        <w:tc>
          <w:tcPr>
            <w:tcW w:w="1868" w:type="dxa"/>
            <w:vMerge w:val="restart"/>
            <w:tcBorders>
              <w:bottom w:val="single" w:sz="4" w:space="0" w:color="000000"/>
            </w:tcBorders>
            <w:vAlign w:val="center"/>
          </w:tcPr>
          <w:p>
            <w:pPr>
              <w:pStyle w:val="Normal"/>
              <w:widowControl/>
              <w:spacing w:before="120" w:after="120"/>
              <w:jc w:val="left"/>
              <w:rPr>
                <w:sz w:val="20"/>
                <w:szCs w:val="20"/>
                <w:lang w:val="en-AU"/>
              </w:rPr>
            </w:pPr>
            <w:r>
              <w:rPr>
                <w:b/>
                <w:bCs/>
                <w:kern w:val="0"/>
                <w:sz w:val="20"/>
                <w:szCs w:val="20"/>
                <w:lang w:val="en-AU" w:bidi="ar-SA"/>
              </w:rPr>
              <w:t>Life Cycle Phase</w:t>
            </w:r>
          </w:p>
        </w:tc>
        <w:tc>
          <w:tcPr>
            <w:tcW w:w="2385" w:type="dxa"/>
            <w:gridSpan w:val="2"/>
            <w:tcBorders>
              <w:bottom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 xml:space="preserve">Baseline </w:t>
            </w:r>
          </w:p>
          <w:p>
            <w:pPr>
              <w:pStyle w:val="Normal"/>
              <w:widowControl/>
              <w:spacing w:before="120" w:after="120"/>
              <w:jc w:val="center"/>
              <w:rPr>
                <w:b w:val="false"/>
                <w:bCs w:val="false"/>
                <w:sz w:val="20"/>
                <w:szCs w:val="20"/>
                <w:lang w:val="en-AU"/>
              </w:rPr>
            </w:pPr>
            <w:r>
              <w:rPr>
                <w:b/>
                <w:bCs/>
                <w:kern w:val="0"/>
                <w:sz w:val="20"/>
                <w:szCs w:val="20"/>
                <w:lang w:val="en-AU" w:bidi="ar-SA"/>
              </w:rPr>
              <w:t>(100% incineration)</w:t>
            </w:r>
          </w:p>
        </w:tc>
        <w:tc>
          <w:tcPr>
            <w:tcW w:w="283" w:type="dxa"/>
            <w:tcBorders>
              <w:bottom w:val="nil"/>
            </w:tcBorders>
          </w:tcPr>
          <w:p>
            <w:pPr>
              <w:pStyle w:val="Normal"/>
              <w:widowControl/>
              <w:spacing w:before="120" w:after="120"/>
              <w:jc w:val="center"/>
              <w:rPr>
                <w:sz w:val="20"/>
                <w:szCs w:val="20"/>
                <w:lang w:val="en-AU"/>
              </w:rPr>
            </w:pPr>
            <w:r>
              <w:rPr>
                <w:b/>
                <w:bCs/>
                <w:kern w:val="0"/>
                <w:sz w:val="20"/>
                <w:szCs w:val="20"/>
                <w:lang w:val="en-AU" w:bidi="ar-SA"/>
              </w:rPr>
            </w:r>
          </w:p>
        </w:tc>
        <w:tc>
          <w:tcPr>
            <w:tcW w:w="3685" w:type="dxa"/>
            <w:gridSpan w:val="3"/>
            <w:tcBorders>
              <w:bottom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50% metals recovered</w:t>
            </w:r>
          </w:p>
          <w:p>
            <w:pPr>
              <w:pStyle w:val="Normal"/>
              <w:widowControl/>
              <w:spacing w:before="120" w:after="120"/>
              <w:jc w:val="center"/>
              <w:rPr>
                <w:sz w:val="20"/>
                <w:szCs w:val="20"/>
                <w:lang w:val="en-AU"/>
              </w:rPr>
            </w:pPr>
            <w:r>
              <w:rPr>
                <w:b/>
                <w:bCs/>
                <w:kern w:val="0"/>
                <w:sz w:val="20"/>
                <w:szCs w:val="20"/>
                <w:lang w:val="en-AU" w:bidi="ar-SA"/>
              </w:rPr>
              <w:t>Remaining materials incinerated</w:t>
            </w:r>
          </w:p>
        </w:tc>
      </w:tr>
      <w:tr>
        <w:trPr>
          <w:tblHeader w:val="true"/>
          <w:cantSplit w:val="true"/>
          <w:cnfStyle w:val="100000000000" w:firstRow="1" w:lastRow="0" w:firstColumn="0" w:lastColumn="0" w:oddVBand="0" w:evenVBand="0" w:oddHBand="0" w:evenHBand="0" w:firstRowFirstColumn="0" w:firstRowLastColumn="0" w:lastRowFirstColumn="0" w:lastRowLastColumn="0"/>
        </w:trPr>
        <w:tc>
          <w:tcPr>
            <w:tcW w:w="1868" w:type="dxa"/>
            <w:vMerge w:val="continue"/>
            <w:tcBorders>
              <w:bottom w:val="single" w:sz="4" w:space="0" w:color="000000"/>
            </w:tcBorders>
          </w:tcPr>
          <w:p>
            <w:pPr>
              <w:pStyle w:val="Normal"/>
              <w:widowControl/>
              <w:spacing w:before="120" w:after="120"/>
              <w:jc w:val="left"/>
              <w:rPr>
                <w:sz w:val="20"/>
                <w:szCs w:val="20"/>
                <w:lang w:val="en-AU"/>
              </w:rPr>
            </w:pPr>
            <w:r>
              <w:rPr>
                <w:b/>
                <w:bCs/>
                <w:kern w:val="0"/>
                <w:sz w:val="20"/>
                <w:szCs w:val="20"/>
                <w:lang w:val="en-AU" w:bidi="ar-SA"/>
              </w:rPr>
            </w:r>
          </w:p>
        </w:tc>
        <w:tc>
          <w:tcPr>
            <w:tcW w:w="1109" w:type="dxa"/>
            <w:tcBorders>
              <w:top w:val="single" w:sz="4" w:space="0" w:color="000000"/>
              <w:bottom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tCO₂e</w:t>
            </w:r>
          </w:p>
        </w:tc>
        <w:tc>
          <w:tcPr>
            <w:tcW w:w="1276" w:type="dxa"/>
            <w:tcBorders>
              <w:top w:val="single" w:sz="4" w:space="0" w:color="000000"/>
              <w:bottom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 of total</w:t>
            </w:r>
          </w:p>
        </w:tc>
        <w:tc>
          <w:tcPr>
            <w:tcW w:w="283" w:type="dxa"/>
            <w:tcBorders>
              <w:top w:val="nil"/>
              <w:bottom w:val="single" w:sz="4" w:space="0" w:color="000000"/>
            </w:tcBorders>
          </w:tcPr>
          <w:p>
            <w:pPr>
              <w:pStyle w:val="Normal"/>
              <w:widowControl/>
              <w:spacing w:before="120" w:after="120"/>
              <w:jc w:val="center"/>
              <w:rPr>
                <w:b w:val="false"/>
                <w:bCs w:val="false"/>
                <w:sz w:val="20"/>
                <w:szCs w:val="20"/>
                <w:lang w:val="en-AU"/>
              </w:rPr>
            </w:pPr>
            <w:r>
              <w:rPr>
                <w:b w:val="false"/>
                <w:bCs w:val="false"/>
                <w:kern w:val="0"/>
                <w:sz w:val="20"/>
                <w:szCs w:val="20"/>
                <w:lang w:val="en-AU" w:bidi="ar-SA"/>
              </w:rPr>
            </w:r>
          </w:p>
        </w:tc>
        <w:tc>
          <w:tcPr>
            <w:tcW w:w="1134" w:type="dxa"/>
            <w:tcBorders>
              <w:top w:val="single" w:sz="4" w:space="0" w:color="000000"/>
              <w:bottom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tCO₂e</w:t>
            </w:r>
          </w:p>
        </w:tc>
        <w:tc>
          <w:tcPr>
            <w:tcW w:w="1275" w:type="dxa"/>
            <w:tcBorders>
              <w:top w:val="single" w:sz="4" w:space="0" w:color="000000"/>
              <w:bottom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 of total</w:t>
            </w:r>
          </w:p>
        </w:tc>
        <w:tc>
          <w:tcPr>
            <w:tcW w:w="1276" w:type="dxa"/>
            <w:tcBorders>
              <w:top w:val="single" w:sz="4" w:space="0" w:color="000000"/>
              <w:bottom w:val="single" w:sz="4" w:space="0" w:color="000000"/>
            </w:tcBorders>
          </w:tcPr>
          <w:p>
            <w:pPr>
              <w:pStyle w:val="Normal"/>
              <w:widowControl/>
              <w:spacing w:before="120" w:after="120"/>
              <w:jc w:val="center"/>
              <w:rPr>
                <w:b w:val="false"/>
                <w:bCs w:val="false"/>
                <w:sz w:val="20"/>
                <w:szCs w:val="20"/>
                <w:lang w:val="en-AU"/>
              </w:rPr>
            </w:pPr>
            <w:r>
              <w:rPr>
                <w:rFonts w:eastAsia="Symbol" w:cs="Symbol" w:ascii="Symbol" w:hAnsi="Symbol"/>
                <w:b/>
                <w:bCs/>
                <w:kern w:val="0"/>
                <w:sz w:val="20"/>
                <w:szCs w:val="20"/>
                <w:lang w:val="en-AU" w:bidi="ar-SA"/>
              </w:rPr>
              <w:sym w:font="Symbol" w:char="f044"/>
            </w:r>
            <w:r>
              <w:rPr>
                <w:rFonts w:eastAsia="Yu Mincho"/>
                <w:b/>
                <w:bCs/>
                <w:kern w:val="0"/>
                <w:sz w:val="20"/>
                <w:szCs w:val="20"/>
                <w:lang w:val="en-AU" w:bidi="ar-SA"/>
              </w:rPr>
              <w:t xml:space="preserve"> </w:t>
            </w:r>
            <w:r>
              <w:rPr>
                <w:b/>
                <w:bCs/>
                <w:kern w:val="0"/>
                <w:sz w:val="20"/>
                <w:szCs w:val="20"/>
                <w:lang w:val="en-AU" w:bidi="ar-SA"/>
              </w:rPr>
              <w:t>tCO₂e</w:t>
            </w:r>
          </w:p>
        </w:tc>
      </w:tr>
      <w:tr>
        <w:trPr/>
        <w:tc>
          <w:tcPr>
            <w:tcW w:w="1868" w:type="dxa"/>
            <w:tcBorders>
              <w:top w:val="single" w:sz="4" w:space="0" w:color="000000"/>
              <w:bottom w:val="nil"/>
            </w:tcBorders>
          </w:tcPr>
          <w:p>
            <w:pPr>
              <w:pStyle w:val="Normal"/>
              <w:widowControl/>
              <w:spacing w:before="120" w:after="120"/>
              <w:jc w:val="left"/>
              <w:rPr>
                <w:sz w:val="20"/>
                <w:szCs w:val="20"/>
                <w:lang w:val="en-AU"/>
              </w:rPr>
            </w:pPr>
            <w:r>
              <w:rPr>
                <w:kern w:val="0"/>
                <w:sz w:val="20"/>
                <w:szCs w:val="20"/>
                <w:lang w:val="en-AU" w:bidi="ar-SA"/>
              </w:rPr>
              <w:t>Manufacturing</w:t>
            </w:r>
          </w:p>
        </w:tc>
        <w:tc>
          <w:tcPr>
            <w:tcW w:w="1109"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70.9</w:t>
            </w:r>
          </w:p>
        </w:tc>
        <w:tc>
          <w:tcPr>
            <w:tcW w:w="1276"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26.8%</w:t>
            </w:r>
          </w:p>
        </w:tc>
        <w:tc>
          <w:tcPr>
            <w:tcW w:w="283"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r>
          </w:p>
        </w:tc>
        <w:tc>
          <w:tcPr>
            <w:tcW w:w="1134"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60.6</w:t>
            </w:r>
          </w:p>
        </w:tc>
        <w:tc>
          <w:tcPr>
            <w:tcW w:w="1275"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25.0%</w:t>
            </w:r>
          </w:p>
        </w:tc>
        <w:tc>
          <w:tcPr>
            <w:tcW w:w="1276"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-14.6%</w:t>
            </w:r>
          </w:p>
        </w:tc>
      </w:tr>
      <w:tr>
        <w:trPr/>
        <w:tc>
          <w:tcPr>
            <w:tcW w:w="1868" w:type="dxa"/>
            <w:tcBorders>
              <w:top w:val="nil"/>
              <w:bottom w:val="nil"/>
            </w:tcBorders>
          </w:tcPr>
          <w:p>
            <w:pPr>
              <w:pStyle w:val="Normal"/>
              <w:widowControl/>
              <w:spacing w:before="120" w:after="120"/>
              <w:jc w:val="left"/>
              <w:rPr>
                <w:sz w:val="20"/>
                <w:szCs w:val="20"/>
                <w:lang w:val="en-AU"/>
              </w:rPr>
            </w:pPr>
            <w:r>
              <w:rPr>
                <w:kern w:val="0"/>
                <w:sz w:val="20"/>
                <w:szCs w:val="20"/>
                <w:lang w:val="en-AU" w:bidi="ar-SA"/>
              </w:rPr>
              <w:t>Operations</w:t>
            </w:r>
          </w:p>
        </w:tc>
        <w:tc>
          <w:tcPr>
            <w:tcW w:w="1109"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116.9</w:t>
            </w:r>
          </w:p>
        </w:tc>
        <w:tc>
          <w:tcPr>
            <w:tcW w:w="1276"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44.1%</w:t>
            </w:r>
          </w:p>
        </w:tc>
        <w:tc>
          <w:tcPr>
            <w:tcW w:w="283"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r>
          </w:p>
        </w:tc>
        <w:tc>
          <w:tcPr>
            <w:tcW w:w="1134"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116.9</w:t>
            </w:r>
          </w:p>
        </w:tc>
        <w:tc>
          <w:tcPr>
            <w:tcW w:w="1275"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48.2%</w:t>
            </w:r>
          </w:p>
        </w:tc>
        <w:tc>
          <w:tcPr>
            <w:tcW w:w="1276"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w:t>
            </w:r>
          </w:p>
        </w:tc>
      </w:tr>
      <w:tr>
        <w:trPr/>
        <w:tc>
          <w:tcPr>
            <w:tcW w:w="1868" w:type="dxa"/>
            <w:tcBorders>
              <w:top w:val="nil"/>
              <w:bottom w:val="nil"/>
            </w:tcBorders>
          </w:tcPr>
          <w:p>
            <w:pPr>
              <w:pStyle w:val="Normal"/>
              <w:widowControl/>
              <w:spacing w:before="120" w:after="120"/>
              <w:jc w:val="left"/>
              <w:rPr>
                <w:sz w:val="20"/>
                <w:szCs w:val="20"/>
                <w:lang w:val="en-AU"/>
              </w:rPr>
            </w:pPr>
            <w:r>
              <w:rPr>
                <w:kern w:val="0"/>
                <w:sz w:val="20"/>
                <w:szCs w:val="20"/>
                <w:lang w:val="en-AU" w:bidi="ar-SA"/>
              </w:rPr>
              <w:t>Maintenance</w:t>
            </w:r>
          </w:p>
        </w:tc>
        <w:tc>
          <w:tcPr>
            <w:tcW w:w="1109"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70.9</w:t>
            </w:r>
          </w:p>
        </w:tc>
        <w:tc>
          <w:tcPr>
            <w:tcW w:w="1276"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26.8%</w:t>
            </w:r>
          </w:p>
        </w:tc>
        <w:tc>
          <w:tcPr>
            <w:tcW w:w="283"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r>
          </w:p>
        </w:tc>
        <w:tc>
          <w:tcPr>
            <w:tcW w:w="1134"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60.6</w:t>
            </w:r>
          </w:p>
        </w:tc>
        <w:tc>
          <w:tcPr>
            <w:tcW w:w="1275"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25.0%</w:t>
            </w:r>
          </w:p>
        </w:tc>
        <w:tc>
          <w:tcPr>
            <w:tcW w:w="1276"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-14.6%</w:t>
            </w:r>
          </w:p>
        </w:tc>
      </w:tr>
      <w:tr>
        <w:trPr/>
        <w:tc>
          <w:tcPr>
            <w:tcW w:w="1868" w:type="dxa"/>
            <w:tcBorders>
              <w:top w:val="nil"/>
              <w:bottom w:val="single" w:sz="4" w:space="0" w:color="000000"/>
            </w:tcBorders>
          </w:tcPr>
          <w:p>
            <w:pPr>
              <w:pStyle w:val="Normal"/>
              <w:widowControl/>
              <w:spacing w:before="120" w:after="120"/>
              <w:jc w:val="left"/>
              <w:rPr>
                <w:sz w:val="20"/>
                <w:szCs w:val="20"/>
                <w:lang w:val="en-AU"/>
              </w:rPr>
            </w:pPr>
            <w:r>
              <w:rPr>
                <w:kern w:val="0"/>
                <w:sz w:val="20"/>
                <w:szCs w:val="20"/>
                <w:lang w:val="en-AU" w:bidi="ar-SA"/>
              </w:rPr>
              <w:t>End-of-life</w:t>
            </w:r>
          </w:p>
        </w:tc>
        <w:tc>
          <w:tcPr>
            <w:tcW w:w="1109"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6.4</w:t>
            </w:r>
          </w:p>
        </w:tc>
        <w:tc>
          <w:tcPr>
            <w:tcW w:w="1276"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2.4%</w:t>
            </w:r>
          </w:p>
        </w:tc>
        <w:tc>
          <w:tcPr>
            <w:tcW w:w="283"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r>
          </w:p>
        </w:tc>
        <w:tc>
          <w:tcPr>
            <w:tcW w:w="1134"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4.6</w:t>
            </w:r>
          </w:p>
        </w:tc>
        <w:tc>
          <w:tcPr>
            <w:tcW w:w="1275"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1.9%</w:t>
            </w:r>
          </w:p>
        </w:tc>
        <w:tc>
          <w:tcPr>
            <w:tcW w:w="1276"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-28.2%</w:t>
            </w:r>
          </w:p>
        </w:tc>
      </w:tr>
      <w:tr>
        <w:trPr>
          <w:cnfStyle w:val="010000000000" w:firstRow="0" w:lastRow="1" w:firstColumn="0" w:lastColumn="0" w:oddVBand="0" w:evenVBand="0" w:oddHBand="0" w:evenHBand="0" w:firstRowFirstColumn="0" w:firstRowLastColumn="0" w:lastRowFirstColumn="0" w:lastRowLastColumn="0"/>
        </w:trPr>
        <w:tc>
          <w:tcPr>
            <w:tcW w:w="1868" w:type="dxa"/>
            <w:tcBorders>
              <w:top w:val="single" w:sz="4" w:space="0" w:color="000000"/>
              <w:bottom w:val="single" w:sz="4" w:space="0" w:color="000000"/>
            </w:tcBorders>
          </w:tcPr>
          <w:p>
            <w:pPr>
              <w:pStyle w:val="Normal"/>
              <w:widowControl/>
              <w:spacing w:before="120" w:after="120"/>
              <w:jc w:val="left"/>
              <w:rPr>
                <w:sz w:val="20"/>
                <w:szCs w:val="20"/>
                <w:lang w:val="en-AU"/>
              </w:rPr>
            </w:pPr>
            <w:r>
              <w:rPr>
                <w:b/>
                <w:bCs/>
                <w:kern w:val="0"/>
                <w:sz w:val="20"/>
                <w:szCs w:val="20"/>
                <w:lang w:val="en-AU" w:bidi="ar-SA"/>
              </w:rPr>
              <w:t>Total</w:t>
            </w:r>
          </w:p>
        </w:tc>
        <w:tc>
          <w:tcPr>
            <w:tcW w:w="1109" w:type="dxa"/>
            <w:tcBorders>
              <w:top w:val="single" w:sz="4" w:space="0" w:color="000000"/>
              <w:bottom w:val="single" w:sz="4" w:space="0" w:color="000000"/>
            </w:tcBorders>
          </w:tcPr>
          <w:p>
            <w:pPr>
              <w:pStyle w:val="Normal"/>
              <w:widowControl/>
              <w:spacing w:before="120" w:after="120"/>
              <w:jc w:val="center"/>
              <w:rPr>
                <w:sz w:val="20"/>
                <w:szCs w:val="20"/>
                <w:lang w:val="en-AU"/>
              </w:rPr>
            </w:pPr>
            <w:r>
              <w:rPr>
                <w:b/>
                <w:bCs/>
                <w:kern w:val="0"/>
                <w:sz w:val="20"/>
                <w:szCs w:val="20"/>
                <w:lang w:val="en-AU" w:bidi="ar-SA"/>
              </w:rPr>
              <w:t>265.2</w:t>
            </w:r>
          </w:p>
        </w:tc>
        <w:tc>
          <w:tcPr>
            <w:tcW w:w="1276" w:type="dxa"/>
            <w:tcBorders>
              <w:top w:val="single" w:sz="4" w:space="0" w:color="000000"/>
              <w:bottom w:val="single" w:sz="4" w:space="0" w:color="000000"/>
            </w:tcBorders>
          </w:tcPr>
          <w:p>
            <w:pPr>
              <w:pStyle w:val="Normal"/>
              <w:widowControl/>
              <w:spacing w:before="120" w:after="120"/>
              <w:jc w:val="center"/>
              <w:rPr>
                <w:sz w:val="20"/>
                <w:szCs w:val="20"/>
                <w:lang w:val="en-AU"/>
              </w:rPr>
            </w:pPr>
            <w:r>
              <w:rPr>
                <w:b/>
                <w:bCs/>
                <w:kern w:val="0"/>
                <w:sz w:val="20"/>
                <w:szCs w:val="20"/>
                <w:lang w:val="en-AU" w:bidi="ar-SA"/>
              </w:rPr>
              <w:t>---</w:t>
            </w:r>
          </w:p>
        </w:tc>
        <w:tc>
          <w:tcPr>
            <w:tcW w:w="283" w:type="dxa"/>
            <w:tcBorders>
              <w:top w:val="single" w:sz="4" w:space="0" w:color="000000"/>
              <w:bottom w:val="single" w:sz="4" w:space="0" w:color="000000"/>
            </w:tcBorders>
          </w:tcPr>
          <w:p>
            <w:pPr>
              <w:pStyle w:val="Normal"/>
              <w:widowControl/>
              <w:spacing w:before="120" w:after="120"/>
              <w:jc w:val="center"/>
              <w:rPr>
                <w:sz w:val="20"/>
                <w:szCs w:val="20"/>
                <w:lang w:val="en-AU"/>
              </w:rPr>
            </w:pPr>
            <w:r>
              <w:rPr>
                <w:b/>
                <w:bCs/>
                <w:kern w:val="0"/>
                <w:sz w:val="20"/>
                <w:szCs w:val="20"/>
                <w:lang w:val="en-AU" w:bidi="ar-SA"/>
              </w:rPr>
            </w:r>
          </w:p>
        </w:tc>
        <w:tc>
          <w:tcPr>
            <w:tcW w:w="1134" w:type="dxa"/>
            <w:tcBorders>
              <w:top w:val="single" w:sz="4" w:space="0" w:color="000000"/>
              <w:bottom w:val="single" w:sz="4" w:space="0" w:color="000000"/>
            </w:tcBorders>
          </w:tcPr>
          <w:p>
            <w:pPr>
              <w:pStyle w:val="Normal"/>
              <w:widowControl/>
              <w:spacing w:before="120" w:after="120"/>
              <w:jc w:val="center"/>
              <w:rPr>
                <w:sz w:val="20"/>
                <w:szCs w:val="20"/>
                <w:lang w:val="en-AU"/>
              </w:rPr>
            </w:pPr>
            <w:r>
              <w:rPr>
                <w:b/>
                <w:bCs/>
                <w:kern w:val="0"/>
                <w:sz w:val="20"/>
                <w:szCs w:val="20"/>
                <w:lang w:val="en-AU" w:bidi="ar-SA"/>
              </w:rPr>
              <w:t>242.6</w:t>
            </w:r>
          </w:p>
        </w:tc>
        <w:tc>
          <w:tcPr>
            <w:tcW w:w="1275" w:type="dxa"/>
            <w:tcBorders>
              <w:top w:val="single" w:sz="4" w:space="0" w:color="000000"/>
              <w:bottom w:val="single" w:sz="4" w:space="0" w:color="000000"/>
            </w:tcBorders>
          </w:tcPr>
          <w:p>
            <w:pPr>
              <w:pStyle w:val="Normal"/>
              <w:widowControl/>
              <w:spacing w:before="120" w:after="120"/>
              <w:jc w:val="center"/>
              <w:rPr>
                <w:sz w:val="20"/>
                <w:szCs w:val="20"/>
                <w:lang w:val="en-AU"/>
              </w:rPr>
            </w:pPr>
            <w:r>
              <w:rPr>
                <w:b/>
                <w:bCs/>
                <w:kern w:val="0"/>
                <w:sz w:val="20"/>
                <w:szCs w:val="20"/>
                <w:lang w:val="en-AU" w:bidi="ar-SA"/>
              </w:rPr>
              <w:t>---</w:t>
            </w:r>
          </w:p>
        </w:tc>
        <w:tc>
          <w:tcPr>
            <w:tcW w:w="1276" w:type="dxa"/>
            <w:tcBorders>
              <w:top w:val="single" w:sz="4" w:space="0" w:color="000000"/>
              <w:bottom w:val="single" w:sz="4" w:space="0" w:color="000000"/>
            </w:tcBorders>
          </w:tcPr>
          <w:p>
            <w:pPr>
              <w:pStyle w:val="Normal"/>
              <w:widowControl/>
              <w:spacing w:before="120" w:after="120"/>
              <w:jc w:val="center"/>
              <w:rPr>
                <w:sz w:val="20"/>
                <w:szCs w:val="20"/>
                <w:lang w:val="en-AU"/>
              </w:rPr>
            </w:pPr>
            <w:r>
              <w:rPr>
                <w:b/>
                <w:bCs/>
                <w:kern w:val="0"/>
                <w:sz w:val="20"/>
                <w:szCs w:val="20"/>
                <w:lang w:val="en-AU" w:bidi="ar-SA"/>
              </w:rPr>
              <w:t>-8.5%</w:t>
            </w:r>
          </w:p>
        </w:tc>
      </w:tr>
    </w:tbl>
    <w:p>
      <w:pPr>
        <w:pStyle w:val="Normal"/>
        <w:rPr>
          <w:sz w:val="20"/>
          <w:szCs w:val="20"/>
        </w:rPr>
      </w:pPr>
      <w:r>
        <w:rPr>
          <w:sz w:val="20"/>
          <w:szCs w:val="20"/>
        </w:rPr>
      </w:r>
    </w:p>
    <w:p>
      <w:pPr>
        <w:pStyle w:val="Normal"/>
        <w:rPr>
          <w:sz w:val="20"/>
          <w:szCs w:val="20"/>
        </w:rPr>
      </w:pPr>
      <w:r>
        <w:rPr>
          <w:sz w:val="20"/>
          <w:szCs w:val="20"/>
        </w:rPr>
      </w:r>
    </w:p>
    <w:p>
      <w:pPr>
        <w:pStyle w:val="Normal"/>
        <w:spacing w:lineRule="auto" w:line="360" w:before="0" w:after="240"/>
        <w:rPr>
          <w:b/>
          <w:bCs/>
          <w:sz w:val="20"/>
          <w:szCs w:val="20"/>
        </w:rPr>
      </w:pPr>
      <w:r>
        <w:rPr>
          <w:b/>
          <w:bCs/>
          <w:sz w:val="20"/>
          <w:szCs w:val="20"/>
        </w:rPr>
        <w:t>Sensitivity Analysis: End-of-Life Recycling</w:t>
      </w:r>
    </w:p>
    <w:p>
      <w:pPr>
        <w:pStyle w:val="Normal"/>
        <w:spacing w:lineRule="auto" w:line="360" w:before="0" w:after="240"/>
        <w:rPr>
          <w:sz w:val="20"/>
          <w:szCs w:val="20"/>
        </w:rPr>
      </w:pPr>
      <w:r>
        <w:rPr>
          <w:sz w:val="20"/>
          <w:szCs w:val="20"/>
        </w:rPr>
        <w:t>The baseline end-of-life scenario assumed 100% incineration due to the complications surrounding military aircraft disposal, including export controls, security requirements, and the absence of established recycling infrastructure. To assess the potential for emissions reduction from material recovery, we modelled a recycling scenario based on commercial aviation practices but adapted with conservative assumptions to reflect military constraints.</w:t>
      </w:r>
    </w:p>
    <w:p>
      <w:pPr>
        <w:pStyle w:val="Normal"/>
        <w:spacing w:lineRule="auto" w:line="360" w:before="0" w:after="240"/>
        <w:ind w:firstLine="720"/>
        <w:rPr>
          <w:sz w:val="20"/>
          <w:szCs w:val="20"/>
        </w:rPr>
      </w:pPr>
      <w:r>
        <w:rPr>
          <w:sz w:val="20"/>
          <w:szCs w:val="20"/>
        </w:rPr>
        <w:t xml:space="preserve">Although commercial programs such as the EU's PAMELA achieve 85% aircraft material recovery rates (European Commission, n.d.), military applications face unique limitations. We estimated 50% recovery of metallic components, accounting for aerospace requalification requirements (Page </w:t>
      </w:r>
      <w:r>
        <w:rPr>
          <w:i/>
          <w:sz w:val="20"/>
          <w:szCs w:val="20"/>
        </w:rPr>
        <w:t>et al.</w:t>
      </w:r>
      <w:r>
        <w:rPr>
          <w:sz w:val="20"/>
          <w:szCs w:val="20"/>
        </w:rPr>
        <w:t xml:space="preserve">, 2025), sorting quality limitations, the additional processing energy required for aerospace-grade specifications (Asmatulu </w:t>
      </w:r>
      <w:r>
        <w:rPr>
          <w:i/>
          <w:sz w:val="20"/>
          <w:szCs w:val="20"/>
        </w:rPr>
        <w:t>et al.</w:t>
      </w:r>
      <w:r>
        <w:rPr>
          <w:sz w:val="20"/>
          <w:szCs w:val="20"/>
        </w:rPr>
        <w:t xml:space="preserve">, 2013), and operational uncertainties including customer facility recycling capabilities and potential aircraft losses. Since metallics comprise 59% of the UAS mass, this recovery rate yields approximately 30% of total aircraft mass for recycling. Whilst Rahn </w:t>
      </w:r>
      <w:r>
        <w:rPr>
          <w:i/>
          <w:sz w:val="20"/>
          <w:szCs w:val="20"/>
        </w:rPr>
        <w:t>et al.</w:t>
      </w:r>
      <w:r>
        <w:rPr>
          <w:sz w:val="20"/>
          <w:szCs w:val="20"/>
        </w:rPr>
        <w:t xml:space="preserve"> (2022) estimated 41% recycling for commercial aircraft, they did not specify which materials corresponded to each recycling pathway, making a more direct comparison difficult. Using emission factors from Asmatulu </w:t>
      </w:r>
      <w:r>
        <w:rPr>
          <w:i/>
          <w:sz w:val="20"/>
          <w:szCs w:val="20"/>
        </w:rPr>
        <w:t>et al.</w:t>
      </w:r>
      <w:r>
        <w:rPr>
          <w:sz w:val="20"/>
          <w:szCs w:val="20"/>
        </w:rPr>
        <w:t xml:space="preserve"> (2013) for metallic recycling, this scenario would reduce total lifecycle emissions by 22.6 tCO₂e (8.5%) per aircraft.</w:t>
      </w:r>
    </w:p>
    <w:p>
      <w:pPr>
        <w:pStyle w:val="Normal"/>
        <w:spacing w:lineRule="auto" w:line="360" w:before="0" w:after="240"/>
        <w:ind w:firstLine="720"/>
        <w:rPr>
          <w:sz w:val="20"/>
          <w:szCs w:val="20"/>
        </w:rPr>
      </w:pPr>
      <w:r>
        <w:rPr>
          <w:sz w:val="20"/>
          <w:szCs w:val="20"/>
        </w:rPr>
        <w:t>The recycling scenario reduces manufacturing and maintenance emissions each by 14.6% through material credits (avoided primary metal production), whilst end-of-life impacts decrease by 28.2%. The operations percentage increases from 44.1% to 48.2% due to the reduced total lifecycle emissions, not from increased operational emissions. This analysis demonstrates that developing secure material recovery protocols could provide meaningful emissions reductions. Even with conservative 50% metallic recycling assumptions, there is substantial mitigation potential for non-operational phase emissions.</w:t>
      </w:r>
    </w:p>
    <w:p>
      <w:pPr>
        <w:pStyle w:val="Normal"/>
        <w:spacing w:lineRule="auto" w:line="360"/>
        <w:rPr>
          <w:b/>
          <w:bCs/>
          <w:sz w:val="20"/>
          <w:szCs w:val="20"/>
        </w:rPr>
      </w:pPr>
      <w:r>
        <w:rPr>
          <w:b/>
          <w:bCs/>
          <w:sz w:val="20"/>
          <w:szCs w:val="20"/>
        </w:rPr>
      </w:r>
      <w:r>
        <w:br w:type="page"/>
      </w:r>
    </w:p>
    <w:p>
      <w:pPr>
        <w:pStyle w:val="Normal"/>
        <w:spacing w:before="0" w:after="0"/>
        <w:rPr>
          <w:b/>
          <w:bCs/>
        </w:rPr>
      </w:pPr>
      <w:r>
        <w:rPr>
          <w:b/>
          <w:bCs/>
        </w:rPr>
        <w:t>Table S8. Sensitivity analysis of material simplification &amp; excluded mass</w:t>
      </w:r>
    </w:p>
    <w:p>
      <w:pPr>
        <w:pStyle w:val="Caption"/>
        <w:rPr>
          <w:rFonts w:cs="Times New Roman"/>
        </w:rPr>
      </w:pPr>
      <w:r>
        <w:rPr>
          <w:rFonts w:cs="Times New Roman"/>
        </w:rPr>
        <w:t xml:space="preserve">Table S8. </w:t>
      </w:r>
      <w:r>
        <w:rPr/>
        <w:t>Sensitivity analysis of material simplification and excluded mass impacts on lifecycle phase emissions. Baseline represents 95% aircraft mass coverage with simplified material allocation (primary material only for multi-material components). Sensitivity scenario includes probability-weighted emissions for excluded 5% mass based on material distribution in modelled 95%</w:t>
      </w:r>
    </w:p>
    <w:tbl>
      <w:tblPr>
        <w:tblStyle w:val="ListTable6Colourful1"/>
        <w:tblW w:w="8364" w:type="dxa"/>
        <w:jc w:val="left"/>
        <w:tblInd w:w="0" w:type="dxa"/>
        <w:tblLayout w:type="fixed"/>
        <w:tblCellMar>
          <w:top w:w="0" w:type="dxa"/>
          <w:left w:w="108" w:type="dxa"/>
          <w:bottom w:w="0" w:type="dxa"/>
          <w:right w:w="108" w:type="dxa"/>
        </w:tblCellMar>
        <w:tblLook w:firstRow="1" w:noVBand="1" w:lastRow="1" w:firstColumn="0" w:lastColumn="0" w:noHBand="1" w:val="0660"/>
      </w:tblPr>
      <w:tblGrid>
        <w:gridCol w:w="1930"/>
        <w:gridCol w:w="1046"/>
        <w:gridCol w:w="1560"/>
        <w:gridCol w:w="237"/>
        <w:gridCol w:w="897"/>
        <w:gridCol w:w="1702"/>
        <w:gridCol w:w="991"/>
      </w:tblGrid>
      <w:tr>
        <w:trPr>
          <w:tblHeader w:val="true"/>
          <w:cantSplit w:val="true"/>
          <w:cnfStyle w:val="100000000000" w:firstRow="1" w:lastRow="0" w:firstColumn="0" w:lastColumn="0" w:oddVBand="0" w:evenVBand="0" w:oddHBand="0" w:evenHBand="0" w:firstRowFirstColumn="0" w:firstRowLastColumn="0" w:lastRowFirstColumn="0" w:lastRowLastColumn="0"/>
        </w:trPr>
        <w:tc>
          <w:tcPr>
            <w:tcW w:w="1930" w:type="dxa"/>
            <w:vMerge w:val="restart"/>
            <w:tcBorders/>
            <w:vAlign w:val="center"/>
          </w:tcPr>
          <w:p>
            <w:pPr>
              <w:pStyle w:val="Normal"/>
              <w:widowControl/>
              <w:spacing w:before="120" w:after="120"/>
              <w:jc w:val="left"/>
              <w:rPr>
                <w:sz w:val="20"/>
                <w:szCs w:val="20"/>
                <w:lang w:val="en-AU"/>
              </w:rPr>
            </w:pPr>
            <w:r>
              <w:rPr>
                <w:b/>
                <w:bCs/>
                <w:color w:val="000000"/>
                <w:kern w:val="0"/>
                <w:sz w:val="20"/>
                <w:szCs w:val="20"/>
                <w:lang w:val="en-AU" w:bidi="ar-SA"/>
              </w:rPr>
              <w:t>Life Cycle Phase</w:t>
            </w:r>
          </w:p>
        </w:tc>
        <w:tc>
          <w:tcPr>
            <w:tcW w:w="2606" w:type="dxa"/>
            <w:gridSpan w:val="2"/>
            <w:tcBorders/>
          </w:tcPr>
          <w:p>
            <w:pPr>
              <w:pStyle w:val="Normal"/>
              <w:widowControl/>
              <w:spacing w:before="120" w:after="120"/>
              <w:jc w:val="center"/>
              <w:rPr>
                <w:sz w:val="20"/>
                <w:szCs w:val="20"/>
                <w:lang w:val="en-AU"/>
              </w:rPr>
            </w:pPr>
            <w:r>
              <w:rPr>
                <w:b/>
                <w:bCs/>
                <w:color w:val="000000"/>
                <w:kern w:val="0"/>
                <w:sz w:val="20"/>
                <w:szCs w:val="20"/>
                <w:lang w:val="en-AU" w:bidi="ar-SA"/>
              </w:rPr>
              <w:t>Baseline (as reported)</w:t>
            </w:r>
          </w:p>
        </w:tc>
        <w:tc>
          <w:tcPr>
            <w:tcW w:w="237" w:type="dxa"/>
            <w:tcBorders>
              <w:bottom w:val="nil"/>
            </w:tcBorders>
          </w:tcPr>
          <w:p>
            <w:pPr>
              <w:pStyle w:val="Normal"/>
              <w:widowControl/>
              <w:spacing w:before="120" w:after="120"/>
              <w:jc w:val="center"/>
              <w:rPr>
                <w:b w:val="false"/>
                <w:bCs w:val="false"/>
                <w:sz w:val="20"/>
                <w:szCs w:val="20"/>
                <w:lang w:val="en-AU"/>
              </w:rPr>
            </w:pPr>
            <w:r>
              <w:rPr>
                <w:b w:val="false"/>
                <w:bCs w:val="false"/>
                <w:color w:val="000000"/>
                <w:kern w:val="0"/>
                <w:sz w:val="20"/>
                <w:szCs w:val="20"/>
                <w:lang w:val="en-AU" w:bidi="ar-SA"/>
              </w:rPr>
            </w:r>
          </w:p>
        </w:tc>
        <w:tc>
          <w:tcPr>
            <w:tcW w:w="3590" w:type="dxa"/>
            <w:gridSpan w:val="3"/>
            <w:tcBorders/>
          </w:tcPr>
          <w:p>
            <w:pPr>
              <w:pStyle w:val="Normal"/>
              <w:widowControl/>
              <w:spacing w:before="120" w:after="120"/>
              <w:jc w:val="center"/>
              <w:rPr>
                <w:b w:val="false"/>
                <w:bCs w:val="false"/>
                <w:sz w:val="20"/>
                <w:szCs w:val="20"/>
                <w:lang w:val="en-AU"/>
              </w:rPr>
            </w:pPr>
            <w:r>
              <w:rPr>
                <w:b/>
                <w:bCs/>
                <w:color w:val="000000"/>
                <w:kern w:val="0"/>
                <w:sz w:val="20"/>
                <w:szCs w:val="20"/>
                <w:lang w:val="en-AU" w:bidi="ar-SA"/>
              </w:rPr>
              <w:t>With 5% excluded mass</w:t>
            </w:r>
          </w:p>
        </w:tc>
      </w:tr>
      <w:tr>
        <w:trPr>
          <w:tblHeader w:val="true"/>
          <w:cantSplit w:val="true"/>
          <w:cnfStyle w:val="100000000000" w:firstRow="1" w:lastRow="0" w:firstColumn="0" w:lastColumn="0" w:oddVBand="0" w:evenVBand="0" w:oddHBand="0" w:evenHBand="0" w:firstRowFirstColumn="0" w:firstRowLastColumn="0" w:lastRowFirstColumn="0" w:lastRowLastColumn="0"/>
        </w:trPr>
        <w:tc>
          <w:tcPr>
            <w:tcW w:w="1930" w:type="dxa"/>
            <w:vMerge w:val="continue"/>
            <w:tcBorders>
              <w:top w:val="nil"/>
            </w:tcBorders>
          </w:tcPr>
          <w:p>
            <w:pPr>
              <w:pStyle w:val="Normal"/>
              <w:widowControl/>
              <w:spacing w:before="120" w:after="120"/>
              <w:jc w:val="center"/>
              <w:rPr>
                <w:sz w:val="20"/>
                <w:szCs w:val="20"/>
                <w:lang w:val="en-AU"/>
              </w:rPr>
            </w:pPr>
            <w:r>
              <w:rPr>
                <w:b/>
                <w:bCs/>
                <w:color w:val="000000"/>
                <w:kern w:val="0"/>
                <w:sz w:val="20"/>
                <w:szCs w:val="20"/>
                <w:lang w:val="en-AU" w:bidi="ar-SA"/>
              </w:rPr>
            </w:r>
          </w:p>
        </w:tc>
        <w:tc>
          <w:tcPr>
            <w:tcW w:w="1046" w:type="dxa"/>
            <w:tcBorders/>
          </w:tcPr>
          <w:p>
            <w:pPr>
              <w:pStyle w:val="Normal"/>
              <w:widowControl/>
              <w:spacing w:before="120" w:after="120"/>
              <w:jc w:val="center"/>
              <w:rPr>
                <w:sz w:val="20"/>
                <w:szCs w:val="20"/>
                <w:lang w:val="en-AU"/>
              </w:rPr>
            </w:pPr>
            <w:r>
              <w:rPr>
                <w:b/>
                <w:bCs/>
                <w:color w:val="000000"/>
                <w:kern w:val="0"/>
                <w:sz w:val="20"/>
                <w:szCs w:val="20"/>
                <w:lang w:val="en-AU" w:bidi="ar-SA"/>
              </w:rPr>
              <w:t>tCO₂e</w:t>
            </w:r>
          </w:p>
        </w:tc>
        <w:tc>
          <w:tcPr>
            <w:tcW w:w="1560" w:type="dxa"/>
            <w:tcBorders/>
          </w:tcPr>
          <w:p>
            <w:pPr>
              <w:pStyle w:val="Normal"/>
              <w:widowControl/>
              <w:spacing w:before="120" w:after="120"/>
              <w:jc w:val="center"/>
              <w:rPr>
                <w:sz w:val="20"/>
                <w:szCs w:val="20"/>
                <w:lang w:val="en-AU"/>
              </w:rPr>
            </w:pPr>
            <w:r>
              <w:rPr>
                <w:b/>
                <w:bCs/>
                <w:color w:val="000000"/>
                <w:kern w:val="0"/>
                <w:sz w:val="20"/>
                <w:szCs w:val="20"/>
                <w:lang w:val="en-AU" w:bidi="ar-SA"/>
              </w:rPr>
              <w:t>% of total</w:t>
            </w:r>
          </w:p>
        </w:tc>
        <w:tc>
          <w:tcPr>
            <w:tcW w:w="237" w:type="dxa"/>
            <w:tcBorders>
              <w:top w:val="nil"/>
            </w:tcBorders>
          </w:tcPr>
          <w:p>
            <w:pPr>
              <w:pStyle w:val="Normal"/>
              <w:widowControl/>
              <w:spacing w:before="120" w:after="120"/>
              <w:jc w:val="center"/>
              <w:rPr>
                <w:sz w:val="20"/>
                <w:szCs w:val="20"/>
                <w:lang w:val="en-AU"/>
              </w:rPr>
            </w:pPr>
            <w:r>
              <w:rPr>
                <w:b/>
                <w:bCs/>
                <w:color w:val="000000"/>
                <w:kern w:val="0"/>
                <w:sz w:val="20"/>
                <w:szCs w:val="20"/>
                <w:lang w:val="en-AU" w:bidi="ar-SA"/>
              </w:rPr>
            </w:r>
          </w:p>
        </w:tc>
        <w:tc>
          <w:tcPr>
            <w:tcW w:w="897" w:type="dxa"/>
            <w:tcBorders/>
          </w:tcPr>
          <w:p>
            <w:pPr>
              <w:pStyle w:val="Normal"/>
              <w:widowControl/>
              <w:spacing w:before="120" w:after="120"/>
              <w:jc w:val="center"/>
              <w:rPr>
                <w:sz w:val="20"/>
                <w:szCs w:val="20"/>
                <w:lang w:val="en-AU"/>
              </w:rPr>
            </w:pPr>
            <w:r>
              <w:rPr>
                <w:b/>
                <w:bCs/>
                <w:color w:val="000000"/>
                <w:kern w:val="0"/>
                <w:sz w:val="20"/>
                <w:szCs w:val="20"/>
                <w:lang w:val="en-AU" w:bidi="ar-SA"/>
              </w:rPr>
              <w:t>tCO₂e</w:t>
            </w:r>
          </w:p>
        </w:tc>
        <w:tc>
          <w:tcPr>
            <w:tcW w:w="1702" w:type="dxa"/>
            <w:tcBorders/>
          </w:tcPr>
          <w:p>
            <w:pPr>
              <w:pStyle w:val="Normal"/>
              <w:widowControl/>
              <w:spacing w:before="120" w:after="120"/>
              <w:jc w:val="center"/>
              <w:rPr>
                <w:sz w:val="20"/>
                <w:szCs w:val="20"/>
                <w:lang w:val="en-AU"/>
              </w:rPr>
            </w:pPr>
            <w:r>
              <w:rPr>
                <w:b/>
                <w:bCs/>
                <w:color w:val="000000"/>
                <w:kern w:val="0"/>
                <w:sz w:val="20"/>
                <w:szCs w:val="20"/>
                <w:lang w:val="en-AU" w:bidi="ar-SA"/>
              </w:rPr>
              <w:t>% of total</w:t>
            </w:r>
          </w:p>
        </w:tc>
        <w:tc>
          <w:tcPr>
            <w:tcW w:w="991" w:type="dxa"/>
            <w:tcBorders/>
          </w:tcPr>
          <w:p>
            <w:pPr>
              <w:pStyle w:val="Normal"/>
              <w:widowControl/>
              <w:spacing w:before="120" w:after="120"/>
              <w:jc w:val="center"/>
              <w:rPr>
                <w:sz w:val="20"/>
                <w:szCs w:val="20"/>
                <w:lang w:val="en-AU"/>
              </w:rPr>
            </w:pPr>
            <w:r>
              <w:rPr>
                <w:rFonts w:eastAsia="Symbol" w:cs="Symbol" w:ascii="Symbol" w:hAnsi="Symbol"/>
                <w:b/>
                <w:bCs/>
                <w:color w:val="000000"/>
                <w:kern w:val="0"/>
                <w:sz w:val="20"/>
                <w:szCs w:val="20"/>
                <w:lang w:val="en-AU" w:bidi="ar-SA"/>
              </w:rPr>
              <w:sym w:font="Symbol" w:char="f044"/>
            </w:r>
            <w:r>
              <w:rPr>
                <w:b/>
                <w:bCs/>
                <w:color w:val="000000"/>
                <w:kern w:val="0"/>
                <w:sz w:val="20"/>
                <w:szCs w:val="20"/>
                <w:lang w:val="en-AU" w:bidi="ar-SA"/>
              </w:rPr>
              <w:t xml:space="preserve"> </w:t>
            </w:r>
            <w:r>
              <w:rPr>
                <w:b/>
                <w:bCs/>
                <w:color w:val="000000"/>
                <w:kern w:val="0"/>
                <w:sz w:val="20"/>
                <w:szCs w:val="20"/>
                <w:lang w:val="en-AU" w:bidi="ar-SA"/>
              </w:rPr>
              <w:t>tCO₂e</w:t>
            </w:r>
          </w:p>
        </w:tc>
      </w:tr>
      <w:tr>
        <w:trPr/>
        <w:tc>
          <w:tcPr>
            <w:tcW w:w="1930" w:type="dxa"/>
            <w:tcBorders>
              <w:bottom w:val="nil"/>
            </w:tcBorders>
          </w:tcPr>
          <w:p>
            <w:pPr>
              <w:pStyle w:val="Normal"/>
              <w:widowControl/>
              <w:spacing w:before="120" w:after="120"/>
              <w:jc w:val="left"/>
              <w:rPr>
                <w:sz w:val="20"/>
                <w:szCs w:val="20"/>
                <w:lang w:val="en-AU"/>
              </w:rPr>
            </w:pPr>
            <w:r>
              <w:rPr>
                <w:color w:val="000000"/>
                <w:kern w:val="0"/>
                <w:sz w:val="20"/>
                <w:szCs w:val="20"/>
                <w:lang w:val="en-AU" w:bidi="ar-SA"/>
              </w:rPr>
              <w:t>Manufacturing</w:t>
            </w:r>
          </w:p>
        </w:tc>
        <w:tc>
          <w:tcPr>
            <w:tcW w:w="1046" w:type="dxa"/>
            <w:tcBorders>
              <w:bottom w:val="nil"/>
            </w:tcBorders>
          </w:tcPr>
          <w:p>
            <w:pPr>
              <w:pStyle w:val="Normal"/>
              <w:widowControl/>
              <w:spacing w:before="120" w:after="120"/>
              <w:jc w:val="center"/>
              <w:rPr>
                <w:sz w:val="20"/>
                <w:szCs w:val="20"/>
                <w:lang w:val="en-AU"/>
              </w:rPr>
            </w:pPr>
            <w:r>
              <w:rPr>
                <w:color w:val="000000"/>
                <w:kern w:val="0"/>
                <w:sz w:val="20"/>
                <w:szCs w:val="20"/>
                <w:lang w:val="en-AU" w:bidi="ar-SA"/>
              </w:rPr>
              <w:t>71</w:t>
            </w:r>
          </w:p>
        </w:tc>
        <w:tc>
          <w:tcPr>
            <w:tcW w:w="1560" w:type="dxa"/>
            <w:tcBorders>
              <w:bottom w:val="nil"/>
            </w:tcBorders>
          </w:tcPr>
          <w:p>
            <w:pPr>
              <w:pStyle w:val="Normal"/>
              <w:widowControl/>
              <w:spacing w:before="120" w:after="120"/>
              <w:jc w:val="center"/>
              <w:rPr>
                <w:sz w:val="20"/>
                <w:szCs w:val="20"/>
                <w:lang w:val="en-AU"/>
              </w:rPr>
            </w:pPr>
            <w:r>
              <w:rPr>
                <w:color w:val="000000"/>
                <w:kern w:val="0"/>
                <w:sz w:val="20"/>
                <w:szCs w:val="20"/>
                <w:lang w:val="en-AU" w:bidi="ar-SA"/>
              </w:rPr>
              <w:t>26.8%</w:t>
            </w:r>
          </w:p>
        </w:tc>
        <w:tc>
          <w:tcPr>
            <w:tcW w:w="237" w:type="dxa"/>
            <w:tcBorders>
              <w:bottom w:val="nil"/>
            </w:tcBorders>
          </w:tcPr>
          <w:p>
            <w:pPr>
              <w:pStyle w:val="Normal"/>
              <w:widowControl/>
              <w:spacing w:before="120" w:after="120"/>
              <w:jc w:val="center"/>
              <w:rPr>
                <w:sz w:val="20"/>
                <w:szCs w:val="20"/>
                <w:lang w:val="en-AU"/>
              </w:rPr>
            </w:pPr>
            <w:r>
              <w:rPr>
                <w:color w:val="000000"/>
                <w:kern w:val="0"/>
                <w:sz w:val="20"/>
                <w:szCs w:val="20"/>
                <w:lang w:val="en-AU" w:bidi="ar-SA"/>
              </w:rPr>
            </w:r>
          </w:p>
        </w:tc>
        <w:tc>
          <w:tcPr>
            <w:tcW w:w="897" w:type="dxa"/>
            <w:tcBorders>
              <w:bottom w:val="nil"/>
            </w:tcBorders>
          </w:tcPr>
          <w:p>
            <w:pPr>
              <w:pStyle w:val="Normal"/>
              <w:widowControl/>
              <w:spacing w:before="120" w:after="120"/>
              <w:jc w:val="center"/>
              <w:rPr>
                <w:sz w:val="20"/>
                <w:szCs w:val="20"/>
                <w:lang w:val="en-AU"/>
              </w:rPr>
            </w:pPr>
            <w:r>
              <w:rPr>
                <w:color w:val="000000"/>
                <w:kern w:val="0"/>
                <w:sz w:val="20"/>
                <w:szCs w:val="20"/>
                <w:lang w:val="en-AU" w:bidi="ar-SA"/>
              </w:rPr>
              <w:t>74.9</w:t>
            </w:r>
          </w:p>
        </w:tc>
        <w:tc>
          <w:tcPr>
            <w:tcW w:w="1702" w:type="dxa"/>
            <w:tcBorders>
              <w:bottom w:val="nil"/>
            </w:tcBorders>
          </w:tcPr>
          <w:p>
            <w:pPr>
              <w:pStyle w:val="Normal"/>
              <w:widowControl/>
              <w:spacing w:before="120" w:after="120"/>
              <w:jc w:val="center"/>
              <w:rPr>
                <w:sz w:val="20"/>
                <w:szCs w:val="20"/>
                <w:lang w:val="en-AU"/>
              </w:rPr>
            </w:pPr>
            <w:r>
              <w:rPr>
                <w:color w:val="000000"/>
                <w:kern w:val="0"/>
                <w:sz w:val="20"/>
                <w:szCs w:val="20"/>
                <w:lang w:val="en-AU" w:bidi="ar-SA"/>
              </w:rPr>
              <w:t>27.4%</w:t>
            </w:r>
          </w:p>
        </w:tc>
        <w:tc>
          <w:tcPr>
            <w:tcW w:w="991" w:type="dxa"/>
            <w:tcBorders>
              <w:bottom w:val="nil"/>
            </w:tcBorders>
          </w:tcPr>
          <w:p>
            <w:pPr>
              <w:pStyle w:val="Normal"/>
              <w:widowControl/>
              <w:spacing w:before="120" w:after="120"/>
              <w:jc w:val="center"/>
              <w:rPr>
                <w:sz w:val="20"/>
                <w:szCs w:val="20"/>
                <w:lang w:val="en-AU"/>
              </w:rPr>
            </w:pPr>
            <w:r>
              <w:rPr>
                <w:color w:val="000000"/>
                <w:kern w:val="0"/>
                <w:sz w:val="20"/>
                <w:szCs w:val="20"/>
                <w:lang w:val="en-AU" w:bidi="ar-SA"/>
              </w:rPr>
              <w:t>+5.6%</w:t>
            </w:r>
          </w:p>
        </w:tc>
      </w:tr>
      <w:tr>
        <w:trPr/>
        <w:tc>
          <w:tcPr>
            <w:tcW w:w="193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Operations</w:t>
            </w:r>
          </w:p>
        </w:tc>
        <w:tc>
          <w:tcPr>
            <w:tcW w:w="1046"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117</w:t>
            </w:r>
          </w:p>
        </w:tc>
        <w:tc>
          <w:tcPr>
            <w:tcW w:w="1560"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44.1%</w:t>
            </w:r>
          </w:p>
        </w:tc>
        <w:tc>
          <w:tcPr>
            <w:tcW w:w="237"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r>
          </w:p>
        </w:tc>
        <w:tc>
          <w:tcPr>
            <w:tcW w:w="897"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117</w:t>
            </w:r>
          </w:p>
        </w:tc>
        <w:tc>
          <w:tcPr>
            <w:tcW w:w="1702"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42.8%</w:t>
            </w:r>
          </w:p>
        </w:tc>
        <w:tc>
          <w:tcPr>
            <w:tcW w:w="9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0%</w:t>
            </w:r>
          </w:p>
        </w:tc>
      </w:tr>
      <w:tr>
        <w:trPr/>
        <w:tc>
          <w:tcPr>
            <w:tcW w:w="1930" w:type="dxa"/>
            <w:tcBorders>
              <w:top w:val="nil"/>
              <w:bottom w:val="nil"/>
            </w:tcBorders>
          </w:tcPr>
          <w:p>
            <w:pPr>
              <w:pStyle w:val="Normal"/>
              <w:widowControl/>
              <w:spacing w:before="120" w:after="120"/>
              <w:jc w:val="left"/>
              <w:rPr>
                <w:sz w:val="20"/>
                <w:szCs w:val="20"/>
                <w:lang w:val="en-AU"/>
              </w:rPr>
            </w:pPr>
            <w:r>
              <w:rPr>
                <w:color w:val="000000"/>
                <w:kern w:val="0"/>
                <w:sz w:val="20"/>
                <w:szCs w:val="20"/>
                <w:lang w:val="en-AU" w:bidi="ar-SA"/>
              </w:rPr>
              <w:t>Maintenance</w:t>
            </w:r>
          </w:p>
        </w:tc>
        <w:tc>
          <w:tcPr>
            <w:tcW w:w="1046"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71</w:t>
            </w:r>
          </w:p>
        </w:tc>
        <w:tc>
          <w:tcPr>
            <w:tcW w:w="1560"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26.8%</w:t>
            </w:r>
          </w:p>
        </w:tc>
        <w:tc>
          <w:tcPr>
            <w:tcW w:w="237"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r>
          </w:p>
        </w:tc>
        <w:tc>
          <w:tcPr>
            <w:tcW w:w="897"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74.9</w:t>
            </w:r>
          </w:p>
        </w:tc>
        <w:tc>
          <w:tcPr>
            <w:tcW w:w="1702"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27.4%</w:t>
            </w:r>
          </w:p>
        </w:tc>
        <w:tc>
          <w:tcPr>
            <w:tcW w:w="991" w:type="dxa"/>
            <w:tcBorders>
              <w:top w:val="nil"/>
              <w:bottom w:val="nil"/>
            </w:tcBorders>
          </w:tcPr>
          <w:p>
            <w:pPr>
              <w:pStyle w:val="Normal"/>
              <w:widowControl/>
              <w:spacing w:before="120" w:after="120"/>
              <w:jc w:val="center"/>
              <w:rPr>
                <w:sz w:val="20"/>
                <w:szCs w:val="20"/>
                <w:lang w:val="en-AU"/>
              </w:rPr>
            </w:pPr>
            <w:r>
              <w:rPr>
                <w:color w:val="000000"/>
                <w:kern w:val="0"/>
                <w:sz w:val="20"/>
                <w:szCs w:val="20"/>
                <w:lang w:val="en-AU" w:bidi="ar-SA"/>
              </w:rPr>
              <w:t>+5.6%</w:t>
            </w:r>
          </w:p>
        </w:tc>
      </w:tr>
      <w:tr>
        <w:trPr/>
        <w:tc>
          <w:tcPr>
            <w:tcW w:w="1930" w:type="dxa"/>
            <w:tcBorders>
              <w:top w:val="nil"/>
            </w:tcBorders>
          </w:tcPr>
          <w:p>
            <w:pPr>
              <w:pStyle w:val="Normal"/>
              <w:widowControl/>
              <w:spacing w:before="120" w:after="120"/>
              <w:jc w:val="left"/>
              <w:rPr>
                <w:sz w:val="20"/>
                <w:szCs w:val="20"/>
                <w:lang w:val="en-AU"/>
              </w:rPr>
            </w:pPr>
            <w:r>
              <w:rPr>
                <w:color w:val="000000"/>
                <w:kern w:val="0"/>
                <w:sz w:val="20"/>
                <w:szCs w:val="20"/>
                <w:lang w:val="en-AU" w:bidi="ar-SA"/>
              </w:rPr>
              <w:t>End-of-life</w:t>
            </w:r>
          </w:p>
        </w:tc>
        <w:tc>
          <w:tcPr>
            <w:tcW w:w="1046"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7</w:t>
            </w:r>
          </w:p>
        </w:tc>
        <w:tc>
          <w:tcPr>
            <w:tcW w:w="1560"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2.4%</w:t>
            </w:r>
          </w:p>
        </w:tc>
        <w:tc>
          <w:tcPr>
            <w:tcW w:w="237"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r>
          </w:p>
        </w:tc>
        <w:tc>
          <w:tcPr>
            <w:tcW w:w="897"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7</w:t>
            </w:r>
          </w:p>
        </w:tc>
        <w:tc>
          <w:tcPr>
            <w:tcW w:w="1702"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2.4%</w:t>
            </w:r>
          </w:p>
        </w:tc>
        <w:tc>
          <w:tcPr>
            <w:tcW w:w="991" w:type="dxa"/>
            <w:tcBorders>
              <w:top w:val="nil"/>
            </w:tcBorders>
          </w:tcPr>
          <w:p>
            <w:pPr>
              <w:pStyle w:val="Normal"/>
              <w:widowControl/>
              <w:spacing w:before="120" w:after="120"/>
              <w:jc w:val="center"/>
              <w:rPr>
                <w:sz w:val="20"/>
                <w:szCs w:val="20"/>
                <w:lang w:val="en-AU"/>
              </w:rPr>
            </w:pPr>
            <w:r>
              <w:rPr>
                <w:color w:val="000000"/>
                <w:kern w:val="0"/>
                <w:sz w:val="20"/>
                <w:szCs w:val="20"/>
                <w:lang w:val="en-AU" w:bidi="ar-SA"/>
              </w:rPr>
              <w:t>0%</w:t>
            </w:r>
          </w:p>
        </w:tc>
      </w:tr>
      <w:tr>
        <w:trPr>
          <w:cnfStyle w:val="010000000000" w:firstRow="0" w:lastRow="1" w:firstColumn="0" w:lastColumn="0" w:oddVBand="0" w:evenVBand="0" w:oddHBand="0" w:evenHBand="0" w:firstRowFirstColumn="0" w:firstRowLastColumn="0" w:lastRowFirstColumn="0" w:lastRowLastColumn="0"/>
        </w:trPr>
        <w:tc>
          <w:tcPr>
            <w:tcW w:w="1930" w:type="dxa"/>
            <w:tcBorders/>
          </w:tcPr>
          <w:p>
            <w:pPr>
              <w:pStyle w:val="Normal"/>
              <w:widowControl/>
              <w:spacing w:before="120" w:after="120"/>
              <w:jc w:val="left"/>
              <w:rPr>
                <w:sz w:val="20"/>
                <w:szCs w:val="20"/>
                <w:lang w:val="en-AU"/>
              </w:rPr>
            </w:pPr>
            <w:r>
              <w:rPr>
                <w:b/>
                <w:bCs/>
                <w:color w:val="000000"/>
                <w:kern w:val="0"/>
                <w:sz w:val="20"/>
                <w:szCs w:val="20"/>
                <w:lang w:val="en-AU" w:bidi="ar-SA"/>
              </w:rPr>
              <w:t>Total</w:t>
            </w:r>
          </w:p>
        </w:tc>
        <w:tc>
          <w:tcPr>
            <w:tcW w:w="1046" w:type="dxa"/>
            <w:tcBorders/>
          </w:tcPr>
          <w:p>
            <w:pPr>
              <w:pStyle w:val="Normal"/>
              <w:widowControl/>
              <w:spacing w:before="120" w:after="120"/>
              <w:jc w:val="center"/>
              <w:rPr>
                <w:sz w:val="20"/>
                <w:szCs w:val="20"/>
                <w:lang w:val="en-AU"/>
              </w:rPr>
            </w:pPr>
            <w:r>
              <w:rPr>
                <w:b/>
                <w:bCs/>
                <w:color w:val="000000"/>
                <w:kern w:val="0"/>
                <w:sz w:val="20"/>
                <w:szCs w:val="20"/>
                <w:lang w:val="en-AU" w:bidi="ar-SA"/>
              </w:rPr>
              <w:t>266</w:t>
            </w:r>
          </w:p>
        </w:tc>
        <w:tc>
          <w:tcPr>
            <w:tcW w:w="1560" w:type="dxa"/>
            <w:tcBorders/>
          </w:tcPr>
          <w:p>
            <w:pPr>
              <w:pStyle w:val="Normal"/>
              <w:widowControl/>
              <w:spacing w:before="120" w:after="120"/>
              <w:jc w:val="center"/>
              <w:rPr>
                <w:sz w:val="20"/>
                <w:szCs w:val="20"/>
                <w:lang w:val="en-AU"/>
              </w:rPr>
            </w:pPr>
            <w:r>
              <w:rPr>
                <w:b w:val="false"/>
                <w:bCs w:val="false"/>
                <w:color w:val="000000"/>
                <w:kern w:val="0"/>
                <w:sz w:val="20"/>
                <w:szCs w:val="20"/>
                <w:lang w:val="en-AU" w:bidi="ar-SA"/>
              </w:rPr>
              <w:t>---</w:t>
            </w:r>
          </w:p>
        </w:tc>
        <w:tc>
          <w:tcPr>
            <w:tcW w:w="237" w:type="dxa"/>
            <w:tcBorders/>
          </w:tcPr>
          <w:p>
            <w:pPr>
              <w:pStyle w:val="Normal"/>
              <w:widowControl/>
              <w:spacing w:before="120" w:after="120"/>
              <w:jc w:val="center"/>
              <w:rPr>
                <w:b w:val="false"/>
                <w:bCs w:val="false"/>
                <w:sz w:val="20"/>
                <w:szCs w:val="20"/>
                <w:lang w:val="en-AU"/>
              </w:rPr>
            </w:pPr>
            <w:r>
              <w:rPr>
                <w:b w:val="false"/>
                <w:bCs w:val="false"/>
                <w:color w:val="000000"/>
                <w:kern w:val="0"/>
                <w:sz w:val="20"/>
                <w:szCs w:val="20"/>
                <w:lang w:val="en-AU" w:bidi="ar-SA"/>
              </w:rPr>
            </w:r>
          </w:p>
        </w:tc>
        <w:tc>
          <w:tcPr>
            <w:tcW w:w="897" w:type="dxa"/>
            <w:tcBorders/>
          </w:tcPr>
          <w:p>
            <w:pPr>
              <w:pStyle w:val="Normal"/>
              <w:widowControl/>
              <w:spacing w:before="120" w:after="120"/>
              <w:jc w:val="center"/>
              <w:rPr>
                <w:sz w:val="20"/>
                <w:szCs w:val="20"/>
                <w:lang w:val="en-AU"/>
              </w:rPr>
            </w:pPr>
            <w:r>
              <w:rPr>
                <w:b/>
                <w:bCs/>
                <w:color w:val="000000"/>
                <w:kern w:val="0"/>
                <w:sz w:val="20"/>
                <w:szCs w:val="20"/>
                <w:lang w:val="en-AU" w:bidi="ar-SA"/>
              </w:rPr>
              <w:t>273.1</w:t>
            </w:r>
          </w:p>
        </w:tc>
        <w:tc>
          <w:tcPr>
            <w:tcW w:w="1702" w:type="dxa"/>
            <w:tcBorders/>
          </w:tcPr>
          <w:p>
            <w:pPr>
              <w:pStyle w:val="Normal"/>
              <w:widowControl/>
              <w:spacing w:before="120" w:after="120"/>
              <w:jc w:val="center"/>
              <w:rPr>
                <w:sz w:val="20"/>
                <w:szCs w:val="20"/>
                <w:lang w:val="en-AU"/>
              </w:rPr>
            </w:pPr>
            <w:r>
              <w:rPr>
                <w:b w:val="false"/>
                <w:bCs w:val="false"/>
                <w:color w:val="000000"/>
                <w:kern w:val="0"/>
                <w:sz w:val="20"/>
                <w:szCs w:val="20"/>
                <w:lang w:val="en-AU" w:bidi="ar-SA"/>
              </w:rPr>
              <w:t>---</w:t>
            </w:r>
          </w:p>
        </w:tc>
        <w:tc>
          <w:tcPr>
            <w:tcW w:w="991" w:type="dxa"/>
            <w:tcBorders/>
          </w:tcPr>
          <w:p>
            <w:pPr>
              <w:pStyle w:val="Normal"/>
              <w:widowControl/>
              <w:spacing w:before="120" w:after="120"/>
              <w:jc w:val="center"/>
              <w:rPr>
                <w:sz w:val="20"/>
                <w:szCs w:val="20"/>
                <w:lang w:val="en-AU"/>
              </w:rPr>
            </w:pPr>
            <w:r>
              <w:rPr>
                <w:b/>
                <w:bCs/>
                <w:color w:val="000000"/>
                <w:kern w:val="0"/>
                <w:sz w:val="20"/>
                <w:szCs w:val="20"/>
                <w:lang w:val="en-AU" w:bidi="ar-SA"/>
              </w:rPr>
              <w:t>+3.0%</w:t>
            </w:r>
          </w:p>
        </w:tc>
      </w:tr>
    </w:tbl>
    <w:p>
      <w:pPr>
        <w:pStyle w:val="Normal"/>
        <w:rPr>
          <w:sz w:val="20"/>
          <w:szCs w:val="20"/>
        </w:rPr>
      </w:pPr>
      <w:r>
        <w:rPr>
          <w:sz w:val="20"/>
          <w:szCs w:val="20"/>
        </w:rPr>
      </w:r>
    </w:p>
    <w:p>
      <w:pPr>
        <w:pStyle w:val="Normal"/>
        <w:rPr>
          <w:sz w:val="20"/>
          <w:szCs w:val="20"/>
        </w:rPr>
      </w:pPr>
      <w:r>
        <w:rPr>
          <w:sz w:val="20"/>
          <w:szCs w:val="20"/>
        </w:rPr>
      </w:r>
    </w:p>
    <w:p>
      <w:pPr>
        <w:pStyle w:val="Normal"/>
        <w:spacing w:lineRule="auto" w:line="360" w:before="0" w:after="240"/>
        <w:rPr>
          <w:b/>
          <w:bCs/>
          <w:sz w:val="20"/>
          <w:szCs w:val="20"/>
        </w:rPr>
      </w:pPr>
      <w:r>
        <w:rPr>
          <w:b/>
          <w:bCs/>
          <w:sz w:val="20"/>
          <w:szCs w:val="20"/>
        </w:rPr>
        <w:t>Sensitivity Analysis: Material Simplification and Excluded Mass</w:t>
      </w:r>
    </w:p>
    <w:p>
      <w:pPr>
        <w:pStyle w:val="Normal"/>
        <w:spacing w:lineRule="auto" w:line="360" w:before="0" w:after="240"/>
        <w:rPr>
          <w:sz w:val="20"/>
          <w:szCs w:val="20"/>
          <w:lang w:bidi="en-US"/>
        </w:rPr>
      </w:pPr>
      <w:r>
        <w:rPr>
          <w:sz w:val="20"/>
          <w:szCs w:val="20"/>
          <w:lang w:bidi="en-US"/>
        </w:rPr>
        <w:t>To assess the robustness of our LCA results to the categorisation simplifications, we conducted a bounding analysis using the full array of material-process combinations in our database. The multi-material components were modelled using the lowest emission intensities (machined steel alloys) or the highest (autoclave-cured carbon FRP), testing the extreme bounds of possible outcomes.</w:t>
      </w:r>
    </w:p>
    <w:p>
      <w:pPr>
        <w:pStyle w:val="Normal"/>
        <w:spacing w:lineRule="auto" w:line="360" w:before="0" w:after="240"/>
        <w:ind w:firstLine="720"/>
        <w:rPr>
          <w:sz w:val="20"/>
          <w:szCs w:val="20"/>
          <w:lang w:bidi="en-US"/>
        </w:rPr>
      </w:pPr>
      <w:r>
        <w:rPr>
          <w:sz w:val="20"/>
          <w:szCs w:val="20"/>
          <w:lang w:bidi="en-US"/>
        </w:rPr>
        <w:t>The primary material simplification (i.e., allocating entire component mass to the primary material) introduces an uncertainty band of ±0.7% (±0.5 tCO₂e) on manufacturing emissions. For the excluded 5% of aircraft mass, probability-weighted emissions based on the material distribution in the modelled 95% would add 5.6% to manufacturing emissions. The combined effect increases total lifecycle emissions by 3.0% (7.1 tCO₂e per aircraft), with manufacturing and maintenance phases each increasing by 5.6% whilst operations and end-of-life remain unchanged.</w:t>
      </w:r>
    </w:p>
    <w:p>
      <w:pPr>
        <w:pStyle w:val="Normal"/>
        <w:spacing w:lineRule="auto" w:line="360" w:before="0" w:after="240"/>
        <w:ind w:firstLine="720"/>
        <w:rPr>
          <w:sz w:val="20"/>
          <w:szCs w:val="20"/>
        </w:rPr>
      </w:pPr>
      <w:r>
        <w:rPr>
          <w:sz w:val="20"/>
          <w:szCs w:val="20"/>
          <w:lang w:bidi="en-US"/>
        </w:rPr>
        <w:t>These sensitivity analyses demonstrate that even under worst-case assumptions, the UAS maintains a fundamentally different emissions profile than commercial aircraft, with non-operational phases contributing 56% (baseline) to 55% (with excluded mass) versus &lt;5% typical for commercial aviation. The minimal impact of these uncertainties validates our material allocation approach.</w:t>
      </w:r>
      <w:r>
        <w:br w:type="page"/>
      </w:r>
    </w:p>
    <w:p>
      <w:pPr>
        <w:pStyle w:val="Normal"/>
        <w:spacing w:before="0" w:after="0"/>
        <w:rPr>
          <w:b/>
          <w:bCs/>
        </w:rPr>
      </w:pPr>
      <w:r>
        <w:rPr>
          <w:b/>
          <w:bCs/>
        </w:rPr>
        <w:t>Table S9. Sensitivity analysis of operational emissions variations</w:t>
      </w:r>
    </w:p>
    <w:p>
      <w:pPr>
        <w:pStyle w:val="Caption"/>
        <w:rPr>
          <w:rFonts w:cs="Times New Roman"/>
        </w:rPr>
      </w:pPr>
      <w:r>
        <w:rPr>
          <w:rFonts w:cs="Times New Roman"/>
        </w:rPr>
        <w:t xml:space="preserve">Table S9. </w:t>
      </w:r>
      <w:r>
        <w:rPr/>
        <w:t>Sensitivity analysis of operational intensity variations comparing the peacetime baseline to a wartime fuel consumption scenario. The wartime scenario applies a 170% fuel consumption increase based on U.S. military operations data, without adjusting fleet size or operational lifetime.</w:t>
      </w:r>
    </w:p>
    <w:tbl>
      <w:tblPr>
        <w:tblStyle w:val="PlainTable2"/>
        <w:tblW w:w="9197" w:type="dxa"/>
        <w:jc w:val="left"/>
        <w:tblInd w:w="0" w:type="dxa"/>
        <w:tblLayout w:type="fixed"/>
        <w:tblCellMar>
          <w:top w:w="0" w:type="dxa"/>
          <w:left w:w="108" w:type="dxa"/>
          <w:bottom w:w="0" w:type="dxa"/>
          <w:right w:w="108" w:type="dxa"/>
        </w:tblCellMar>
        <w:tblLook w:firstRow="1" w:noVBand="1" w:lastRow="1" w:firstColumn="0" w:lastColumn="0" w:noHBand="1" w:val="0660"/>
      </w:tblPr>
      <w:tblGrid>
        <w:gridCol w:w="2160"/>
        <w:gridCol w:w="1406"/>
        <w:gridCol w:w="1407"/>
        <w:gridCol w:w="138"/>
        <w:gridCol w:w="1269"/>
        <w:gridCol w:w="1408"/>
        <w:gridCol w:w="1408"/>
      </w:tblGrid>
      <w:tr>
        <w:trPr>
          <w:cnfStyle w:val="100000000000" w:firstRow="1" w:lastRow="0" w:firstColumn="0" w:lastColumn="0" w:oddVBand="0" w:evenVBand="0" w:oddHBand="0" w:evenHBand="0" w:firstRowFirstColumn="0" w:firstRowLastColumn="0" w:lastRowFirstColumn="0" w:lastRowLastColumn="0"/>
        </w:trPr>
        <w:tc>
          <w:tcPr>
            <w:tcW w:w="2160" w:type="dxa"/>
            <w:vMerge w:val="restart"/>
            <w:tcBorders>
              <w:bottom w:val="single" w:sz="4" w:space="0" w:color="000000"/>
            </w:tcBorders>
          </w:tcPr>
          <w:p>
            <w:pPr>
              <w:pStyle w:val="Normal"/>
              <w:widowControl/>
              <w:spacing w:before="120" w:after="120"/>
              <w:jc w:val="left"/>
              <w:rPr>
                <w:sz w:val="20"/>
                <w:szCs w:val="20"/>
                <w:lang w:val="en-AU"/>
              </w:rPr>
            </w:pPr>
            <w:r>
              <w:rPr>
                <w:b/>
                <w:bCs/>
                <w:kern w:val="0"/>
                <w:sz w:val="20"/>
                <w:szCs w:val="20"/>
                <w:lang w:val="en-AU" w:bidi="ar-SA"/>
              </w:rPr>
              <w:t>Life Cycle Phase</w:t>
            </w:r>
          </w:p>
        </w:tc>
        <w:tc>
          <w:tcPr>
            <w:tcW w:w="2951" w:type="dxa"/>
            <w:gridSpan w:val="3"/>
            <w:tcBorders/>
          </w:tcPr>
          <w:p>
            <w:pPr>
              <w:pStyle w:val="Normal"/>
              <w:widowControl/>
              <w:spacing w:before="120" w:after="120"/>
              <w:jc w:val="center"/>
              <w:rPr>
                <w:b w:val="false"/>
                <w:bCs w:val="false"/>
                <w:sz w:val="20"/>
                <w:szCs w:val="20"/>
                <w:lang w:val="en-AU"/>
              </w:rPr>
            </w:pPr>
            <w:r>
              <w:rPr>
                <w:b/>
                <w:bCs/>
                <w:kern w:val="0"/>
                <w:sz w:val="20"/>
                <w:szCs w:val="20"/>
                <w:lang w:val="en-AU" w:bidi="ar-SA"/>
              </w:rPr>
              <w:t>Baseline (Peacetime)</w:t>
            </w:r>
          </w:p>
        </w:tc>
        <w:tc>
          <w:tcPr>
            <w:tcW w:w="4085" w:type="dxa"/>
            <w:gridSpan w:val="3"/>
            <w:tcBorders/>
          </w:tcPr>
          <w:p>
            <w:pPr>
              <w:pStyle w:val="Normal"/>
              <w:widowControl/>
              <w:spacing w:before="120" w:after="120"/>
              <w:jc w:val="center"/>
              <w:rPr>
                <w:b w:val="false"/>
                <w:bCs w:val="false"/>
                <w:sz w:val="20"/>
                <w:szCs w:val="20"/>
                <w:lang w:val="en-AU"/>
              </w:rPr>
            </w:pPr>
            <w:r>
              <w:rPr>
                <w:b/>
                <w:bCs/>
                <w:kern w:val="0"/>
                <w:sz w:val="20"/>
                <w:szCs w:val="20"/>
                <w:lang w:val="en-AU" w:bidi="ar-SA"/>
              </w:rPr>
              <w:t>Wartime Scenario</w:t>
            </w:r>
          </w:p>
          <w:p>
            <w:pPr>
              <w:pStyle w:val="Normal"/>
              <w:widowControl/>
              <w:spacing w:before="120" w:after="120"/>
              <w:jc w:val="center"/>
              <w:rPr>
                <w:b w:val="false"/>
                <w:bCs w:val="false"/>
                <w:sz w:val="20"/>
                <w:szCs w:val="20"/>
                <w:lang w:val="en-AU"/>
              </w:rPr>
            </w:pPr>
            <w:r>
              <w:rPr>
                <w:b/>
                <w:bCs/>
                <w:kern w:val="0"/>
                <w:sz w:val="20"/>
                <w:szCs w:val="20"/>
                <w:lang w:val="en-AU" w:bidi="ar-SA"/>
              </w:rPr>
              <w:t xml:space="preserve">+170% Fuel Burn (Crawford, 2019) </w:t>
            </w:r>
          </w:p>
        </w:tc>
      </w:tr>
      <w:tr>
        <w:trPr/>
        <w:tc>
          <w:tcPr>
            <w:tcW w:w="2160" w:type="dxa"/>
            <w:vMerge w:val="continue"/>
            <w:tcBorders>
              <w:bottom w:val="single" w:sz="4" w:space="0" w:color="000000"/>
            </w:tcBorders>
          </w:tcPr>
          <w:p>
            <w:pPr>
              <w:pStyle w:val="Normal"/>
              <w:widowControl/>
              <w:spacing w:before="120" w:after="120"/>
              <w:jc w:val="left"/>
              <w:rPr>
                <w:sz w:val="20"/>
                <w:szCs w:val="20"/>
                <w:lang w:val="en-AU"/>
              </w:rPr>
            </w:pPr>
            <w:r>
              <w:rPr>
                <w:kern w:val="0"/>
                <w:sz w:val="20"/>
                <w:szCs w:val="20"/>
                <w:lang w:val="en-AU" w:bidi="ar-SA"/>
              </w:rPr>
            </w:r>
          </w:p>
        </w:tc>
        <w:tc>
          <w:tcPr>
            <w:tcW w:w="1406" w:type="dxa"/>
            <w:tcBorders>
              <w:bottom w:val="single" w:sz="4" w:space="0" w:color="000000"/>
            </w:tcBorders>
          </w:tcPr>
          <w:p>
            <w:pPr>
              <w:pStyle w:val="Normal"/>
              <w:widowControl/>
              <w:spacing w:before="120" w:after="120"/>
              <w:jc w:val="center"/>
              <w:rPr>
                <w:b/>
                <w:bCs/>
                <w:sz w:val="20"/>
                <w:szCs w:val="20"/>
                <w:lang w:val="en-AU"/>
              </w:rPr>
            </w:pPr>
            <w:r>
              <w:rPr>
                <w:b/>
                <w:bCs/>
                <w:kern w:val="0"/>
                <w:sz w:val="20"/>
                <w:szCs w:val="20"/>
                <w:lang w:val="en-AU" w:bidi="ar-SA"/>
              </w:rPr>
              <w:t>tCO₂e</w:t>
            </w:r>
          </w:p>
        </w:tc>
        <w:tc>
          <w:tcPr>
            <w:tcW w:w="1407" w:type="dxa"/>
            <w:tcBorders>
              <w:bottom w:val="single" w:sz="4" w:space="0" w:color="000000"/>
            </w:tcBorders>
          </w:tcPr>
          <w:p>
            <w:pPr>
              <w:pStyle w:val="Normal"/>
              <w:widowControl/>
              <w:spacing w:before="120" w:after="120"/>
              <w:jc w:val="center"/>
              <w:rPr>
                <w:b/>
                <w:bCs/>
                <w:sz w:val="20"/>
                <w:szCs w:val="20"/>
                <w:lang w:val="en-AU"/>
              </w:rPr>
            </w:pPr>
            <w:r>
              <w:rPr>
                <w:b/>
                <w:bCs/>
                <w:kern w:val="0"/>
                <w:sz w:val="20"/>
                <w:szCs w:val="20"/>
                <w:lang w:val="en-AU" w:bidi="ar-SA"/>
              </w:rPr>
              <w:t>% of total</w:t>
            </w:r>
          </w:p>
        </w:tc>
        <w:tc>
          <w:tcPr>
            <w:tcW w:w="1407" w:type="dxa"/>
            <w:gridSpan w:val="2"/>
            <w:tcBorders>
              <w:bottom w:val="single" w:sz="4" w:space="0" w:color="000000"/>
            </w:tcBorders>
          </w:tcPr>
          <w:p>
            <w:pPr>
              <w:pStyle w:val="Normal"/>
              <w:widowControl/>
              <w:spacing w:before="120" w:after="120"/>
              <w:jc w:val="center"/>
              <w:rPr>
                <w:b/>
                <w:bCs/>
                <w:sz w:val="20"/>
                <w:szCs w:val="20"/>
                <w:lang w:val="en-AU"/>
              </w:rPr>
            </w:pPr>
            <w:r>
              <w:rPr>
                <w:b/>
                <w:bCs/>
                <w:kern w:val="0"/>
                <w:sz w:val="20"/>
                <w:szCs w:val="20"/>
                <w:lang w:val="en-AU" w:bidi="ar-SA"/>
              </w:rPr>
              <w:t>tCO₂e</w:t>
            </w:r>
          </w:p>
        </w:tc>
        <w:tc>
          <w:tcPr>
            <w:tcW w:w="1408" w:type="dxa"/>
            <w:tcBorders>
              <w:bottom w:val="single" w:sz="4" w:space="0" w:color="000000"/>
            </w:tcBorders>
          </w:tcPr>
          <w:p>
            <w:pPr>
              <w:pStyle w:val="Normal"/>
              <w:widowControl/>
              <w:spacing w:before="120" w:after="120"/>
              <w:jc w:val="center"/>
              <w:rPr>
                <w:b/>
                <w:bCs/>
                <w:sz w:val="20"/>
                <w:szCs w:val="20"/>
                <w:lang w:val="en-AU"/>
              </w:rPr>
            </w:pPr>
            <w:r>
              <w:rPr>
                <w:b/>
                <w:bCs/>
                <w:kern w:val="0"/>
                <w:sz w:val="20"/>
                <w:szCs w:val="20"/>
                <w:lang w:val="en-AU" w:bidi="ar-SA"/>
              </w:rPr>
              <w:t>% of total</w:t>
            </w:r>
          </w:p>
        </w:tc>
        <w:tc>
          <w:tcPr>
            <w:tcW w:w="1408" w:type="dxa"/>
            <w:tcBorders>
              <w:top w:val="nil"/>
              <w:bottom w:val="single" w:sz="4" w:space="0" w:color="000000"/>
            </w:tcBorders>
          </w:tcPr>
          <w:p>
            <w:pPr>
              <w:pStyle w:val="Normal"/>
              <w:widowControl/>
              <w:spacing w:before="120" w:after="120"/>
              <w:jc w:val="center"/>
              <w:rPr>
                <w:b/>
                <w:bCs/>
                <w:sz w:val="20"/>
                <w:szCs w:val="20"/>
                <w:lang w:val="en-AU"/>
              </w:rPr>
            </w:pPr>
            <w:r>
              <w:rPr>
                <w:rFonts w:eastAsia="Symbol" w:cs="Symbol" w:ascii="Symbol" w:hAnsi="Symbol"/>
                <w:b/>
                <w:bCs/>
                <w:kern w:val="0"/>
                <w:sz w:val="20"/>
                <w:szCs w:val="20"/>
                <w:lang w:val="en-AU" w:bidi="ar-SA"/>
              </w:rPr>
              <w:sym w:font="Symbol" w:char="f044"/>
            </w:r>
            <w:r>
              <w:rPr>
                <w:b/>
                <w:bCs/>
                <w:kern w:val="0"/>
                <w:sz w:val="20"/>
                <w:szCs w:val="20"/>
                <w:lang w:val="en-AU" w:bidi="ar-SA"/>
              </w:rPr>
              <w:t xml:space="preserve"> </w:t>
            </w:r>
            <w:r>
              <w:rPr>
                <w:b/>
                <w:bCs/>
                <w:kern w:val="0"/>
                <w:sz w:val="20"/>
                <w:szCs w:val="20"/>
                <w:lang w:val="en-AU" w:bidi="ar-SA"/>
              </w:rPr>
              <w:t>tCO₂e</w:t>
            </w:r>
          </w:p>
        </w:tc>
      </w:tr>
      <w:tr>
        <w:trPr/>
        <w:tc>
          <w:tcPr>
            <w:tcW w:w="2160" w:type="dxa"/>
            <w:tcBorders>
              <w:top w:val="single" w:sz="4" w:space="0" w:color="000000"/>
              <w:bottom w:val="nil"/>
            </w:tcBorders>
          </w:tcPr>
          <w:p>
            <w:pPr>
              <w:pStyle w:val="Normal"/>
              <w:widowControl/>
              <w:spacing w:before="120" w:after="120"/>
              <w:jc w:val="left"/>
              <w:rPr>
                <w:sz w:val="20"/>
                <w:szCs w:val="20"/>
                <w:lang w:val="en-AU"/>
              </w:rPr>
            </w:pPr>
            <w:r>
              <w:rPr>
                <w:kern w:val="0"/>
                <w:sz w:val="20"/>
                <w:szCs w:val="20"/>
                <w:lang w:val="en-AU" w:bidi="ar-SA"/>
              </w:rPr>
              <w:t>Manufacturing</w:t>
            </w:r>
          </w:p>
        </w:tc>
        <w:tc>
          <w:tcPr>
            <w:tcW w:w="1406"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71.1</w:t>
            </w:r>
          </w:p>
        </w:tc>
        <w:tc>
          <w:tcPr>
            <w:tcW w:w="1407"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26.8%</w:t>
            </w:r>
          </w:p>
        </w:tc>
        <w:tc>
          <w:tcPr>
            <w:tcW w:w="1407" w:type="dxa"/>
            <w:gridSpan w:val="2"/>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71.1</w:t>
            </w:r>
          </w:p>
        </w:tc>
        <w:tc>
          <w:tcPr>
            <w:tcW w:w="1408"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15.4%</w:t>
            </w:r>
          </w:p>
        </w:tc>
        <w:tc>
          <w:tcPr>
            <w:tcW w:w="1408" w:type="dxa"/>
            <w:tcBorders>
              <w:top w:val="single" w:sz="4" w:space="0" w:color="000000"/>
              <w:bottom w:val="nil"/>
            </w:tcBorders>
          </w:tcPr>
          <w:p>
            <w:pPr>
              <w:pStyle w:val="Normal"/>
              <w:widowControl/>
              <w:spacing w:before="120" w:after="120"/>
              <w:jc w:val="center"/>
              <w:rPr>
                <w:sz w:val="20"/>
                <w:szCs w:val="20"/>
                <w:lang w:val="en-AU"/>
              </w:rPr>
            </w:pPr>
            <w:r>
              <w:rPr>
                <w:kern w:val="0"/>
                <w:sz w:val="20"/>
                <w:szCs w:val="20"/>
                <w:lang w:val="en-AU" w:bidi="ar-SA"/>
              </w:rPr>
              <w:t>---</w:t>
            </w:r>
          </w:p>
        </w:tc>
      </w:tr>
      <w:tr>
        <w:trPr/>
        <w:tc>
          <w:tcPr>
            <w:tcW w:w="2160" w:type="dxa"/>
            <w:tcBorders>
              <w:top w:val="nil"/>
              <w:bottom w:val="nil"/>
            </w:tcBorders>
          </w:tcPr>
          <w:p>
            <w:pPr>
              <w:pStyle w:val="Normal"/>
              <w:widowControl/>
              <w:spacing w:before="120" w:after="120"/>
              <w:jc w:val="left"/>
              <w:rPr>
                <w:sz w:val="20"/>
                <w:szCs w:val="20"/>
                <w:lang w:val="en-AU"/>
              </w:rPr>
            </w:pPr>
            <w:r>
              <w:rPr>
                <w:kern w:val="0"/>
                <w:sz w:val="20"/>
                <w:szCs w:val="20"/>
                <w:lang w:val="en-AU" w:bidi="ar-SA"/>
              </w:rPr>
              <w:t>Operations</w:t>
            </w:r>
          </w:p>
        </w:tc>
        <w:tc>
          <w:tcPr>
            <w:tcW w:w="1406"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116.9</w:t>
            </w:r>
          </w:p>
        </w:tc>
        <w:tc>
          <w:tcPr>
            <w:tcW w:w="1407"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44.1%</w:t>
            </w:r>
          </w:p>
        </w:tc>
        <w:tc>
          <w:tcPr>
            <w:tcW w:w="1407" w:type="dxa"/>
            <w:gridSpan w:val="2"/>
            <w:tcBorders>
              <w:top w:val="nil"/>
              <w:bottom w:val="nil"/>
            </w:tcBorders>
          </w:tcPr>
          <w:p>
            <w:pPr>
              <w:pStyle w:val="Normal"/>
              <w:widowControl/>
              <w:spacing w:before="120" w:after="120"/>
              <w:jc w:val="center"/>
              <w:rPr>
                <w:sz w:val="20"/>
                <w:szCs w:val="20"/>
                <w:lang w:val="en-AU"/>
              </w:rPr>
            </w:pPr>
            <w:r>
              <w:rPr>
                <w:kern w:val="0"/>
                <w:sz w:val="20"/>
                <w:szCs w:val="20"/>
                <w:lang w:val="en-AU" w:bidi="ar-SA"/>
              </w:rPr>
              <w:t>315.6</w:t>
            </w:r>
          </w:p>
        </w:tc>
        <w:tc>
          <w:tcPr>
            <w:tcW w:w="1408"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68.3%</w:t>
            </w:r>
          </w:p>
        </w:tc>
        <w:tc>
          <w:tcPr>
            <w:tcW w:w="1408"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+170%</w:t>
            </w:r>
          </w:p>
        </w:tc>
      </w:tr>
      <w:tr>
        <w:trPr/>
        <w:tc>
          <w:tcPr>
            <w:tcW w:w="2160" w:type="dxa"/>
            <w:tcBorders>
              <w:top w:val="nil"/>
              <w:bottom w:val="nil"/>
            </w:tcBorders>
          </w:tcPr>
          <w:p>
            <w:pPr>
              <w:pStyle w:val="Normal"/>
              <w:widowControl/>
              <w:spacing w:before="120" w:after="120"/>
              <w:jc w:val="left"/>
              <w:rPr>
                <w:sz w:val="20"/>
                <w:szCs w:val="20"/>
                <w:lang w:val="en-AU"/>
              </w:rPr>
            </w:pPr>
            <w:r>
              <w:rPr>
                <w:kern w:val="0"/>
                <w:sz w:val="20"/>
                <w:szCs w:val="20"/>
                <w:lang w:val="en-AU" w:bidi="ar-SA"/>
              </w:rPr>
              <w:t>Maintenance</w:t>
            </w:r>
          </w:p>
        </w:tc>
        <w:tc>
          <w:tcPr>
            <w:tcW w:w="1406"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71.1</w:t>
            </w:r>
          </w:p>
        </w:tc>
        <w:tc>
          <w:tcPr>
            <w:tcW w:w="1407"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26.8%</w:t>
            </w:r>
          </w:p>
        </w:tc>
        <w:tc>
          <w:tcPr>
            <w:tcW w:w="1407" w:type="dxa"/>
            <w:gridSpan w:val="2"/>
            <w:tcBorders>
              <w:top w:val="nil"/>
              <w:bottom w:val="nil"/>
            </w:tcBorders>
          </w:tcPr>
          <w:p>
            <w:pPr>
              <w:pStyle w:val="Normal"/>
              <w:widowControl/>
              <w:spacing w:before="120" w:after="120"/>
              <w:jc w:val="center"/>
              <w:rPr>
                <w:sz w:val="20"/>
                <w:szCs w:val="20"/>
                <w:lang w:val="en-AU"/>
              </w:rPr>
            </w:pPr>
            <w:r>
              <w:rPr>
                <w:kern w:val="0"/>
                <w:sz w:val="20"/>
                <w:szCs w:val="20"/>
                <w:lang w:val="en-AU" w:bidi="ar-SA"/>
              </w:rPr>
              <w:t>71.1</w:t>
            </w:r>
          </w:p>
        </w:tc>
        <w:tc>
          <w:tcPr>
            <w:tcW w:w="1408"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15.4%</w:t>
            </w:r>
          </w:p>
        </w:tc>
        <w:tc>
          <w:tcPr>
            <w:tcW w:w="1408" w:type="dxa"/>
            <w:tcBorders>
              <w:top w:val="nil"/>
              <w:bottom w:val="nil"/>
            </w:tcBorders>
          </w:tcPr>
          <w:p>
            <w:pPr>
              <w:pStyle w:val="Normal"/>
              <w:widowControl/>
              <w:spacing w:before="120" w:after="120"/>
              <w:jc w:val="center"/>
              <w:rPr>
                <w:sz w:val="20"/>
                <w:szCs w:val="20"/>
                <w:lang w:val="en-AU"/>
              </w:rPr>
            </w:pPr>
            <w:r>
              <w:rPr>
                <w:kern w:val="0"/>
                <w:sz w:val="20"/>
                <w:szCs w:val="20"/>
                <w:lang w:val="en-AU" w:bidi="ar-SA"/>
              </w:rPr>
              <w:t>---</w:t>
            </w:r>
          </w:p>
        </w:tc>
      </w:tr>
      <w:tr>
        <w:trPr/>
        <w:tc>
          <w:tcPr>
            <w:tcW w:w="2160" w:type="dxa"/>
            <w:tcBorders>
              <w:top w:val="nil"/>
              <w:bottom w:val="single" w:sz="4" w:space="0" w:color="000000"/>
            </w:tcBorders>
          </w:tcPr>
          <w:p>
            <w:pPr>
              <w:pStyle w:val="Normal"/>
              <w:widowControl/>
              <w:spacing w:before="120" w:after="120"/>
              <w:jc w:val="left"/>
              <w:rPr>
                <w:sz w:val="20"/>
                <w:szCs w:val="20"/>
                <w:lang w:val="en-AU"/>
              </w:rPr>
            </w:pPr>
            <w:r>
              <w:rPr>
                <w:kern w:val="0"/>
                <w:sz w:val="20"/>
                <w:szCs w:val="20"/>
                <w:lang w:val="en-AU" w:bidi="ar-SA"/>
              </w:rPr>
              <w:t>End-of-life</w:t>
            </w:r>
          </w:p>
        </w:tc>
        <w:tc>
          <w:tcPr>
            <w:tcW w:w="1406"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6.5</w:t>
            </w:r>
          </w:p>
        </w:tc>
        <w:tc>
          <w:tcPr>
            <w:tcW w:w="1407"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2.4%</w:t>
            </w:r>
          </w:p>
        </w:tc>
        <w:tc>
          <w:tcPr>
            <w:tcW w:w="1407" w:type="dxa"/>
            <w:gridSpan w:val="2"/>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6.5</w:t>
            </w:r>
          </w:p>
        </w:tc>
        <w:tc>
          <w:tcPr>
            <w:tcW w:w="1408"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1.4%</w:t>
            </w:r>
          </w:p>
        </w:tc>
        <w:tc>
          <w:tcPr>
            <w:tcW w:w="1408" w:type="dxa"/>
            <w:tcBorders>
              <w:top w:val="nil"/>
              <w:bottom w:val="single" w:sz="4" w:space="0" w:color="000000"/>
            </w:tcBorders>
          </w:tcPr>
          <w:p>
            <w:pPr>
              <w:pStyle w:val="Normal"/>
              <w:widowControl/>
              <w:spacing w:before="120" w:after="120"/>
              <w:jc w:val="center"/>
              <w:rPr>
                <w:sz w:val="20"/>
                <w:szCs w:val="20"/>
                <w:lang w:val="en-AU"/>
              </w:rPr>
            </w:pPr>
            <w:r>
              <w:rPr>
                <w:kern w:val="0"/>
                <w:sz w:val="20"/>
                <w:szCs w:val="20"/>
                <w:lang w:val="en-AU" w:bidi="ar-SA"/>
              </w:rPr>
              <w:t>---</w:t>
            </w:r>
          </w:p>
        </w:tc>
      </w:tr>
      <w:tr>
        <w:trPr>
          <w:cnfStyle w:val="010000000000" w:firstRow="0" w:lastRow="1" w:firstColumn="0" w:lastColumn="0" w:oddVBand="0" w:evenVBand="0" w:oddHBand="0" w:evenHBand="0" w:firstRowFirstColumn="0" w:firstRowLastColumn="0" w:lastRowFirstColumn="0" w:lastRowLastColumn="0"/>
        </w:trPr>
        <w:tc>
          <w:tcPr>
            <w:tcW w:w="2160" w:type="dxa"/>
            <w:tcBorders>
              <w:top w:val="single" w:sz="4" w:space="0" w:color="000000"/>
            </w:tcBorders>
          </w:tcPr>
          <w:p>
            <w:pPr>
              <w:pStyle w:val="Normal"/>
              <w:widowControl/>
              <w:spacing w:before="120" w:after="120"/>
              <w:jc w:val="left"/>
              <w:rPr>
                <w:sz w:val="20"/>
                <w:szCs w:val="20"/>
                <w:lang w:val="en-AU"/>
              </w:rPr>
            </w:pPr>
            <w:r>
              <w:rPr>
                <w:b/>
                <w:bCs/>
                <w:kern w:val="0"/>
                <w:sz w:val="20"/>
                <w:szCs w:val="20"/>
                <w:lang w:val="en-AU" w:bidi="ar-SA"/>
              </w:rPr>
              <w:t>Total</w:t>
            </w:r>
          </w:p>
        </w:tc>
        <w:tc>
          <w:tcPr>
            <w:tcW w:w="1406" w:type="dxa"/>
            <w:tcBorders>
              <w:top w:val="single" w:sz="4" w:space="0" w:color="000000"/>
            </w:tcBorders>
          </w:tcPr>
          <w:p>
            <w:pPr>
              <w:pStyle w:val="Normal"/>
              <w:widowControl/>
              <w:spacing w:before="120" w:after="120"/>
              <w:jc w:val="center"/>
              <w:rPr>
                <w:sz w:val="20"/>
                <w:szCs w:val="20"/>
                <w:lang w:val="en-AU"/>
              </w:rPr>
            </w:pPr>
            <w:r>
              <w:rPr>
                <w:b/>
                <w:bCs/>
                <w:kern w:val="0"/>
                <w:sz w:val="20"/>
                <w:szCs w:val="20"/>
                <w:lang w:val="en-AU" w:bidi="ar-SA"/>
              </w:rPr>
              <w:t>265.7</w:t>
            </w:r>
          </w:p>
        </w:tc>
        <w:tc>
          <w:tcPr>
            <w:tcW w:w="1407" w:type="dxa"/>
            <w:tcBorders>
              <w:top w:val="single" w:sz="4" w:space="0" w:color="000000"/>
            </w:tcBorders>
          </w:tcPr>
          <w:p>
            <w:pPr>
              <w:pStyle w:val="Normal"/>
              <w:widowControl/>
              <w:spacing w:before="120" w:after="120"/>
              <w:jc w:val="center"/>
              <w:rPr>
                <w:sz w:val="20"/>
                <w:szCs w:val="20"/>
                <w:lang w:val="en-AU"/>
              </w:rPr>
            </w:pPr>
            <w:r>
              <w:rPr>
                <w:b/>
                <w:bCs/>
                <w:kern w:val="0"/>
                <w:sz w:val="20"/>
                <w:szCs w:val="20"/>
                <w:lang w:val="en-AU" w:bidi="ar-SA"/>
              </w:rPr>
              <w:t>---</w:t>
            </w:r>
          </w:p>
        </w:tc>
        <w:tc>
          <w:tcPr>
            <w:tcW w:w="1407" w:type="dxa"/>
            <w:gridSpan w:val="2"/>
            <w:tcBorders>
              <w:top w:val="single" w:sz="4" w:space="0" w:color="000000"/>
            </w:tcBorders>
          </w:tcPr>
          <w:p>
            <w:pPr>
              <w:pStyle w:val="Normal"/>
              <w:widowControl/>
              <w:spacing w:before="120" w:after="120"/>
              <w:jc w:val="center"/>
              <w:rPr>
                <w:sz w:val="20"/>
                <w:szCs w:val="20"/>
                <w:lang w:val="en-AU"/>
              </w:rPr>
            </w:pPr>
            <w:r>
              <w:rPr>
                <w:b/>
                <w:bCs/>
                <w:kern w:val="0"/>
                <w:sz w:val="20"/>
                <w:szCs w:val="20"/>
                <w:lang w:val="en-AU" w:bidi="ar-SA"/>
              </w:rPr>
              <w:t>464.4</w:t>
            </w:r>
          </w:p>
        </w:tc>
        <w:tc>
          <w:tcPr>
            <w:tcW w:w="1408" w:type="dxa"/>
            <w:tcBorders>
              <w:top w:val="single" w:sz="4" w:space="0" w:color="000000"/>
            </w:tcBorders>
          </w:tcPr>
          <w:p>
            <w:pPr>
              <w:pStyle w:val="Normal"/>
              <w:widowControl/>
              <w:spacing w:before="120" w:after="120"/>
              <w:jc w:val="center"/>
              <w:rPr>
                <w:sz w:val="20"/>
                <w:szCs w:val="20"/>
                <w:lang w:val="en-AU"/>
              </w:rPr>
            </w:pPr>
            <w:r>
              <w:rPr>
                <w:b/>
                <w:bCs/>
                <w:kern w:val="0"/>
                <w:sz w:val="20"/>
                <w:szCs w:val="20"/>
                <w:lang w:val="en-AU" w:bidi="ar-SA"/>
              </w:rPr>
              <w:t>---</w:t>
            </w:r>
          </w:p>
        </w:tc>
        <w:tc>
          <w:tcPr>
            <w:tcW w:w="1408" w:type="dxa"/>
            <w:tcBorders>
              <w:top w:val="single" w:sz="4" w:space="0" w:color="000000"/>
            </w:tcBorders>
          </w:tcPr>
          <w:p>
            <w:pPr>
              <w:pStyle w:val="Normal"/>
              <w:widowControl/>
              <w:spacing w:before="120" w:after="120"/>
              <w:jc w:val="center"/>
              <w:rPr>
                <w:b w:val="false"/>
                <w:bCs w:val="false"/>
                <w:sz w:val="20"/>
                <w:szCs w:val="20"/>
                <w:lang w:val="en-AU"/>
              </w:rPr>
            </w:pPr>
            <w:r>
              <w:rPr>
                <w:b/>
                <w:bCs/>
                <w:kern w:val="0"/>
                <w:sz w:val="20"/>
                <w:szCs w:val="20"/>
                <w:lang w:val="en-AU" w:bidi="ar-SA"/>
              </w:rPr>
              <w:t>+74.7%</w:t>
            </w:r>
          </w:p>
        </w:tc>
      </w:tr>
    </w:tbl>
    <w:p>
      <w:pPr>
        <w:pStyle w:val="Normal"/>
        <w:spacing w:lineRule="auto" w:line="360"/>
        <w:rPr>
          <w:sz w:val="20"/>
          <w:szCs w:val="20"/>
        </w:rPr>
      </w:pPr>
      <w:r>
        <w:rPr>
          <w:sz w:val="20"/>
          <w:szCs w:val="20"/>
        </w:rPr>
      </w:r>
    </w:p>
    <w:p>
      <w:pPr>
        <w:pStyle w:val="Normal"/>
        <w:spacing w:lineRule="auto" w:line="360"/>
        <w:rPr>
          <w:sz w:val="20"/>
          <w:szCs w:val="20"/>
        </w:rPr>
      </w:pPr>
      <w:r>
        <w:rPr>
          <w:sz w:val="20"/>
          <w:szCs w:val="20"/>
        </w:rPr>
      </w:r>
    </w:p>
    <w:p>
      <w:pPr>
        <w:pStyle w:val="Normal"/>
        <w:spacing w:lineRule="auto" w:line="360" w:before="0" w:after="240"/>
        <w:rPr>
          <w:b/>
          <w:bCs/>
          <w:sz w:val="20"/>
          <w:szCs w:val="20"/>
        </w:rPr>
      </w:pPr>
      <w:r>
        <w:rPr>
          <w:b/>
          <w:bCs/>
          <w:sz w:val="20"/>
          <w:szCs w:val="20"/>
        </w:rPr>
        <w:t>Sensitivity Analysis: Operational Intensity Variation</w:t>
      </w:r>
    </w:p>
    <w:p>
      <w:pPr>
        <w:pStyle w:val="Normal"/>
        <w:spacing w:lineRule="auto" w:line="360" w:before="0" w:after="240"/>
        <w:rPr>
          <w:sz w:val="20"/>
          <w:szCs w:val="20"/>
          <w:lang w:bidi="en-US"/>
        </w:rPr>
      </w:pPr>
      <w:r>
        <w:rPr>
          <w:sz w:val="20"/>
          <w:szCs w:val="20"/>
          <w:lang w:bidi="en-US"/>
        </w:rPr>
        <w:t>Given the security constraints requiring the use of business jet emissions as a proxy for UAS operations, we evaluated the sensitivity of our results to operational intensity variations. Our baseline scenario assumes peacetime operations only. However, Crawford (2019) demonstrated that U.S. military operations increase fuel consumption by approximately 170% during wartime compared to peacetime baselines. This wartime scenario increases total lifecycle emissions by 75% (198.7 tCO₂e per aircraft), with operations rising from 44% to 68% of total lifecycle emissions.</w:t>
      </w:r>
    </w:p>
    <w:p>
      <w:pPr>
        <w:pStyle w:val="Normal"/>
        <w:spacing w:lineRule="auto" w:line="360" w:before="0" w:after="240"/>
        <w:ind w:firstLine="720"/>
        <w:rPr>
          <w:sz w:val="20"/>
          <w:szCs w:val="20"/>
          <w:lang w:bidi="en-US"/>
        </w:rPr>
      </w:pPr>
      <w:r>
        <w:rPr>
          <w:sz w:val="20"/>
          <w:szCs w:val="20"/>
          <w:lang w:bidi="en-US"/>
        </w:rPr>
        <w:t>Even under this extreme scenario, non-operational phases still contribute 32%—substantially higher than the &lt;5% typical for commercial aviation. This confirms that the fundamentally different emissions profile between military and commercial aircraft persists regardless of operational intensity assumptions. For aircraft with shorter operational lifetimes and lower flight hours, manufacturing and maintenance phases remain critical emission sources even under intensive operational scenarios.</w:t>
      </w:r>
    </w:p>
    <w:p>
      <w:pPr>
        <w:pStyle w:val="Normal"/>
        <w:spacing w:lineRule="auto" w:line="360" w:before="0" w:after="240"/>
        <w:ind w:firstLine="720"/>
        <w:rPr>
          <w:sz w:val="20"/>
          <w:szCs w:val="20"/>
          <w:lang w:bidi="en-US"/>
        </w:rPr>
      </w:pPr>
      <w:r>
        <w:rPr>
          <w:sz w:val="20"/>
          <w:szCs w:val="20"/>
          <w:lang w:bidi="en-US"/>
        </w:rPr>
        <w:t>It is important to note that all life cycle emissions would multiply during wartime due to the deployment and fabrication of additional aircraft. The relative contribution of the use phase may therefore remain similar to peacetime despite higher absolute operational emissions, though this analysis focuses solely on per-aircraft intensity rather than fleet-level wartime expansion.</w:t>
      </w:r>
    </w:p>
    <w:p>
      <w:pPr>
        <w:pStyle w:val="Normal"/>
        <w:rPr>
          <w:sz w:val="20"/>
          <w:szCs w:val="20"/>
        </w:rPr>
      </w:pPr>
      <w:r>
        <w:rPr>
          <w:sz w:val="20"/>
          <w:szCs w:val="20"/>
        </w:rPr>
      </w:r>
      <w:r>
        <w:br w:type="page"/>
      </w:r>
    </w:p>
    <w:p>
      <w:pPr>
        <w:pStyle w:val="Normal"/>
        <w:spacing w:before="0" w:after="0"/>
        <w:rPr>
          <w:b/>
          <w:bCs/>
        </w:rPr>
      </w:pPr>
      <w:r>
        <w:rPr>
          <w:b/>
          <w:bCs/>
        </w:rPr>
        <w:t>Table S10. Sensitivity analysis of manufacturing primary energy source</w:t>
      </w:r>
    </w:p>
    <w:p>
      <w:pPr>
        <w:pStyle w:val="Caption"/>
        <w:rPr>
          <w:rFonts w:cs="Times New Roman"/>
        </w:rPr>
      </w:pPr>
      <w:r>
        <w:rPr>
          <w:rFonts w:cs="Times New Roman"/>
        </w:rPr>
        <w:t xml:space="preserve">Table S10. </w:t>
      </w:r>
      <w:r>
        <w:rPr/>
        <w:t>Sensitivity analysis of manufacturing energy source transition from coal-based to renewable electricity. Scenario replaces coal-grid electricity at Victorian (58% coal) and Queensland (59% coal) manufacturing facilities with renewable energy, reducing emission factors by 95% for coal-based generation. Gas, oil, and existing renewable generation remain unchanged. Scenario applies only to manufacturing-phase impacts. Values shown are per single aircraft.</w:t>
      </w:r>
    </w:p>
    <w:tbl>
      <w:tblPr>
        <w:tblStyle w:val="ListTable6Colourful1"/>
        <w:tblW w:w="9496"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3826"/>
        <w:gridCol w:w="1561"/>
        <w:gridCol w:w="1700"/>
        <w:gridCol w:w="1276"/>
        <w:gridCol w:w="1133"/>
      </w:tblGrid>
      <w:tr>
        <w:trPr>
          <w:cnfStyle w:val="100000000000" w:firstRow="1" w:lastRow="0" w:firstColumn="0" w:lastColumn="0" w:oddVBand="0" w:evenVBand="0" w:oddHBand="0" w:evenHBand="0" w:firstRowFirstColumn="0" w:firstRowLastColumn="0" w:lastRowFirstColumn="0" w:lastRowLastColumn="0"/>
        </w:trPr>
        <w:tc>
          <w:tcPr>
            <w:tcW w:w="382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spacing w:before="120" w:after="120"/>
              <w:jc w:val="left"/>
              <w:rPr>
                <w:sz w:val="20"/>
                <w:szCs w:val="20"/>
                <w:lang w:val="en-AU"/>
              </w:rPr>
            </w:pPr>
            <w:r>
              <w:rPr>
                <w:b/>
                <w:bCs/>
                <w:color w:val="000000"/>
                <w:kern w:val="0"/>
                <w:sz w:val="20"/>
                <w:szCs w:val="20"/>
                <w:lang w:val="en-AU" w:bidi="ar-SA"/>
              </w:rPr>
              <w:t>Impact Category</w:t>
            </w:r>
          </w:p>
        </w:tc>
        <w:tc>
          <w:tcPr>
            <w:tcW w:w="1561"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b w:val="false"/>
                <w:bCs w:val="false"/>
                <w:sz w:val="20"/>
                <w:szCs w:val="20"/>
                <w:lang w:val="en-AU"/>
              </w:rPr>
            </w:pPr>
            <w:r>
              <w:rPr>
                <w:b/>
                <w:bCs/>
                <w:color w:val="000000"/>
                <w:kern w:val="0"/>
                <w:sz w:val="20"/>
                <w:szCs w:val="20"/>
                <w:lang w:val="en-AU" w:bidi="ar-SA"/>
              </w:rPr>
              <w:t>Baseline</w:t>
            </w:r>
            <w:r>
              <w:rPr>
                <w:b w:val="false"/>
                <w:bCs w:val="false"/>
                <w:color w:val="000000"/>
                <w:kern w:val="0"/>
                <w:sz w:val="20"/>
                <w:szCs w:val="20"/>
                <w:lang w:val="en-AU" w:bidi="ar-SA"/>
              </w:rPr>
              <w:t xml:space="preserve">      </w:t>
            </w:r>
            <w:r>
              <w:rPr>
                <w:b/>
                <w:bCs/>
                <w:color w:val="000000"/>
                <w:kern w:val="0"/>
                <w:sz w:val="20"/>
                <w:szCs w:val="20"/>
                <w:lang w:val="en-AU" w:bidi="ar-SA"/>
              </w:rPr>
              <w:t>(per aircraft)</w:t>
            </w:r>
          </w:p>
        </w:tc>
        <w:tc>
          <w:tcPr>
            <w:tcW w:w="1700"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sz w:val="20"/>
                <w:szCs w:val="20"/>
                <w:lang w:val="en-AU"/>
              </w:rPr>
            </w:pPr>
            <w:r>
              <w:rPr>
                <w:b/>
                <w:bCs/>
                <w:color w:val="000000"/>
                <w:kern w:val="0"/>
                <w:sz w:val="20"/>
                <w:szCs w:val="20"/>
                <w:lang w:val="en-AU" w:bidi="ar-SA"/>
              </w:rPr>
              <w:t>With Renewable Energy</w:t>
            </w:r>
          </w:p>
        </w:tc>
        <w:tc>
          <w:tcPr>
            <w:tcW w:w="1276"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sz w:val="20"/>
                <w:szCs w:val="20"/>
                <w:lang w:val="en-AU"/>
              </w:rPr>
            </w:pPr>
            <w:r>
              <w:rPr>
                <w:b/>
                <w:bCs/>
                <w:color w:val="000000"/>
                <w:kern w:val="0"/>
                <w:sz w:val="20"/>
                <w:szCs w:val="20"/>
                <w:lang w:val="en-AU" w:bidi="ar-SA"/>
              </w:rPr>
              <w:t>Absolute Reduction</w:t>
            </w:r>
          </w:p>
        </w:tc>
        <w:tc>
          <w:tcPr>
            <w:tcW w:w="1133" w:type="dxa"/>
            <w:tcBorders/>
            <w:vAlign w:val="center"/>
          </w:tcPr>
          <w:p>
            <w:pPr>
              <w:pStyle w:val="Normal"/>
              <w:widowControl/>
              <w:spacing w:before="120" w:after="120"/>
              <w:jc w:val="center"/>
              <w:cnfStyle w:val="100000000000" w:firstRow="1" w:lastRow="0" w:firstColumn="0" w:lastColumn="0" w:oddVBand="0" w:evenVBand="0" w:oddHBand="0" w:evenHBand="0" w:firstRowFirstColumn="0" w:firstRowLastColumn="0" w:lastRowFirstColumn="0" w:lastRowLastColumn="0"/>
              <w:rPr>
                <w:sz w:val="20"/>
                <w:szCs w:val="20"/>
                <w:lang w:val="en-AU"/>
              </w:rPr>
            </w:pPr>
            <w:r>
              <w:rPr>
                <w:b/>
                <w:bCs/>
                <w:color w:val="000000"/>
                <w:kern w:val="0"/>
                <w:sz w:val="20"/>
                <w:szCs w:val="20"/>
                <w:lang w:val="en-AU" w:bidi="ar-SA"/>
              </w:rPr>
              <w:t>% Reduction</w:t>
            </w:r>
          </w:p>
        </w:tc>
      </w:tr>
      <w:tr>
        <w:trPr/>
        <w:tc>
          <w:tcPr>
            <w:tcW w:w="382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val="false"/>
                <w:bCs w:val="false"/>
                <w:color w:val="000000"/>
                <w:kern w:val="0"/>
                <w:sz w:val="20"/>
                <w:szCs w:val="20"/>
                <w:lang w:val="en-AU" w:bidi="ar-SA"/>
              </w:rPr>
              <w:t>Climate Change [kg CO₂-eq]</w:t>
            </w:r>
          </w:p>
        </w:tc>
        <w:tc>
          <w:tcPr>
            <w:tcW w:w="1561"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148,339</w:t>
            </w:r>
          </w:p>
        </w:tc>
        <w:tc>
          <w:tcPr>
            <w:tcW w:w="1700"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122,840</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25,500</w:t>
            </w:r>
          </w:p>
        </w:tc>
        <w:tc>
          <w:tcPr>
            <w:tcW w:w="1133"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17.2%</w:t>
            </w:r>
          </w:p>
        </w:tc>
      </w:tr>
      <w:tr>
        <w:trPr/>
        <w:tc>
          <w:tcPr>
            <w:tcW w:w="382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val="false"/>
                <w:bCs w:val="false"/>
                <w:color w:val="000000"/>
                <w:kern w:val="0"/>
                <w:sz w:val="20"/>
                <w:szCs w:val="20"/>
                <w:lang w:val="en-AU" w:bidi="ar-SA"/>
              </w:rPr>
              <w:t>Fossil Depletion [kg oil eq]</w:t>
            </w:r>
          </w:p>
        </w:tc>
        <w:tc>
          <w:tcPr>
            <w:tcW w:w="1561"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41,534</w:t>
            </w:r>
          </w:p>
        </w:tc>
        <w:tc>
          <w:tcPr>
            <w:tcW w:w="1700"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35,666</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5,868</w:t>
            </w:r>
          </w:p>
        </w:tc>
        <w:tc>
          <w:tcPr>
            <w:tcW w:w="1133"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14.1%</w:t>
            </w:r>
          </w:p>
        </w:tc>
      </w:tr>
      <w:tr>
        <w:trPr/>
        <w:tc>
          <w:tcPr>
            <w:tcW w:w="382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spacing w:before="120" w:after="120"/>
              <w:jc w:val="left"/>
              <w:rPr>
                <w:b w:val="false"/>
                <w:bCs w:val="false"/>
                <w:sz w:val="20"/>
                <w:szCs w:val="20"/>
                <w:lang w:val="en-AU"/>
              </w:rPr>
            </w:pPr>
            <w:r>
              <w:rPr>
                <w:b w:val="false"/>
                <w:bCs w:val="false"/>
                <w:color w:val="000000"/>
                <w:kern w:val="0"/>
                <w:sz w:val="20"/>
                <w:szCs w:val="20"/>
                <w:lang w:val="en-AU" w:bidi="ar-SA"/>
              </w:rPr>
              <w:t>Human Toxicity – Cancer [kg 1,4-DCB eq]</w:t>
            </w:r>
          </w:p>
        </w:tc>
        <w:tc>
          <w:tcPr>
            <w:tcW w:w="1561"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1,345</w:t>
            </w:r>
          </w:p>
        </w:tc>
        <w:tc>
          <w:tcPr>
            <w:tcW w:w="1700"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938</w:t>
            </w:r>
          </w:p>
        </w:tc>
        <w:tc>
          <w:tcPr>
            <w:tcW w:w="1276"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407</w:t>
            </w:r>
          </w:p>
        </w:tc>
        <w:tc>
          <w:tcPr>
            <w:tcW w:w="1133" w:type="dxa"/>
            <w:tcBorders>
              <w:top w:val="nil"/>
              <w:bottom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30.2%</w:t>
            </w:r>
          </w:p>
        </w:tc>
      </w:tr>
      <w:tr>
        <w:trPr/>
        <w:tc>
          <w:tcPr>
            <w:tcW w:w="3826"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widowControl/>
              <w:spacing w:before="120" w:after="120"/>
              <w:jc w:val="left"/>
              <w:rPr>
                <w:b w:val="false"/>
                <w:bCs w:val="false"/>
                <w:sz w:val="20"/>
                <w:szCs w:val="20"/>
                <w:lang w:val="en-AU"/>
              </w:rPr>
            </w:pPr>
            <w:r>
              <w:rPr>
                <w:b w:val="false"/>
                <w:bCs w:val="false"/>
                <w:color w:val="000000"/>
                <w:kern w:val="0"/>
                <w:sz w:val="20"/>
                <w:szCs w:val="20"/>
                <w:lang w:val="en-AU" w:bidi="ar-SA"/>
              </w:rPr>
              <w:t>Terrestrial Ecotoxicity [kg 1,4-DCB eq]</w:t>
            </w:r>
          </w:p>
        </w:tc>
        <w:tc>
          <w:tcPr>
            <w:tcW w:w="1561"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533,904</w:t>
            </w:r>
          </w:p>
        </w:tc>
        <w:tc>
          <w:tcPr>
            <w:tcW w:w="1700"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504,510</w:t>
            </w:r>
          </w:p>
        </w:tc>
        <w:tc>
          <w:tcPr>
            <w:tcW w:w="1276"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29,394</w:t>
            </w:r>
          </w:p>
        </w:tc>
        <w:tc>
          <w:tcPr>
            <w:tcW w:w="1133" w:type="dxa"/>
            <w:tcBorders>
              <w:top w:val="nil"/>
            </w:tcBorders>
            <w:vAlign w:val="center"/>
          </w:tcPr>
          <w:p>
            <w:pPr>
              <w:pStyle w:val="Normal"/>
              <w:widowControl/>
              <w:spacing w:before="120" w:after="120"/>
              <w:jc w:val="center"/>
              <w:cnfStyle w:val="000000000000" w:firstRow="0" w:lastRow="0" w:firstColumn="0" w:lastColumn="0" w:oddVBand="0" w:evenVBand="0" w:oddHBand="0" w:evenHBand="0" w:firstRowFirstColumn="0" w:firstRowLastColumn="0" w:lastRowFirstColumn="0" w:lastRowLastColumn="0"/>
              <w:rPr>
                <w:sz w:val="20"/>
                <w:szCs w:val="20"/>
                <w:lang w:val="en-AU"/>
              </w:rPr>
            </w:pPr>
            <w:r>
              <w:rPr>
                <w:color w:val="000000"/>
                <w:kern w:val="0"/>
                <w:sz w:val="20"/>
                <w:szCs w:val="20"/>
                <w:lang w:val="en-AU" w:bidi="ar-SA"/>
              </w:rPr>
              <w:t>5.5%</w:t>
            </w:r>
          </w:p>
        </w:tc>
      </w:tr>
    </w:tbl>
    <w:p>
      <w:pPr>
        <w:pStyle w:val="Normal"/>
        <w:rPr>
          <w:sz w:val="20"/>
          <w:szCs w:val="20"/>
        </w:rPr>
      </w:pPr>
      <w:r>
        <w:rPr>
          <w:sz w:val="20"/>
          <w:szCs w:val="20"/>
        </w:rPr>
      </w:r>
    </w:p>
    <w:p>
      <w:pPr>
        <w:pStyle w:val="Normal"/>
        <w:rPr>
          <w:sz w:val="20"/>
          <w:szCs w:val="20"/>
        </w:rPr>
      </w:pPr>
      <w:r>
        <w:rPr>
          <w:sz w:val="20"/>
          <w:szCs w:val="20"/>
        </w:rPr>
      </w:r>
    </w:p>
    <w:p>
      <w:pPr>
        <w:pStyle w:val="Normal"/>
        <w:spacing w:lineRule="auto" w:line="360" w:before="0" w:after="240"/>
        <w:rPr>
          <w:b/>
          <w:bCs/>
          <w:sz w:val="20"/>
          <w:szCs w:val="20"/>
        </w:rPr>
      </w:pPr>
      <w:r>
        <w:rPr>
          <w:b/>
          <w:bCs/>
          <w:sz w:val="20"/>
          <w:szCs w:val="20"/>
        </w:rPr>
        <w:t>Sensitivity Analysis: Manufacturing Energy Source Transition</w:t>
      </w:r>
    </w:p>
    <w:p>
      <w:pPr>
        <w:pStyle w:val="Normal"/>
        <w:spacing w:lineRule="auto" w:line="360" w:before="0" w:after="240"/>
        <w:rPr>
          <w:sz w:val="20"/>
          <w:szCs w:val="20"/>
          <w:lang w:bidi="en-US"/>
        </w:rPr>
      </w:pPr>
      <w:r>
        <w:rPr>
          <w:sz w:val="20"/>
          <w:szCs w:val="20"/>
          <w:lang w:bidi="en-US"/>
        </w:rPr>
        <w:t>The significant contribution of final assembly and composite manufacturing to total emissions prompted further investigation of manufacturing energy source impacts. Manufacturing processes occur at facilities in Victoria and Queensland in Australia, both regions where coal-fired electricity dominates the grid (&gt;57% coal generation). Victorian facilities use brown coal electricity, whilst Queensland facilities use black coal electricity—both among the highest emission intensities globally (DCCEEEW, 2024).</w:t>
      </w:r>
    </w:p>
    <w:p>
      <w:pPr>
        <w:pStyle w:val="Normal"/>
        <w:spacing w:lineRule="auto" w:line="360" w:before="0" w:after="240"/>
        <w:ind w:firstLine="720"/>
        <w:rPr>
          <w:sz w:val="20"/>
          <w:szCs w:val="20"/>
          <w:lang w:bidi="en-US"/>
        </w:rPr>
      </w:pPr>
      <w:r>
        <w:rPr>
          <w:sz w:val="20"/>
          <w:szCs w:val="20"/>
          <w:lang w:bidi="en-US"/>
        </w:rPr>
        <w:t>To assess the potential for emissions reduction through energy transition, we modelled a scenario where all coal-grid electricity is replaced with renewable energy. Table S10 presents the manufacturing-phase impact reductions achievable through renewable energy transition. Climate change impacts would decrease by 17.2% (25.5 tCO₂-eq per aircraft), whilst human toxicity-cancer impacts would decrease by 30.2% (407 kg 1,4-DCB eq per aircraft). The disproportionate reduction in human toxicity-cancer reflects the elimination of carcinogenic emissions from coal combustion, particularly polycyclic aromatic hydrocarbons (PAHs), heavy metals (arsenic, cadmium, chromium), and trace radioactive elements released during coal-fired electricity generation.</w:t>
      </w:r>
    </w:p>
    <w:p>
      <w:pPr>
        <w:pStyle w:val="Normal"/>
        <w:spacing w:lineRule="auto" w:line="360" w:before="0" w:after="240"/>
        <w:ind w:firstLine="720"/>
        <w:rPr>
          <w:sz w:val="20"/>
          <w:szCs w:val="20"/>
          <w:lang w:bidi="en-US"/>
        </w:rPr>
      </w:pPr>
      <w:r>
        <w:rPr>
          <w:sz w:val="20"/>
          <w:szCs w:val="20"/>
          <w:lang w:bidi="en-US"/>
        </w:rPr>
        <w:t>This scenario demonstrates that manufacturing location and energy infrastructure are critical considerations for aircraft with shorter operational lifetimes. For the UAS, where non-operational phases contribute 56% of lifecycle GHG emissions, transitioning to renewable energy for manufacturing would reduce total lifecycle climate impacts by approximately 9.6%, whilst simultaneously reducing human health impacts by 17%. These reductions are immediately achievable through facility siting decisions or on-site renewable energy installation, without requiring any changes to aircraft design or materials selection.</w:t>
      </w:r>
    </w:p>
    <w:p>
      <w:pPr>
        <w:pStyle w:val="Normal"/>
        <w:spacing w:lineRule="auto" w:line="360" w:before="0" w:after="240"/>
        <w:ind w:firstLine="720"/>
        <w:rPr>
          <w:sz w:val="20"/>
          <w:szCs w:val="20"/>
          <w:lang w:bidi="en-US"/>
        </w:rPr>
      </w:pPr>
      <w:r>
        <w:rPr>
          <w:sz w:val="20"/>
          <w:szCs w:val="20"/>
          <w:lang w:bidi="en-US"/>
        </w:rPr>
        <w:t>The scenario also reveals the hidden health burden of coal-intensive manufacturing. Coal-fired electricity contributes 31.8% of manufacturing-phase cancer toxicity despite representing only 18.1% of climate impacts, highlighting the health effects of coal combustion not aptly recognised if only considering carbon dioxide emissions. Whilst climate change impacts from manufacturing (148 tCO₂-eq per aircraft) receive policy attention, the human toxicity-cancer impacts from coal combustion represent a substantial public health concern that would be significantly mitigated with a renewable energy transition. This finding underscores the value of comprehensive LCA assessment beyond carbon accounting for aerospace manufacturing facilities.</w:t>
      </w:r>
    </w:p>
    <w:p>
      <w:pPr>
        <w:pStyle w:val="Normal"/>
        <w:rPr>
          <w:sz w:val="20"/>
          <w:szCs w:val="20"/>
        </w:rPr>
      </w:pPr>
      <w:r>
        <w:rPr>
          <w:sz w:val="20"/>
          <w:szCs w:val="20"/>
        </w:rPr>
      </w:r>
      <w:r>
        <w:br w:type="page"/>
      </w:r>
    </w:p>
    <w:p>
      <w:pPr>
        <w:pStyle w:val="Normal"/>
        <w:spacing w:before="0" w:after="0"/>
        <w:rPr>
          <w:b/>
          <w:bCs/>
        </w:rPr>
      </w:pPr>
      <w:r>
        <w:rPr>
          <w:b/>
          <w:bCs/>
        </w:rPr>
        <w:t>Supplementary References</w:t>
      </w:r>
    </w:p>
    <w:p>
      <w:pPr>
        <w:pStyle w:val="Normal"/>
        <w:spacing w:before="240" w:after="240"/>
        <w:ind w:hanging="567" w:left="567"/>
        <w:rPr/>
      </w:pPr>
      <w:r>
        <w:rPr/>
        <w:t xml:space="preserve">Asmatulu, E., Twomey, J., &amp; Overcash, M. (2013). Evaluation of recycling efforts of aircraft companies in Wichita. </w:t>
      </w:r>
      <w:r>
        <w:rPr>
          <w:i/>
          <w:iCs/>
        </w:rPr>
        <w:t>Resour Conserv Recy, 80,</w:t>
      </w:r>
      <w:r>
        <w:rPr/>
        <w:t xml:space="preserve"> 36-45. </w:t>
      </w:r>
      <w:hyperlink r:id="rId3">
        <w:r>
          <w:rPr>
            <w:rStyle w:val="Hyperlink"/>
          </w:rPr>
          <w:t>https://doi.org/10.1016/j.resconrec.2013.08.002</w:t>
        </w:r>
      </w:hyperlink>
      <w:r>
        <w:rPr/>
        <w:t xml:space="preserve"> </w:t>
      </w:r>
    </w:p>
    <w:p>
      <w:pPr>
        <w:pStyle w:val="Normal"/>
        <w:spacing w:before="240" w:after="240"/>
        <w:ind w:hanging="567" w:left="567"/>
        <w:rPr/>
      </w:pPr>
      <w:r>
        <w:rPr/>
        <w:t xml:space="preserve">Calado, E. A., Leite, M., &amp; Silva, A. (2019). Integrating life cycle assessment (LCA) and life cycle costing (LCC) in the early phases of aircraft structural design: an elevator case study. </w:t>
      </w:r>
      <w:r>
        <w:rPr>
          <w:i/>
          <w:iCs/>
        </w:rPr>
        <w:t>Int J Life Cycle Assess, 24</w:t>
      </w:r>
      <w:r>
        <w:rPr/>
        <w:t xml:space="preserve">(12), 2091-2110. </w:t>
      </w:r>
      <w:hyperlink r:id="rId4">
        <w:r>
          <w:rPr>
            <w:rStyle w:val="Hyperlink"/>
          </w:rPr>
          <w:t>https://doi.org/10.1007/s11367-019-01632-8</w:t>
        </w:r>
      </w:hyperlink>
      <w:r>
        <w:rPr/>
        <w:t xml:space="preserve"> </w:t>
      </w:r>
    </w:p>
    <w:p>
      <w:pPr>
        <w:pStyle w:val="Normal"/>
        <w:spacing w:before="240" w:after="240"/>
        <w:ind w:hanging="567" w:left="567"/>
        <w:rPr/>
      </w:pPr>
      <w:r>
        <w:rPr/>
        <w:t xml:space="preserve">Cox, B., Jemiolo, W., &amp; Mutel, C. (2018). Life cycle assessment of air transportation and the Swiss commercial air transport fleet. </w:t>
      </w:r>
      <w:r>
        <w:rPr>
          <w:i/>
          <w:iCs/>
        </w:rPr>
        <w:t>Transportation Research Part D: Transport and Environment, 58,</w:t>
      </w:r>
      <w:r>
        <w:rPr/>
        <w:t xml:space="preserve"> 1-13. </w:t>
      </w:r>
      <w:hyperlink r:id="rId5">
        <w:r>
          <w:rPr>
            <w:rStyle w:val="Hyperlink"/>
          </w:rPr>
          <w:t>https://doi.org/10.1016/j.trd.2017.10.017</w:t>
        </w:r>
      </w:hyperlink>
      <w:r>
        <w:rPr/>
        <w:t xml:space="preserve"> </w:t>
      </w:r>
    </w:p>
    <w:p>
      <w:pPr>
        <w:pStyle w:val="Normal"/>
        <w:spacing w:before="240" w:after="240"/>
        <w:ind w:hanging="567" w:left="567"/>
        <w:rPr/>
      </w:pPr>
      <w:r>
        <w:rPr/>
        <w:t xml:space="preserve">Crawford, N. (2019). </w:t>
      </w:r>
      <w:r>
        <w:rPr>
          <w:i/>
          <w:iCs/>
        </w:rPr>
        <w:t>Pentagon Fuel Use, Climate Change, and the Costs of War</w:t>
      </w:r>
      <w:r>
        <w:rPr/>
        <w:t xml:space="preserve">. Watson Institute for International and Public Affairs, Brown University. </w:t>
      </w:r>
      <w:hyperlink r:id="rId6">
        <w:r>
          <w:rPr>
            <w:rStyle w:val="Hyperlink"/>
          </w:rPr>
          <w:t>https://watson.brown.edu/costsofwar/papers/ClimateChangeandCostofWar</w:t>
        </w:r>
      </w:hyperlink>
    </w:p>
    <w:p>
      <w:pPr>
        <w:pStyle w:val="Normal"/>
        <w:spacing w:before="240" w:after="240"/>
        <w:ind w:hanging="567" w:left="567"/>
        <w:rPr/>
      </w:pPr>
      <w:r>
        <w:rPr/>
        <w:t xml:space="preserve">Das, S. (2011). Life cycle assessment of carbon fiber-reinforced polymer composites. </w:t>
      </w:r>
      <w:r>
        <w:rPr>
          <w:i/>
          <w:iCs/>
        </w:rPr>
        <w:t>Int J Life Cycle Assess, 16</w:t>
      </w:r>
      <w:r>
        <w:rPr/>
        <w:t xml:space="preserve">(3), 268-282. </w:t>
      </w:r>
      <w:hyperlink r:id="rId7">
        <w:r>
          <w:rPr>
            <w:rStyle w:val="Hyperlink"/>
          </w:rPr>
          <w:t>https://doi.org/10.1007/s11367-011-0264-z</w:t>
        </w:r>
      </w:hyperlink>
      <w:r>
        <w:rPr/>
        <w:t xml:space="preserve"> </w:t>
      </w:r>
    </w:p>
    <w:p>
      <w:pPr>
        <w:pStyle w:val="Normal"/>
        <w:spacing w:before="240" w:after="240"/>
        <w:ind w:hanging="567" w:left="567"/>
        <w:rPr/>
      </w:pPr>
      <w:r>
        <w:rPr/>
        <w:t xml:space="preserve">Department of Climate Change, Energy, the Environment and Water [DCCEEEW] (2024). </w:t>
      </w:r>
      <w:r>
        <w:rPr>
          <w:i/>
          <w:iCs/>
        </w:rPr>
        <w:t>Australian Energy Statistics, Table O: Electricity generation by fuel type, 2023-24 and 2024.</w:t>
      </w:r>
      <w:r>
        <w:rPr/>
        <w:t xml:space="preserve"> Commonwealth of Australia. </w:t>
      </w:r>
      <w:hyperlink r:id="rId8">
        <w:r>
          <w:rPr>
            <w:rStyle w:val="Hyperlink"/>
          </w:rPr>
          <w:t>https://www.energy.gov.au/publications/australian-energy-update-2025</w:t>
        </w:r>
      </w:hyperlink>
      <w:r>
        <w:rPr/>
        <w:t xml:space="preserve"> </w:t>
      </w:r>
    </w:p>
    <w:p>
      <w:pPr>
        <w:pStyle w:val="Normal"/>
        <w:spacing w:before="240" w:after="240"/>
        <w:ind w:hanging="567" w:left="567"/>
        <w:rPr/>
      </w:pPr>
      <w:r>
        <w:rPr/>
        <w:t xml:space="preserve">European Commission. (n.d.). </w:t>
      </w:r>
      <w:r>
        <w:rPr>
          <w:i/>
          <w:iCs/>
        </w:rPr>
        <w:t>Process for Advanced Management of End of Life of Aircraft</w:t>
      </w:r>
      <w:r>
        <w:rPr/>
        <w:t xml:space="preserve">. PAMELA on LIFE Public Database. </w:t>
      </w:r>
      <w:hyperlink r:id="rId9">
        <w:r>
          <w:rPr>
            <w:rStyle w:val="Hyperlink"/>
          </w:rPr>
          <w:t>https://webgate.ec.europa.eu/life/publicWebsite/project/LIFE05-ENV-F-000059/process-for-advanced-management-of-end-of-life-of-aircraft</w:t>
        </w:r>
      </w:hyperlink>
      <w:r>
        <w:rPr/>
        <w:t xml:space="preserve"> (accessed October 7, 2025)</w:t>
      </w:r>
    </w:p>
    <w:p>
      <w:pPr>
        <w:pStyle w:val="Normal"/>
        <w:spacing w:before="240" w:after="240"/>
        <w:ind w:hanging="567" w:left="567"/>
        <w:rPr/>
      </w:pPr>
      <w:r>
        <w:rPr/>
        <w:t xml:space="preserve">Gössling, S., Humpe, A., &amp; Leitão, J. C. (2024). Private aviation is making a growing contribution to climate change. Commun Earth Environ, 5(1). </w:t>
      </w:r>
      <w:hyperlink r:id="rId10">
        <w:r>
          <w:rPr>
            <w:rStyle w:val="Hyperlink"/>
          </w:rPr>
          <w:t>https://doi.org/10.1038/s43247-024-01775-z</w:t>
        </w:r>
      </w:hyperlink>
      <w:r>
        <w:rPr/>
        <w:t xml:space="preserve"> </w:t>
      </w:r>
    </w:p>
    <w:p>
      <w:pPr>
        <w:pStyle w:val="Normal"/>
        <w:spacing w:before="240" w:after="240"/>
        <w:ind w:hanging="567" w:left="567"/>
        <w:rPr/>
      </w:pPr>
      <w:r>
        <w:rPr/>
        <w:t xml:space="preserve">Huijbregts, M. A. J., Steinmann, Z. J. N., Elshout, P. M. F., Stam, G., Verones, F., Vieira, M., Zijp, M., Hollander, A., &amp; van Zelm, R. (2017). ReCiPe2016: a harmonised life cycle impact assessment method at midpoint and endpoint level. </w:t>
      </w:r>
      <w:r>
        <w:rPr>
          <w:i/>
          <w:iCs/>
        </w:rPr>
        <w:t>Int J Life Cycle Assess, 22</w:t>
      </w:r>
      <w:r>
        <w:rPr/>
        <w:t xml:space="preserve">(2), 138-147. </w:t>
      </w:r>
      <w:hyperlink r:id="rId11">
        <w:r>
          <w:rPr>
            <w:rStyle w:val="Hyperlink"/>
          </w:rPr>
          <w:t>https://doi.org/10.1007/s11367-016-1246-y</w:t>
        </w:r>
      </w:hyperlink>
      <w:r>
        <w:rPr/>
        <w:t xml:space="preserve"> </w:t>
      </w:r>
    </w:p>
    <w:p>
      <w:pPr>
        <w:pStyle w:val="Normal"/>
        <w:spacing w:before="240" w:after="240"/>
        <w:ind w:hanging="567" w:left="567"/>
        <w:rPr/>
      </w:pPr>
      <w:r>
        <w:rPr/>
        <w:t xml:space="preserve">Page, H., Griffiths, C. A., &amp; Thomas, A. J. (2025). Economic and Environmental Analysis of Aluminium Recycling from Retired Commercial Aircraft. </w:t>
      </w:r>
      <w:r>
        <w:rPr>
          <w:i/>
          <w:iCs/>
        </w:rPr>
        <w:t>Sustainability, 17(19)</w:t>
      </w:r>
      <w:r>
        <w:rPr/>
        <w:t xml:space="preserve">, 8556. </w:t>
      </w:r>
      <w:hyperlink r:id="rId12">
        <w:r>
          <w:rPr>
            <w:rStyle w:val="Hyperlink"/>
          </w:rPr>
          <w:t>https://www.mdpi.com/2071-1050/17/19/8556</w:t>
        </w:r>
      </w:hyperlink>
      <w:r>
        <w:rPr/>
        <w:t xml:space="preserve"> </w:t>
      </w:r>
    </w:p>
    <w:p>
      <w:pPr>
        <w:pStyle w:val="Normal"/>
        <w:spacing w:before="240" w:after="240"/>
        <w:ind w:hanging="567" w:left="567"/>
        <w:rPr/>
      </w:pPr>
      <w:r>
        <w:rPr/>
        <w:t xml:space="preserve">Rahn, A., Wicke, K., &amp; Wende, G. (2022). Using Discrete-Event Simulation for a Holistic Aircraft Life Cycle Assessment. </w:t>
      </w:r>
      <w:r>
        <w:rPr>
          <w:i/>
          <w:iCs/>
        </w:rPr>
        <w:t>Sustainability, 14(17)</w:t>
      </w:r>
      <w:r>
        <w:rPr/>
        <w:t xml:space="preserve">, 10598. </w:t>
      </w:r>
      <w:hyperlink r:id="rId13">
        <w:r>
          <w:rPr>
            <w:rStyle w:val="Hyperlink"/>
          </w:rPr>
          <w:t>https://doi.org/10.3390/su141710598</w:t>
        </w:r>
      </w:hyperlink>
      <w:r>
        <w:rPr/>
        <w:t xml:space="preserve"> </w:t>
      </w:r>
    </w:p>
    <w:p>
      <w:pPr>
        <w:pStyle w:val="Normal"/>
        <w:spacing w:before="240" w:after="240"/>
        <w:ind w:hanging="567" w:left="567"/>
        <w:rPr/>
      </w:pPr>
      <w:r>
        <w:rPr/>
        <w:t xml:space="preserve">Song, Y. S., Youn, J. R., &amp; Gutowski, T. G. (2009). Life cycle energy analysis of fiber-reinforced composites. Composites Part A: Applied Science and Manufacturing, 40(8), 1257-1265. </w:t>
      </w:r>
      <w:hyperlink r:id="rId14">
        <w:r>
          <w:rPr>
            <w:rStyle w:val="Hyperlink"/>
          </w:rPr>
          <w:t>https://doi.org/10.1016/j.compositesa.2009.05.020</w:t>
        </w:r>
      </w:hyperlink>
      <w:r>
        <w:rPr/>
        <w:t xml:space="preserve"> </w:t>
      </w:r>
    </w:p>
    <w:p>
      <w:pPr>
        <w:pStyle w:val="Normal"/>
        <w:spacing w:before="240" w:after="240"/>
        <w:ind w:hanging="567" w:left="567"/>
        <w:rPr/>
      </w:pPr>
      <w:r>
        <w:rPr/>
        <w:t xml:space="preserve">Suzuki, T., &amp; Takahashi, J. (2005). </w:t>
      </w:r>
      <w:r>
        <w:rPr>
          <w:i/>
          <w:iCs/>
        </w:rPr>
        <w:t>Prediction of energy intensity of carbon fiber reinforced plastics for mass-produced passenger cars</w:t>
      </w:r>
      <w:r>
        <w:rPr/>
        <w:t>. 9th SAMPE Japan International Symposium, Tokyo.</w:t>
      </w:r>
    </w:p>
    <w:p>
      <w:pPr>
        <w:pStyle w:val="Normal"/>
        <w:spacing w:before="240" w:after="240"/>
        <w:ind w:hanging="567" w:left="567"/>
        <w:rPr/>
      </w:pPr>
      <w:r>
        <w:rPr/>
        <w:t xml:space="preserve">Torrubia, J., Valero, A., &amp; Valero, A. (2023). Energy and carbon footprint of metals through physical allocation. Implications for energy transition. </w:t>
      </w:r>
      <w:r>
        <w:rPr>
          <w:i/>
          <w:iCs/>
        </w:rPr>
        <w:t>Resour Conserv Recy, 199</w:t>
      </w:r>
      <w:r>
        <w:rPr/>
        <w:t>, 107281. https://doi.org/https://doi.org/10.1016/j.resconrec.2023.107281</w:t>
      </w:r>
    </w:p>
    <w:p>
      <w:pPr>
        <w:pStyle w:val="Normal"/>
        <w:spacing w:before="240" w:after="240"/>
        <w:ind w:hanging="567" w:left="567"/>
        <w:rPr/>
      </w:pPr>
      <w:r>
        <w:rPr/>
        <w:t xml:space="preserve">Weidema, B., Bauer, C., Hischier, R., Mutel C., Nemecek T., Reinhard J., Vadenbo C. O., &amp; Wernet G. (2013). </w:t>
      </w:r>
      <w:r>
        <w:rPr>
          <w:i/>
          <w:iCs/>
        </w:rPr>
        <w:t>Overview and Methodology: Data quality guideline for the ecoinvent database (Report 1), Version 3</w:t>
      </w:r>
      <w:r>
        <w:rPr/>
        <w:t xml:space="preserve">. The ecoinvent Centre. </w:t>
      </w:r>
      <w:hyperlink r:id="rId15">
        <w:r>
          <w:rPr>
            <w:rStyle w:val="Hyperlink"/>
          </w:rPr>
          <w:t>https://support.ecoinvent.org/hubfs/Knowledge%20Base/Database/Fundamentals/dataqualityguideline_ecoinvent_3_20130506.pdf</w:t>
        </w:r>
      </w:hyperlink>
      <w:r>
        <w:rPr/>
        <w:t xml:space="preserve"> </w:t>
      </w:r>
    </w:p>
    <w:p>
      <w:pPr>
        <w:pStyle w:val="Normal"/>
        <w:spacing w:before="240" w:after="240"/>
        <w:ind w:hanging="567" w:left="567"/>
        <w:rPr>
          <w:sz w:val="20"/>
          <w:szCs w:val="20"/>
        </w:rPr>
      </w:pPr>
      <w:r>
        <w:rPr>
          <w:sz w:val="20"/>
          <w:szCs w:val="20"/>
        </w:rPr>
      </w:r>
    </w:p>
    <w:sectPr>
      <w:type w:val="nextPage"/>
      <w:pgSz w:orient="landscape" w:w="16838" w:h="11906"/>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en-A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2e71"/>
    <w:pPr>
      <w:widowControl/>
      <w:bidi w:val="0"/>
      <w:spacing w:before="0" w:after="0"/>
      <w:jc w:val="left"/>
    </w:pPr>
    <w:rPr>
      <w:rFonts w:ascii="Times New Roman" w:hAnsi="Times New Roman" w:eastAsia="Times New Roman" w:cs="Times New Roman"/>
      <w:color w:val="auto"/>
      <w:kern w:val="0"/>
      <w:sz w:val="24"/>
      <w:szCs w:val="24"/>
      <w:lang w:eastAsia="en-GB" w:val="en-AU" w:bidi="ar-SA"/>
    </w:rPr>
  </w:style>
  <w:style w:type="paragraph" w:styleId="Heading1">
    <w:name w:val="heading 1"/>
    <w:basedOn w:val="Normal"/>
    <w:next w:val="Normal"/>
    <w:link w:val="Heading1Char"/>
    <w:uiPriority w:val="9"/>
    <w:qFormat/>
    <w:rsid w:val="00ae4700"/>
    <w:pPr>
      <w:keepNext w:val="true"/>
      <w:keepLines/>
      <w:widowControl w:val="false"/>
      <w:spacing w:lineRule="auto" w:line="480" w:before="360" w:after="80"/>
      <w:jc w:val="both"/>
      <w:outlineLvl w:val="0"/>
    </w:pPr>
    <w:rPr>
      <w:rFonts w:ascii="Aptos Display" w:hAnsi="Aptos Display" w:eastAsia="" w:cs="" w:asciiTheme="majorHAnsi" w:cstheme="majorBidi" w:eastAsiaTheme="majorEastAsia" w:hAnsiTheme="majorHAnsi"/>
      <w:color w:themeColor="accent1" w:themeShade="bf" w:val="0F4761"/>
      <w:sz w:val="40"/>
      <w:szCs w:val="40"/>
      <w:lang w:eastAsia="en-US"/>
    </w:rPr>
  </w:style>
  <w:style w:type="paragraph" w:styleId="Heading2">
    <w:name w:val="heading 2"/>
    <w:basedOn w:val="Normal"/>
    <w:next w:val="Normal"/>
    <w:link w:val="Heading2Char"/>
    <w:uiPriority w:val="9"/>
    <w:unhideWhenUsed/>
    <w:qFormat/>
    <w:rsid w:val="00ae4700"/>
    <w:pPr>
      <w:keepNext w:val="true"/>
      <w:keepLines/>
      <w:widowControl w:val="false"/>
      <w:spacing w:lineRule="auto" w:line="480" w:before="160" w:after="80"/>
      <w:jc w:val="both"/>
      <w:outlineLvl w:val="1"/>
    </w:pPr>
    <w:rPr>
      <w:rFonts w:ascii="Aptos Display" w:hAnsi="Aptos Display" w:eastAsia="" w:cs="" w:asciiTheme="majorHAnsi" w:cstheme="majorBidi" w:eastAsiaTheme="majorEastAsia" w:hAnsiTheme="majorHAnsi"/>
      <w:color w:themeColor="accent1" w:themeShade="bf" w:val="0F4761"/>
      <w:sz w:val="32"/>
      <w:szCs w:val="32"/>
      <w:lang w:eastAsia="en-US"/>
    </w:rPr>
  </w:style>
  <w:style w:type="paragraph" w:styleId="Heading3">
    <w:name w:val="heading 3"/>
    <w:basedOn w:val="Normal"/>
    <w:next w:val="Normal"/>
    <w:link w:val="Heading3Char"/>
    <w:uiPriority w:val="9"/>
    <w:unhideWhenUsed/>
    <w:qFormat/>
    <w:rsid w:val="00ae4700"/>
    <w:pPr>
      <w:keepNext w:val="true"/>
      <w:keepLines/>
      <w:widowControl w:val="false"/>
      <w:spacing w:lineRule="auto" w:line="480" w:before="160" w:after="80"/>
      <w:jc w:val="both"/>
      <w:outlineLvl w:val="2"/>
    </w:pPr>
    <w:rPr>
      <w:rFonts w:eastAsia="" w:cs="" w:cstheme="majorBidi" w:eastAsiaTheme="majorEastAsia"/>
      <w:color w:themeColor="accent1" w:themeShade="bf" w:val="0F4761"/>
      <w:sz w:val="28"/>
      <w:szCs w:val="28"/>
      <w:lang w:eastAsia="en-US"/>
    </w:rPr>
  </w:style>
  <w:style w:type="paragraph" w:styleId="Heading4">
    <w:name w:val="heading 4"/>
    <w:basedOn w:val="Normal"/>
    <w:next w:val="Normal"/>
    <w:link w:val="Heading4Char"/>
    <w:uiPriority w:val="9"/>
    <w:semiHidden/>
    <w:unhideWhenUsed/>
    <w:qFormat/>
    <w:rsid w:val="00ae4700"/>
    <w:pPr>
      <w:keepNext w:val="true"/>
      <w:keepLines/>
      <w:widowControl w:val="false"/>
      <w:spacing w:lineRule="auto" w:line="480" w:before="80" w:after="40"/>
      <w:jc w:val="both"/>
      <w:outlineLvl w:val="3"/>
    </w:pPr>
    <w:rPr>
      <w:rFonts w:eastAsia="" w:cs="" w:cstheme="majorBidi" w:eastAsiaTheme="majorEastAsia"/>
      <w:i/>
      <w:iCs/>
      <w:color w:themeColor="accent1" w:themeShade="bf" w:val="0F4761"/>
      <w:szCs w:val="22"/>
      <w:lang w:eastAsia="en-US"/>
    </w:rPr>
  </w:style>
  <w:style w:type="paragraph" w:styleId="Heading5">
    <w:name w:val="heading 5"/>
    <w:basedOn w:val="Normal"/>
    <w:next w:val="Normal"/>
    <w:link w:val="Heading5Char"/>
    <w:uiPriority w:val="9"/>
    <w:semiHidden/>
    <w:unhideWhenUsed/>
    <w:qFormat/>
    <w:rsid w:val="00ae4700"/>
    <w:pPr>
      <w:keepNext w:val="true"/>
      <w:keepLines/>
      <w:widowControl w:val="false"/>
      <w:spacing w:lineRule="auto" w:line="480" w:before="80" w:after="40"/>
      <w:jc w:val="both"/>
      <w:outlineLvl w:val="4"/>
    </w:pPr>
    <w:rPr>
      <w:rFonts w:eastAsia="" w:cs="" w:cstheme="majorBidi" w:eastAsiaTheme="majorEastAsia"/>
      <w:color w:themeColor="accent1" w:themeShade="bf" w:val="0F4761"/>
      <w:szCs w:val="22"/>
      <w:lang w:eastAsia="en-US"/>
    </w:rPr>
  </w:style>
  <w:style w:type="paragraph" w:styleId="Heading6">
    <w:name w:val="heading 6"/>
    <w:basedOn w:val="Normal"/>
    <w:next w:val="Normal"/>
    <w:link w:val="Heading6Char"/>
    <w:uiPriority w:val="9"/>
    <w:semiHidden/>
    <w:unhideWhenUsed/>
    <w:qFormat/>
    <w:rsid w:val="00ae4700"/>
    <w:pPr>
      <w:keepNext w:val="true"/>
      <w:keepLines/>
      <w:widowControl w:val="false"/>
      <w:spacing w:lineRule="auto" w:line="480" w:before="40" w:after="240"/>
      <w:jc w:val="both"/>
      <w:outlineLvl w:val="5"/>
    </w:pPr>
    <w:rPr>
      <w:rFonts w:eastAsia="" w:cs="" w:cstheme="majorBidi" w:eastAsiaTheme="majorEastAsia"/>
      <w:i/>
      <w:iCs/>
      <w:color w:themeColor="text1" w:themeTint="a6" w:val="595959"/>
      <w:szCs w:val="22"/>
      <w:lang w:eastAsia="en-US"/>
    </w:rPr>
  </w:style>
  <w:style w:type="paragraph" w:styleId="Heading7">
    <w:name w:val="heading 7"/>
    <w:basedOn w:val="Normal"/>
    <w:next w:val="Normal"/>
    <w:link w:val="Heading7Char"/>
    <w:uiPriority w:val="9"/>
    <w:semiHidden/>
    <w:unhideWhenUsed/>
    <w:qFormat/>
    <w:rsid w:val="00ae4700"/>
    <w:pPr>
      <w:keepNext w:val="true"/>
      <w:keepLines/>
      <w:widowControl w:val="false"/>
      <w:spacing w:lineRule="auto" w:line="480" w:before="40" w:after="240"/>
      <w:jc w:val="both"/>
      <w:outlineLvl w:val="6"/>
    </w:pPr>
    <w:rPr>
      <w:rFonts w:eastAsia="" w:cs="" w:cstheme="majorBidi" w:eastAsiaTheme="majorEastAsia"/>
      <w:color w:themeColor="text1" w:themeTint="a6" w:val="595959"/>
      <w:szCs w:val="22"/>
      <w:lang w:eastAsia="en-US"/>
    </w:rPr>
  </w:style>
  <w:style w:type="paragraph" w:styleId="Heading8">
    <w:name w:val="heading 8"/>
    <w:basedOn w:val="Normal"/>
    <w:next w:val="Normal"/>
    <w:link w:val="Heading8Char"/>
    <w:uiPriority w:val="9"/>
    <w:semiHidden/>
    <w:unhideWhenUsed/>
    <w:qFormat/>
    <w:rsid w:val="00ae4700"/>
    <w:pPr>
      <w:keepNext w:val="true"/>
      <w:keepLines/>
      <w:widowControl w:val="false"/>
      <w:spacing w:lineRule="auto" w:line="480" w:before="0" w:after="240"/>
      <w:jc w:val="both"/>
      <w:outlineLvl w:val="7"/>
    </w:pPr>
    <w:rPr>
      <w:rFonts w:eastAsia="" w:cs="" w:cstheme="majorBidi" w:eastAsiaTheme="majorEastAsia"/>
      <w:i/>
      <w:iCs/>
      <w:color w:themeColor="text1" w:themeTint="d8" w:val="272727"/>
      <w:szCs w:val="22"/>
      <w:lang w:eastAsia="en-US"/>
    </w:rPr>
  </w:style>
  <w:style w:type="paragraph" w:styleId="Heading9">
    <w:name w:val="heading 9"/>
    <w:basedOn w:val="Normal"/>
    <w:next w:val="Normal"/>
    <w:link w:val="Heading9Char"/>
    <w:uiPriority w:val="9"/>
    <w:semiHidden/>
    <w:unhideWhenUsed/>
    <w:qFormat/>
    <w:rsid w:val="00ae4700"/>
    <w:pPr>
      <w:keepNext w:val="true"/>
      <w:keepLines/>
      <w:widowControl w:val="false"/>
      <w:spacing w:lineRule="auto" w:line="480" w:before="0" w:after="240"/>
      <w:jc w:val="both"/>
      <w:outlineLvl w:val="8"/>
    </w:pPr>
    <w:rPr>
      <w:rFonts w:eastAsia="" w:cs="" w:cstheme="majorBidi" w:eastAsiaTheme="majorEastAsia"/>
      <w:color w:themeColor="text1" w:themeTint="d8" w:val="272727"/>
      <w:szCs w:val="22"/>
      <w:lang w:eastAsia="en-US"/>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uiPriority w:val="99"/>
    <w:semiHidden/>
    <w:qFormat/>
    <w:rsid w:val="008f648a"/>
    <w:rPr/>
  </w:style>
  <w:style w:type="character" w:styleId="Heading1Char" w:customStyle="1">
    <w:name w:val="Heading 1 Char"/>
    <w:basedOn w:val="DefaultParagraphFont"/>
    <w:link w:val="Heading1"/>
    <w:uiPriority w:val="9"/>
    <w:qFormat/>
    <w:rsid w:val="00ae4700"/>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ae4700"/>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sid w:val="00ae4700"/>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ae4700"/>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ae4700"/>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ae4700"/>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ae4700"/>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ae4700"/>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ae4700"/>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ae4700"/>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ae4700"/>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ae4700"/>
    <w:rPr>
      <w:i/>
      <w:iCs/>
      <w:color w:themeColor="text1" w:themeTint="bf" w:val="404040"/>
    </w:rPr>
  </w:style>
  <w:style w:type="character" w:styleId="IntenseEmphasis">
    <w:name w:val="Intense Emphasis"/>
    <w:basedOn w:val="DefaultParagraphFont"/>
    <w:uiPriority w:val="21"/>
    <w:qFormat/>
    <w:rsid w:val="00ae4700"/>
    <w:rPr>
      <w:i/>
      <w:iCs/>
      <w:color w:themeColor="accent1" w:themeShade="bf" w:val="0F4761"/>
    </w:rPr>
  </w:style>
  <w:style w:type="character" w:styleId="IntenseQuoteChar" w:customStyle="1">
    <w:name w:val="Intense Quote Char"/>
    <w:basedOn w:val="DefaultParagraphFont"/>
    <w:link w:val="IntenseQuote"/>
    <w:uiPriority w:val="30"/>
    <w:qFormat/>
    <w:rsid w:val="00ae4700"/>
    <w:rPr>
      <w:i/>
      <w:iCs/>
      <w:color w:themeColor="accent1" w:themeShade="bf" w:val="0F4761"/>
    </w:rPr>
  </w:style>
  <w:style w:type="character" w:styleId="IntenseReference">
    <w:name w:val="Intense Reference"/>
    <w:basedOn w:val="DefaultParagraphFont"/>
    <w:uiPriority w:val="32"/>
    <w:qFormat/>
    <w:rsid w:val="00ae4700"/>
    <w:rPr>
      <w:b/>
      <w:bCs/>
      <w:smallCaps/>
      <w:color w:themeColor="accent1" w:themeShade="bf" w:val="0F4761"/>
      <w:spacing w:val="5"/>
    </w:rPr>
  </w:style>
  <w:style w:type="character" w:styleId="CommentReference">
    <w:name w:val="annotation reference"/>
    <w:basedOn w:val="DefaultParagraphFont"/>
    <w:uiPriority w:val="99"/>
    <w:semiHidden/>
    <w:unhideWhenUsed/>
    <w:qFormat/>
    <w:rsid w:val="00ae4700"/>
    <w:rPr>
      <w:sz w:val="16"/>
      <w:szCs w:val="16"/>
    </w:rPr>
  </w:style>
  <w:style w:type="character" w:styleId="Hyperlink">
    <w:name w:val="Hyperlink"/>
    <w:basedOn w:val="DefaultParagraphFont"/>
    <w:uiPriority w:val="99"/>
    <w:unhideWhenUsed/>
    <w:rsid w:val="00ae4700"/>
    <w:rPr>
      <w:color w:themeColor="hyperlink" w:val="467886"/>
      <w:u w:val="single"/>
    </w:rPr>
  </w:style>
  <w:style w:type="character" w:styleId="Strong">
    <w:name w:val="Strong"/>
    <w:basedOn w:val="DefaultParagraphFont"/>
    <w:uiPriority w:val="22"/>
    <w:qFormat/>
    <w:rsid w:val="00ae4700"/>
    <w:rPr>
      <w:b/>
      <w:bCs/>
    </w:rPr>
  </w:style>
  <w:style w:type="character" w:styleId="CommentTextChar" w:customStyle="1">
    <w:name w:val="Comment Text Char"/>
    <w:basedOn w:val="DefaultParagraphFont"/>
    <w:link w:val="CommentText"/>
    <w:uiPriority w:val="99"/>
    <w:semiHidden/>
    <w:qFormat/>
    <w:rPr>
      <w:rFonts w:ascii="Times New Roman" w:hAnsi="Times New Roman" w:eastAsia="" w:cs="Aptos Display" w:cstheme="majorHAnsi" w:eastAsiaTheme="minorEastAsia"/>
      <w:sz w:val="20"/>
      <w:szCs w:val="20"/>
    </w:rPr>
  </w:style>
  <w:style w:type="character" w:styleId="CommentSubjectChar" w:customStyle="1">
    <w:name w:val="Comment Subject Char"/>
    <w:basedOn w:val="CommentTextChar"/>
    <w:link w:val="annotationsubject"/>
    <w:uiPriority w:val="99"/>
    <w:semiHidden/>
    <w:qFormat/>
    <w:rsid w:val="00905820"/>
    <w:rPr>
      <w:rFonts w:ascii="Times New Roman" w:hAnsi="Times New Roman" w:eastAsia="" w:cs="Aptos Display" w:cstheme="majorHAnsi" w:eastAsiaTheme="minorEastAsia"/>
      <w:b/>
      <w:bCs/>
      <w:sz w:val="20"/>
      <w:szCs w:val="20"/>
    </w:rPr>
  </w:style>
  <w:style w:type="character" w:styleId="UnresolvedMention">
    <w:name w:val="Unresolved Mention"/>
    <w:basedOn w:val="DefaultParagraphFont"/>
    <w:uiPriority w:val="99"/>
    <w:semiHidden/>
    <w:unhideWhenUsed/>
    <w:qFormat/>
    <w:rsid w:val="00911dcc"/>
    <w:rPr>
      <w:color w:val="605E5C"/>
      <w:shd w:fill="E1DFDD" w:val="clear"/>
    </w:rPr>
  </w:style>
  <w:style w:type="character" w:styleId="PlaceholderText">
    <w:name w:val="Placeholder Text"/>
    <w:basedOn w:val="DefaultParagraphFont"/>
    <w:uiPriority w:val="99"/>
    <w:semiHidden/>
    <w:qFormat/>
    <w:rsid w:val="00384d00"/>
    <w:rPr>
      <w:color w:val="66666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semiHidden/>
    <w:unhideWhenUsed/>
    <w:rsid w:val="008f648a"/>
    <w:pPr>
      <w:widowControl w:val="false"/>
      <w:spacing w:lineRule="auto" w:line="480" w:before="0" w:after="120"/>
      <w:jc w:val="both"/>
    </w:pPr>
    <w:rPr>
      <w:rFonts w:eastAsia="" w:cs="Aptos Display" w:cstheme="majorHAnsi" w:eastAsiaTheme="minorEastAsia"/>
      <w:szCs w:val="22"/>
      <w:lang w:eastAsia="en-US"/>
    </w:rPr>
  </w:style>
  <w:style w:type="paragraph" w:styleId="List">
    <w:name w:val="List"/>
    <w:basedOn w:val="BodyText"/>
    <w:pPr/>
    <w:rPr>
      <w:rFonts w:cs="Arial"/>
    </w:rPr>
  </w:style>
  <w:style w:type="paragraph" w:styleId="Caption">
    <w:name w:val="caption"/>
    <w:basedOn w:val="Normal"/>
    <w:next w:val="Normal"/>
    <w:uiPriority w:val="35"/>
    <w:unhideWhenUsed/>
    <w:qFormat/>
    <w:rsid w:val="00ae4700"/>
    <w:pPr>
      <w:keepNext w:val="true"/>
      <w:keepLines/>
      <w:widowControl w:val="false"/>
      <w:spacing w:before="240" w:after="360"/>
      <w:jc w:val="both"/>
    </w:pPr>
    <w:rPr>
      <w:rFonts w:eastAsia="" w:cs="Aptos Display" w:cstheme="majorHAnsi" w:eastAsiaTheme="minorEastAsia"/>
      <w:i/>
      <w:iCs/>
      <w:color w:themeColor="text2" w:val="0E2841"/>
      <w:sz w:val="20"/>
      <w:szCs w:val="20"/>
      <w:lang w:eastAsia="en-US"/>
    </w:rPr>
  </w:style>
  <w:style w:type="paragraph" w:styleId="Index">
    <w:name w:val="Index"/>
    <w:basedOn w:val="Normal"/>
    <w:qFormat/>
    <w:pPr>
      <w:suppressLineNumbers/>
    </w:pPr>
    <w:rPr>
      <w:rFonts w:cs="Arial"/>
    </w:rPr>
  </w:style>
  <w:style w:type="paragraph" w:styleId="ReferencesList" w:customStyle="1">
    <w:name w:val="References List"/>
    <w:basedOn w:val="BodyText"/>
    <w:qFormat/>
    <w:rsid w:val="008f648a"/>
    <w:pPr>
      <w:spacing w:lineRule="auto" w:line="276"/>
      <w:ind w:hanging="709" w:left="709"/>
    </w:pPr>
    <w:rPr>
      <w:rFonts w:eastAsia="Times New Roman" w:cs="Times New Roman"/>
    </w:rPr>
  </w:style>
  <w:style w:type="paragraph" w:styleId="Title">
    <w:name w:val="Title"/>
    <w:basedOn w:val="Normal"/>
    <w:next w:val="Normal"/>
    <w:link w:val="TitleChar"/>
    <w:uiPriority w:val="10"/>
    <w:qFormat/>
    <w:rsid w:val="00ae4700"/>
    <w:pPr>
      <w:widowControl w:val="false"/>
      <w:spacing w:lineRule="auto" w:line="480" w:before="0" w:after="80"/>
      <w:contextualSpacing/>
      <w:jc w:val="both"/>
    </w:pPr>
    <w:rPr>
      <w:rFonts w:ascii="Aptos Display" w:hAnsi="Aptos Display" w:eastAsia="" w:cs="" w:asciiTheme="majorHAnsi" w:cstheme="majorBidi" w:eastAsiaTheme="majorEastAsia" w:hAnsiTheme="majorHAnsi"/>
      <w:spacing w:val="-10"/>
      <w:kern w:val="2"/>
      <w:sz w:val="56"/>
      <w:szCs w:val="56"/>
      <w:lang w:eastAsia="en-US"/>
    </w:rPr>
  </w:style>
  <w:style w:type="paragraph" w:styleId="Subtitle">
    <w:name w:val="Subtitle"/>
    <w:basedOn w:val="Normal"/>
    <w:next w:val="Normal"/>
    <w:link w:val="SubtitleChar"/>
    <w:uiPriority w:val="11"/>
    <w:qFormat/>
    <w:rsid w:val="00ae4700"/>
    <w:pPr>
      <w:widowControl w:val="false"/>
      <w:spacing w:lineRule="auto" w:line="480" w:before="0" w:after="160"/>
      <w:jc w:val="both"/>
    </w:pPr>
    <w:rPr>
      <w:rFonts w:eastAsia="" w:cs="" w:cstheme="majorBidi" w:eastAsiaTheme="majorEastAsia"/>
      <w:color w:themeColor="text1" w:themeTint="a6" w:val="595959"/>
      <w:spacing w:val="15"/>
      <w:sz w:val="28"/>
      <w:szCs w:val="28"/>
      <w:lang w:eastAsia="en-US"/>
    </w:rPr>
  </w:style>
  <w:style w:type="paragraph" w:styleId="Quote">
    <w:name w:val="Quote"/>
    <w:basedOn w:val="Normal"/>
    <w:next w:val="Normal"/>
    <w:link w:val="QuoteChar"/>
    <w:uiPriority w:val="29"/>
    <w:qFormat/>
    <w:rsid w:val="00ae4700"/>
    <w:pPr>
      <w:widowControl w:val="false"/>
      <w:spacing w:lineRule="auto" w:line="480" w:before="160" w:after="160"/>
      <w:jc w:val="center"/>
    </w:pPr>
    <w:rPr>
      <w:rFonts w:eastAsia="" w:cs="Aptos Display" w:cstheme="majorHAnsi" w:eastAsiaTheme="minorEastAsia"/>
      <w:i/>
      <w:iCs/>
      <w:color w:themeColor="text1" w:themeTint="bf" w:val="404040"/>
      <w:szCs w:val="22"/>
      <w:lang w:eastAsia="en-US"/>
    </w:rPr>
  </w:style>
  <w:style w:type="paragraph" w:styleId="ListParagraph">
    <w:name w:val="List Paragraph"/>
    <w:basedOn w:val="Normal"/>
    <w:uiPriority w:val="34"/>
    <w:qFormat/>
    <w:rsid w:val="00ae4700"/>
    <w:pPr>
      <w:widowControl w:val="false"/>
      <w:spacing w:lineRule="auto" w:line="480" w:before="0" w:after="240"/>
      <w:ind w:left="720"/>
      <w:contextualSpacing/>
      <w:jc w:val="both"/>
    </w:pPr>
    <w:rPr>
      <w:rFonts w:eastAsia="" w:cs="Aptos Display" w:cstheme="majorHAnsi" w:eastAsiaTheme="minorEastAsia"/>
      <w:szCs w:val="22"/>
      <w:lang w:eastAsia="en-US"/>
    </w:rPr>
  </w:style>
  <w:style w:type="paragraph" w:styleId="IntenseQuote">
    <w:name w:val="Intense Quote"/>
    <w:basedOn w:val="Normal"/>
    <w:next w:val="Normal"/>
    <w:link w:val="IntenseQuoteChar"/>
    <w:uiPriority w:val="30"/>
    <w:qFormat/>
    <w:rsid w:val="00ae4700"/>
    <w:pPr>
      <w:widowControl w:val="false"/>
      <w:pBdr>
        <w:top w:val="single" w:sz="4" w:space="10" w:color="0F4761" w:themeColor="accent1" w:themeShade="bf"/>
        <w:bottom w:val="single" w:sz="4" w:space="10" w:color="0F4761" w:themeColor="accent1" w:themeShade="bf"/>
      </w:pBdr>
      <w:spacing w:lineRule="auto" w:line="480" w:before="360" w:after="360"/>
      <w:ind w:left="864" w:right="864"/>
      <w:jc w:val="center"/>
    </w:pPr>
    <w:rPr>
      <w:rFonts w:eastAsia="" w:cs="Aptos Display" w:cstheme="majorHAnsi" w:eastAsiaTheme="minorEastAsia"/>
      <w:i/>
      <w:iCs/>
      <w:color w:themeColor="accent1" w:themeShade="bf" w:val="0F4761"/>
      <w:szCs w:val="22"/>
      <w:lang w:eastAsia="en-US"/>
    </w:rPr>
  </w:style>
  <w:style w:type="paragraph" w:styleId="CommentText">
    <w:name w:val="annotation text"/>
    <w:basedOn w:val="Normal"/>
    <w:link w:val="CommentTextChar"/>
    <w:uiPriority w:val="99"/>
    <w:semiHidden/>
    <w:unhideWhenUsed/>
    <w:pPr>
      <w:widowControl w:val="false"/>
      <w:spacing w:before="0" w:after="240"/>
      <w:jc w:val="both"/>
    </w:pPr>
    <w:rPr>
      <w:rFonts w:eastAsia="" w:cs="Aptos Display" w:cstheme="majorHAnsi" w:eastAsiaTheme="minorEastAsia"/>
      <w:sz w:val="20"/>
      <w:szCs w:val="20"/>
      <w:lang w:eastAsia="en-US"/>
    </w:rPr>
  </w:style>
  <w:style w:type="paragraph" w:styleId="annotationsubject">
    <w:name w:val="annotation subject"/>
    <w:basedOn w:val="CommentText"/>
    <w:next w:val="CommentText"/>
    <w:link w:val="CommentSubjectChar"/>
    <w:uiPriority w:val="99"/>
    <w:semiHidden/>
    <w:unhideWhenUsed/>
    <w:qFormat/>
    <w:rsid w:val="00905820"/>
    <w:pPr/>
    <w:rPr>
      <w:b/>
      <w:bCs/>
    </w:rPr>
  </w:style>
  <w:style w:type="paragraph" w:styleId="font-claude-response-body" w:customStyle="1">
    <w:name w:val="font-claude-response-body"/>
    <w:basedOn w:val="Normal"/>
    <w:qFormat/>
    <w:rsid w:val="00076cb9"/>
    <w:pPr>
      <w:spacing w:beforeAutospacing="1" w:afterAutospacing="1"/>
    </w:pPr>
    <w:rPr/>
  </w:style>
  <w:style w:type="paragraph" w:styleId="whitespace-normal" w:customStyle="1">
    <w:name w:val="whitespace-normal"/>
    <w:basedOn w:val="Normal"/>
    <w:qFormat/>
    <w:rsid w:val="0089237f"/>
    <w:pPr>
      <w:spacing w:beforeAutospacing="1" w:afterAutospacing="1"/>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ListTable6Colourful1">
    <w:name w:val="List Table 6 Colourful1"/>
    <w:basedOn w:val="TableNormal"/>
    <w:uiPriority w:val="51"/>
    <w:rsid w:val="00ae4700"/>
    <w:rPr>
      <w:lang w:val="en-GB"/>
      <w:sz w:val="22"/>
      <w:szCs w:val="22"/>
    </w:rPr>
    <w:tblPr>
      <w:tblStyleRowBandSize w:val="1"/>
      <w:tblStyleColBandSize w:val="1"/>
      <w:tblBorders>
        <w:top w:val="single" w:color="000000" w:sz="4" w:space="0"/>
        <w:bottom w:val="single" w:color="000000" w:sz="4" w:space="0"/>
      </w:tblBorders>
    </w:tblPr>
    <w:tblStylePr w:type="firstRow">
      <w:rPr>
        <w:b/>
        <w:bCs/>
      </w:rPr>
      <w:tblPr/>
      <w:tcPr>
        <w:tcBorders>
          <w:bottom w:val="single" w:color="000000" w:sz="4" w:space="0"/>
        </w:tcBorders>
      </w:tcPr>
    </w:tblStylePr>
    <w:tblStylePr w:type="lastRow">
      <w:rPr>
        <w:b/>
        <w:bCs/>
      </w:rPr>
      <w:tblPr/>
      <w:tcPr>
        <w:tcBorders>
          <w:top w:val="double" w:color="000000" w:sz="4" w:space="0"/>
        </w:tcBorders>
      </w:tcPr>
    </w:tblStylePr>
    <w:tblStylePr w:type="firstCol">
      <w:rPr>
        <w:b/>
        <w:bCs/>
      </w:rPr>
      <w:tblPr/>
    </w:tblStylePr>
    <w:tblStylePr w:type="lastCol">
      <w:rPr>
        <w:b/>
        <w:bCs/>
      </w:rPr>
      <w:tblPr/>
    </w:tblStylePr>
    <w:tblStylePr w:type="band1Vert">
      <w:tblPr/>
      <w:tcPr>
        <w:shd w:val="clear" w:color="auto" w:fill="CCCCCC"/>
      </w:tcPr>
    </w:tblStylePr>
    <w:tblStylePr w:type="band1Horz">
      <w:tblPr/>
      <w:tcPr>
        <w:shd w:val="clear" w:color="auto" w:fill="CCCCCC"/>
      </w:tcPr>
    </w:tblStylePr>
  </w:style>
  <w:style w:type="table" w:styleId="ListTable6Colourful">
    <w:name w:val="List Table 6 Colorful"/>
    <w:basedOn w:val="TableNormal"/>
    <w:uiPriority w:val="51"/>
    <w:rsid w:val="00ae4700"/>
    <w:rPr>
      <w:color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ae4700"/>
    <w:rPr>
      <w:rFonts w:eastAsiaTheme="minorEastAsia"/>
      <w:lang w:val="en-GB"/>
      <w:sz w:val="22"/>
      <w:szCs w:val="22"/>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ul.newsham@uq.edu.au" TargetMode="External"/><Relationship Id="rId3" Type="http://schemas.openxmlformats.org/officeDocument/2006/relationships/hyperlink" Target="https://doi.org/10.1016/j.resconrec.2013.08.002" TargetMode="External"/><Relationship Id="rId4" Type="http://schemas.openxmlformats.org/officeDocument/2006/relationships/hyperlink" Target="https://doi.org/10.1007/s11367-019-01632-8" TargetMode="External"/><Relationship Id="rId5" Type="http://schemas.openxmlformats.org/officeDocument/2006/relationships/hyperlink" Target="https://doi.org/10.1016/j.trd.2017.10.017" TargetMode="External"/><Relationship Id="rId6" Type="http://schemas.openxmlformats.org/officeDocument/2006/relationships/hyperlink" Target="https://watson.brown.edu/costsofwar/papers/ClimateChangeandCostofWar" TargetMode="External"/><Relationship Id="rId7" Type="http://schemas.openxmlformats.org/officeDocument/2006/relationships/hyperlink" Target="https://doi.org/10.1007/s11367-011-0264-z" TargetMode="External"/><Relationship Id="rId8" Type="http://schemas.openxmlformats.org/officeDocument/2006/relationships/hyperlink" Target="https://www.energy.gov.au/publications/australian-energy-update-2025" TargetMode="External"/><Relationship Id="rId9" Type="http://schemas.openxmlformats.org/officeDocument/2006/relationships/hyperlink" Target="https://webgate.ec.europa.eu/life/publicWebsite/project/LIFE05-ENV-F-000059/process-for-advanced-management-of-end-of-life-of-aircraft" TargetMode="External"/><Relationship Id="rId10" Type="http://schemas.openxmlformats.org/officeDocument/2006/relationships/hyperlink" Target="https://doi.org/10.1038/s43247-024-01775-z" TargetMode="External"/><Relationship Id="rId11" Type="http://schemas.openxmlformats.org/officeDocument/2006/relationships/hyperlink" Target="https://doi.org/10.1007/s11367-016-1246-y" TargetMode="External"/><Relationship Id="rId12" Type="http://schemas.openxmlformats.org/officeDocument/2006/relationships/hyperlink" Target="https://www.mdpi.com/2071-1050/17/19/8556" TargetMode="External"/><Relationship Id="rId13" Type="http://schemas.openxmlformats.org/officeDocument/2006/relationships/hyperlink" Target="https://doi.org/10.3390/su141710598" TargetMode="External"/><Relationship Id="rId14" Type="http://schemas.openxmlformats.org/officeDocument/2006/relationships/hyperlink" Target="https://doi.org/10.1016/j.compositesa.2009.05.020" TargetMode="External"/><Relationship Id="rId15" Type="http://schemas.openxmlformats.org/officeDocument/2006/relationships/hyperlink" Target="https://support.ecoinvent.org/hubfs/Knowledge%20Base/Database/Fundamentals/dataqualityguideline_ecoinvent_3_20130506.pdf"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97</TotalTime>
  <Application>LibreOffice/25.2.7.2$Windows_X86_64 LibreOffice_project/5cbfd1ab6520636bb5f7b99185aa69bd7456825d</Application>
  <AppVersion>15.0000</AppVersion>
  <Pages>12</Pages>
  <Words>4667</Words>
  <Characters>29089</Characters>
  <CharactersWithSpaces>32819</CharactersWithSpaces>
  <Paragraphs>924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2026-01-03T09:05:00Z</dcterms:created>
  <dc:creator>Paul Newsham</dc:creator>
  <dc:description/>
  <dc:language>en-IN</dc:language>
  <cp:lastModifiedBy>Paul Newsham</cp:lastModifiedBy>
  <dcterms:modified xsi:type="dcterms:W3CDTF">2026-03-04T21:42:00Z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ActionId">
    <vt:lpwstr>ce4ff6b0-196c-4c19-90b3-4e80f48fa53c</vt:lpwstr>
  </property>
  <property fmtid="{D5CDD505-2E9C-101B-9397-08002B2CF9AE}" pid="3" name="MSIP_Label_0f488380-630a-4f55-a077-a19445e3f360_ContentBits">
    <vt:lpwstr>0</vt:lpwstr>
  </property>
  <property fmtid="{D5CDD505-2E9C-101B-9397-08002B2CF9AE}" pid="4" name="MSIP_Label_0f488380-630a-4f55-a077-a19445e3f360_Enabled">
    <vt:lpwstr>true</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etDate">
    <vt:lpwstr>2025-10-13T06:20:16Z</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Tag">
    <vt:lpwstr>50, 3, 0, 1</vt:lpwstr>
  </property>
</Properties>
</file>